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67" w:rsidRPr="00E829D6" w:rsidRDefault="00775F67" w:rsidP="00E829D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E829D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КОМИСИЯ ЗА ЗАЩИТА НА ЛИЧНИТЕ ДАННИ</w:t>
      </w:r>
    </w:p>
    <w:p w:rsidR="00775F67" w:rsidRPr="00E829D6" w:rsidRDefault="00775F67" w:rsidP="00E829D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E829D6">
        <w:rPr>
          <w:rFonts w:ascii="Times New Roman" w:eastAsia="Times New Roman" w:hAnsi="Times New Roman" w:cs="Times New Roman"/>
          <w:color w:val="202020"/>
          <w:sz w:val="24"/>
          <w:szCs w:val="24"/>
        </w:rPr>
        <w:t>ОБЯВЯВА КОНКУРС ЗА ДЛЪЖНОСТ</w:t>
      </w:r>
    </w:p>
    <w:p w:rsidR="00775F67" w:rsidRPr="00E829D6" w:rsidRDefault="00775F67" w:rsidP="00E829D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5F67" w:rsidRPr="00E829D6" w:rsidRDefault="00775F67" w:rsidP="00E829D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Конкурсът се провежда за длъжността</w:t>
      </w: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старши експерт</w:t>
      </w: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–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2 щатни бройки</w:t>
      </w:r>
      <w:r w:rsidRPr="00E829D6">
        <w:rPr>
          <w:rFonts w:ascii="Times New Roman" w:hAnsi="Times New Roman" w:cs="Times New Roman"/>
          <w:b/>
          <w:i/>
          <w:sz w:val="24"/>
          <w:szCs w:val="24"/>
          <w:lang w:val="bg-BG"/>
        </w:rPr>
        <w:t>,</w:t>
      </w: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дирекция „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Канал за външно подаване на сигнали</w:t>
      </w: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” в Комисията за защита на личните данни </w:t>
      </w:r>
      <w:r w:rsidRPr="00E829D6">
        <w:rPr>
          <w:rFonts w:ascii="Times New Roman" w:hAnsi="Times New Roman" w:cs="Times New Roman"/>
          <w:sz w:val="24"/>
          <w:szCs w:val="24"/>
          <w:lang w:val="bg-BG"/>
        </w:rPr>
        <w:t>/КЗЛД/, която е определена за заемане от държавен служител, съгласно Класификатора на длъжностите в администрацията, при следните условия:</w:t>
      </w: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Минимални изисквания, предвидени за заемане на длъжността:</w:t>
      </w:r>
    </w:p>
    <w:p w:rsidR="00E829D6" w:rsidRPr="00E829D6" w:rsidRDefault="00E829D6" w:rsidP="00E829D6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Образование –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висше, юридическо</w:t>
      </w:r>
    </w:p>
    <w:p w:rsidR="00E829D6" w:rsidRPr="00E829D6" w:rsidRDefault="00E829D6" w:rsidP="00E829D6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Образователна степен –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магистър</w:t>
      </w:r>
    </w:p>
    <w:p w:rsidR="00E829D6" w:rsidRPr="00E829D6" w:rsidRDefault="00E829D6" w:rsidP="00E829D6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Професионален опит –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2 години</w:t>
      </w:r>
    </w:p>
    <w:p w:rsidR="00E829D6" w:rsidRPr="00E829D6" w:rsidRDefault="00E829D6" w:rsidP="00E829D6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Професионално направление –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право, юридическа правоспособност</w:t>
      </w:r>
    </w:p>
    <w:p w:rsidR="00E829D6" w:rsidRPr="00E829D6" w:rsidRDefault="00E829D6" w:rsidP="00E829D6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Минимален ранг за заемане на длъжността –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IV младши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Специфични изисквания за заемане на длъжността:</w:t>
      </w:r>
    </w:p>
    <w:p w:rsidR="00E829D6" w:rsidRPr="00E829D6" w:rsidRDefault="00E829D6" w:rsidP="00E829D6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Отлично познаване на </w:t>
      </w:r>
      <w:r w:rsidRPr="00E829D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Закона за защита на лицата, подаващи сигнали или публично оповестяващи информация за нарушения,</w:t>
      </w:r>
      <w:r w:rsidRPr="00E829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Регламент (ЕС) 2016/679 на Европейския парламент и на Съвета, Закона за защита на личните данни, Правилника за дейността на КЗЛД и нейната администрация, Закона за администрацията, Закона за административните нарушения и наказания, Административно-процесуалния кодекс и други свързани с функционалните задължения необходими за изпълнение на длъжността;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Кратко описание на длъжността, съгласно длъжностната характеристика: 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Разглежда сигналите, получени по външен канал, по чл. 3 от Закона за защита на лицата, подаващи сигнали или публично оповестяващи информация за нарушения;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Предприема действия по осигуряването на правна защита на лицата, подаващи сигнали или публично оповестяващи информация за нарушения;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Изготвя анализи, становища, доклади и предложения във връзка с функциите на дирекцията и прилагането на Закона за защита на лицата, подаващи сигнали или публично оповестяващи информация за нарушения и извършва проучвания по въпроси от компетентността на дирекцията;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Участва в разработването на проекти на нормативни актове в областта на подаването на сигнали или публичното оповестяване на информация за  нарушения и защитата на лицата, подаващи сигнали или публично оповестяващи информация за нарушения;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Участва в изготвянето на проекти на методически указания към задължените субекти по чл. 12 и към компетентните органи по чл. 20 от ЗЗЛПСПОИН;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Осъществява контрол по спазване на Закона за защита на лицата, подаващи сигнали или публично оповестяващи информация за нарушения;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lastRenderedPageBreak/>
        <w:t>Обработва и обобщава получената статистическа информация от задължените субекти по чл. 29, ал. 2 от Закона за защита на лицата, подаващи сигнали или публично оповестяващи информация за нарушения;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Участва в провеждането на обучения и информационно-разяснителна дейност по Закона за защита на лицата, подаващи сигнали или публично оповестяващи информация за нарушения;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Извършва вписвания в регистрите по чл. 79а, ал. 2, т. 4 и 5 от Правилника за дейността на комисията за защита на личните данни и на нейната администрация; 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Дава консултации по въпроси, свързани с приложението на Закона за защита на лицата, подаващи сигнали или публично оповестяващи информация за нарушения; 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 Участва в извършване на проверки по реда на ЗЗЛПСПОИН; извършва дейности и процедури по съставяне и връчване на актове за установяване на административни нарушения по реда на ЗЗЛПСПОИН и Закона за административните нарушения и наказания.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Осъществява процесуално представителство пред съда по жалби срещу актове на председателя на КЗЛД и на комисията, по въпроси от компетентността на дирекцията, и предоставя текуща информация на комисията по движението на съдебните дела във връзка с тези производства;  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Текущо изпълнява и други законосъобразни задачи, възложени от прекия ръководител.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Основна месечна заплата за длъжността </w:t>
      </w:r>
      <w:r w:rsidRPr="00E829D6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от 1077 лв.</w:t>
      </w: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съобразно придобития професионален опит. 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i/>
          <w:iCs/>
          <w:sz w:val="24"/>
          <w:szCs w:val="24"/>
          <w:lang w:val="bg-BG"/>
        </w:rPr>
        <w:t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администрацията.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Начин на провеждане на конкурса: 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Решаване на тест за познания от професионалната област на длъжността и такива, свързани с устройството и функционирането на КЗЛД.</w:t>
      </w:r>
    </w:p>
    <w:p w:rsidR="00E829D6" w:rsidRPr="00E829D6" w:rsidRDefault="00E829D6" w:rsidP="00E829D6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>Интервю.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Общи условия за провеждане на конкурсите:</w:t>
      </w: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Необходими документи за участие в конкурса:</w:t>
      </w:r>
    </w:p>
    <w:p w:rsidR="00E829D6" w:rsidRPr="00E829D6" w:rsidRDefault="00E829D6" w:rsidP="00E829D6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>Писмено заявление за участие в конкурса, съгласно приложение № 3 към чл. 17, ал. 2 от Наредбата за провеждане на конкурсите и подбора при мобилност на държавни служители /НПКПМДСл/;</w:t>
      </w:r>
    </w:p>
    <w:p w:rsidR="00E829D6" w:rsidRPr="00E829D6" w:rsidRDefault="00E829D6" w:rsidP="00E829D6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>Декларация по чл. 17, ал. 3, т. 1 от НПКПМДСл;</w:t>
      </w:r>
    </w:p>
    <w:p w:rsidR="00E829D6" w:rsidRPr="00E829D6" w:rsidRDefault="00E829D6" w:rsidP="00E829D6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lastRenderedPageBreak/>
        <w:t>Копия от документи за придобита образователно-квалификационна степен, която се изисква за длъжността;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i/>
          <w:noProof/>
          <w:sz w:val="24"/>
          <w:szCs w:val="24"/>
          <w:lang w:val="bg-BG"/>
        </w:rPr>
        <w:t>*  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:rsidR="00E829D6" w:rsidRPr="00E829D6" w:rsidRDefault="00E829D6" w:rsidP="00E829D6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>Копие от документите, които удостоверяват продължителността на професионалния опит;</w:t>
      </w:r>
    </w:p>
    <w:p w:rsidR="00E829D6" w:rsidRPr="00E829D6" w:rsidRDefault="00E829D6" w:rsidP="00E829D6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E829D6" w:rsidRPr="00E829D6" w:rsidRDefault="00E829D6" w:rsidP="00E829D6">
      <w:pPr>
        <w:pStyle w:val="ListParagraph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noProof/>
          <w:sz w:val="24"/>
          <w:szCs w:val="24"/>
          <w:lang w:val="bg-BG"/>
        </w:rPr>
        <w:t>Документи, удостоверяващи допълнителни умения и квалификации (при наличие на такива)</w:t>
      </w:r>
    </w:p>
    <w:p w:rsidR="00E829D6" w:rsidRPr="00E829D6" w:rsidRDefault="00E829D6" w:rsidP="00E829D6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</w:p>
    <w:p w:rsidR="00E829D6" w:rsidRPr="00E829D6" w:rsidRDefault="00E829D6" w:rsidP="00E829D6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Cs/>
          <w:i/>
          <w:sz w:val="24"/>
          <w:szCs w:val="24"/>
          <w:lang w:val="bg-BG"/>
        </w:rPr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E829D6" w:rsidRPr="00E829D6" w:rsidRDefault="00E829D6" w:rsidP="00E829D6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Място и срок на подаване на документите за участие:</w:t>
      </w:r>
    </w:p>
    <w:p w:rsidR="00E829D6" w:rsidRPr="00E829D6" w:rsidRDefault="00E829D6" w:rsidP="00E829D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Документите за участие в конкурса се подават лично или чрез пълномощник</w:t>
      </w: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 в Комисията за защита на личните данни на адрес: гр. София – 1592, бул. “Проф. Цветан Лазаров” № 2</w:t>
      </w:r>
      <w:r w:rsidRPr="00E829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стая № 102 – деловодство или по електронен път на </w:t>
      </w:r>
      <w:hyperlink r:id="rId5" w:history="1">
        <w:r w:rsidRPr="00E829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E829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E829D6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14</w:t>
      </w:r>
      <w:r w:rsidRPr="00E829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-дневен срок за прием на документи, считано от дата на обявяване в Портала за работа в държавната администрация- </w:t>
      </w:r>
      <w:hyperlink r:id="rId6" w:history="1">
        <w:r w:rsidRPr="00E829D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https://jobs.government.bg</w:t>
        </w:r>
      </w:hyperlink>
      <w:r w:rsidRPr="00E829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829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Срокът изтича в 17:00 часа на последния ден.</w:t>
      </w:r>
    </w:p>
    <w:p w:rsidR="00E829D6" w:rsidRPr="00E829D6" w:rsidRDefault="00E829D6" w:rsidP="00E829D6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829D6" w:rsidRPr="00E829D6" w:rsidRDefault="00E829D6" w:rsidP="00E829D6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Място за обявяване на списъци или други съобщения във връзка с конкурса:</w:t>
      </w:r>
    </w:p>
    <w:p w:rsidR="00E829D6" w:rsidRPr="00E829D6" w:rsidRDefault="00E829D6" w:rsidP="00E829D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sz w:val="24"/>
          <w:szCs w:val="24"/>
          <w:lang w:val="bg-BG"/>
        </w:rPr>
        <w:t xml:space="preserve">Списъци или друга информация във връзка с конкурса ще се обявяват на информационното табло на партерния етаж в сградата на Комисията за защита на личните данни, на горепосочения адрес и на интернет страницата на КЗЛД - </w:t>
      </w:r>
      <w:hyperlink r:id="rId7" w:history="1">
        <w:r w:rsidRPr="00E829D6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www.cpdp.bg</w:t>
        </w:r>
      </w:hyperlink>
    </w:p>
    <w:p w:rsidR="00775F67" w:rsidRPr="00E829D6" w:rsidRDefault="00775F67" w:rsidP="00E829D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75F67" w:rsidRPr="00E829D6" w:rsidRDefault="00775F67" w:rsidP="00E829D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29D6">
        <w:rPr>
          <w:rFonts w:ascii="Times New Roman" w:hAnsi="Times New Roman" w:cs="Times New Roman"/>
          <w:b/>
          <w:sz w:val="24"/>
          <w:szCs w:val="24"/>
          <w:lang w:val="bg-BG"/>
        </w:rPr>
        <w:t>Телефони за контакти: 02 9153-549</w:t>
      </w:r>
    </w:p>
    <w:p w:rsidR="00775F67" w:rsidRPr="00E829D6" w:rsidRDefault="00775F67" w:rsidP="00E829D6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  <w:sectPr w:rsidR="00775F67" w:rsidRPr="00E829D6" w:rsidSect="00775F67">
          <w:pgSz w:w="12240" w:h="15840"/>
          <w:pgMar w:top="1417" w:right="1080" w:bottom="1417" w:left="1080" w:header="720" w:footer="720" w:gutter="0"/>
          <w:pgNumType w:start="1"/>
          <w:cols w:space="720"/>
          <w:docGrid w:linePitch="360"/>
        </w:sectPr>
      </w:pPr>
    </w:p>
    <w:p w:rsidR="00775F67" w:rsidRPr="00E829D6" w:rsidRDefault="00775F67" w:rsidP="00E829D6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775F67" w:rsidRPr="00E829D6" w:rsidSect="00775F67">
      <w:type w:val="continuous"/>
      <w:pgSz w:w="12240" w:h="15840"/>
      <w:pgMar w:top="1417" w:right="108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1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1">
    <w:nsid w:val="62C85493"/>
    <w:multiLevelType w:val="multilevel"/>
    <w:tmpl w:val="39FCCB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1">
    <w:nsid w:val="6BCD76D4"/>
    <w:multiLevelType w:val="hybridMultilevel"/>
    <w:tmpl w:val="E45E8ACC"/>
    <w:lvl w:ilvl="0" w:tplc="FEBAB6B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6E0A42D0"/>
    <w:multiLevelType w:val="hybridMultilevel"/>
    <w:tmpl w:val="BBC61BAA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1">
    <w:nsid w:val="7F4F5938"/>
    <w:multiLevelType w:val="hybridMultilevel"/>
    <w:tmpl w:val="161A38DC"/>
    <w:lvl w:ilvl="0" w:tplc="FEBAB6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4234C"/>
    <w:rsid w:val="000F5BEA"/>
    <w:rsid w:val="001422B6"/>
    <w:rsid w:val="0017193C"/>
    <w:rsid w:val="002A2F46"/>
    <w:rsid w:val="00322FE0"/>
    <w:rsid w:val="00354943"/>
    <w:rsid w:val="0041154A"/>
    <w:rsid w:val="004B3360"/>
    <w:rsid w:val="00511407"/>
    <w:rsid w:val="00524721"/>
    <w:rsid w:val="00542317"/>
    <w:rsid w:val="005D7CD0"/>
    <w:rsid w:val="005F7AF1"/>
    <w:rsid w:val="006226EE"/>
    <w:rsid w:val="0069255F"/>
    <w:rsid w:val="0074421F"/>
    <w:rsid w:val="00775F67"/>
    <w:rsid w:val="008710CC"/>
    <w:rsid w:val="00B051DB"/>
    <w:rsid w:val="00B07D72"/>
    <w:rsid w:val="00B11AFF"/>
    <w:rsid w:val="00B37359"/>
    <w:rsid w:val="00C57311"/>
    <w:rsid w:val="00C83971"/>
    <w:rsid w:val="00E36B8E"/>
    <w:rsid w:val="00E75C87"/>
    <w:rsid w:val="00E829D6"/>
    <w:rsid w:val="00F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51EC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government.bg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2</cp:revision>
  <dcterms:created xsi:type="dcterms:W3CDTF">2025-10-31T11:53:00Z</dcterms:created>
  <dcterms:modified xsi:type="dcterms:W3CDTF">2025-10-31T12:33:00Z</dcterms:modified>
</cp:coreProperties>
</file>