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EE" w:rsidRPr="00F35C9F" w:rsidRDefault="003E7AEE" w:rsidP="003E7AE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b/>
          <w:sz w:val="24"/>
          <w:szCs w:val="24"/>
          <w:lang w:val="bg-BG"/>
        </w:rPr>
        <w:t>Европейска система за информация и разрешаване на пътувания (</w:t>
      </w:r>
      <w:r w:rsidRPr="002819AB">
        <w:rPr>
          <w:rFonts w:ascii="Times New Roman" w:hAnsi="Times New Roman" w:cs="Times New Roman"/>
          <w:b/>
          <w:sz w:val="24"/>
          <w:szCs w:val="24"/>
        </w:rPr>
        <w:t>ETIAS</w:t>
      </w:r>
      <w:r w:rsidRPr="00F35C9F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3E7AEE" w:rsidRPr="00F35C9F" w:rsidRDefault="003E7AEE" w:rsidP="003E7AE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Какво е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ETIAS</w:t>
      </w:r>
      <w:r w:rsidRPr="00F35C9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?</w:t>
      </w:r>
    </w:p>
    <w:p w:rsidR="003E7AEE" w:rsidRPr="002819AB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Системата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ETIAS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нова електронна система за предварителна проверка на граждани на трети страни, които не се нуждаят от виза за краткосрочни пътувания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 90 дни в рамките на 180 дни)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Шенгенското пространство. Тази система ще извършва проверки на пътниците преди тяхното пристигане, като целта ѝ е да засили сигурността и да подпомогне управлението на външните граници на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Европейския съюз (ЕС)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3E7AEE" w:rsidRPr="002819AB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Целта на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ETIAS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да подобри сигурността на границите, като извършва автоматизирани проверки на потенциални рискове, свързани със сигурността, нелегалната имиграция, или рискове за общественото здраве, преди пътникът да пристигне на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територията на държава членка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ЕС.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Валидно даденото</w:t>
      </w:r>
      <w:bookmarkStart w:id="0" w:name="_GoBack"/>
      <w:bookmarkEnd w:id="0"/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разрешение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пътуване от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ETIAS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не гарантира влизане на територията на държава членка на ЕС, тъй като пътниците се проверяват от гранични служители, които проверяват дали всички условия за влизане са спазени. </w:t>
      </w:r>
    </w:p>
    <w:p w:rsidR="003E7AEE" w:rsidRPr="002819AB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Как работи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ETIAS?</w:t>
      </w:r>
    </w:p>
    <w:p w:rsidR="003E7AEE" w:rsidRPr="002819AB" w:rsidRDefault="003E7AEE" w:rsidP="00946FF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Подаване на заявка за разрешение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-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Гражданите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държави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освободени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визи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попълнят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паспортни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контактна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пътуването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. </w:t>
      </w:r>
      <w:r w:rsidRPr="002819AB">
        <w:rPr>
          <w:rFonts w:ascii="Times New Roman" w:hAnsi="Times New Roman" w:cs="Times New Roman"/>
          <w:sz w:val="24"/>
          <w:szCs w:val="24"/>
          <w:lang w:val="bg-BG"/>
        </w:rPr>
        <w:t>В заявката ще присъства раздел</w:t>
      </w:r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r w:rsidRPr="002819AB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отговори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сигурността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предишни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престъпления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>;</w:t>
      </w:r>
    </w:p>
    <w:p w:rsidR="003E7AEE" w:rsidRPr="002819AB" w:rsidRDefault="003E7AEE" w:rsidP="00946FF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Проверка на информацията -</w:t>
      </w:r>
      <w:r w:rsidRPr="002819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подаването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заявката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ETIAS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автоматизирани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границите</w:t>
      </w:r>
      <w:proofErr w:type="spellEnd"/>
      <w:r w:rsidRPr="002819A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E7AEE" w:rsidRPr="002819AB" w:rsidRDefault="003E7AEE" w:rsidP="00946FF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Резултат от проверката -</w:t>
      </w:r>
      <w:r w:rsidRPr="002819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819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повечето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заявката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обработена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автоматично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отговорът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издаден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няколко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минути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никакви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рискове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пътникът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одобрение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пътуване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идентифицира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потенциални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рискове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заявката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прегледана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одобрят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откажат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разрешението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>;</w:t>
      </w:r>
    </w:p>
    <w:p w:rsidR="003E7AEE" w:rsidRPr="002819AB" w:rsidRDefault="003E7AEE" w:rsidP="00946FF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Срок на валидност -</w:t>
      </w:r>
      <w:r w:rsidRPr="002819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Одобреното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ETIAS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валидно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изтичане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валидността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използвания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настъпи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пътникът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многократни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пътувания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Шенгенското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кратки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престои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>.</w:t>
      </w:r>
    </w:p>
    <w:p w:rsidR="003E7AEE" w:rsidRPr="002819AB" w:rsidRDefault="003E7AEE" w:rsidP="00946FF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Какви данни се събират и обработват във връзка с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ETIAS?</w:t>
      </w:r>
    </w:p>
    <w:p w:rsidR="003E7AEE" w:rsidRPr="00284149" w:rsidRDefault="003E7AEE" w:rsidP="00946FF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Заявителите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предоставят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7AEE" w:rsidRPr="00284149" w:rsidRDefault="003E7AEE" w:rsidP="00946FF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lastRenderedPageBreak/>
        <w:t>Лични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раждане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националност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7AEE" w:rsidRPr="00284149" w:rsidRDefault="003E7AEE" w:rsidP="00946FF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Пътни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паспорт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издаване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валидност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7AEE" w:rsidRPr="00284149" w:rsidRDefault="003E7AEE" w:rsidP="00946FF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планираното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пътуване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наприм</w:t>
      </w:r>
      <w:r w:rsidRPr="002819AB">
        <w:rPr>
          <w:rFonts w:ascii="Times New Roman" w:eastAsia="Times New Roman" w:hAnsi="Times New Roman" w:cs="Times New Roman"/>
          <w:sz w:val="24"/>
          <w:szCs w:val="24"/>
        </w:rPr>
        <w:t>ер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къде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планират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sz w:val="24"/>
          <w:szCs w:val="24"/>
        </w:rPr>
        <w:t>пребивават</w:t>
      </w:r>
      <w:proofErr w:type="spellEnd"/>
      <w:r w:rsidRPr="002819A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7AEE" w:rsidRPr="00284149" w:rsidRDefault="003E7AEE" w:rsidP="00946FF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Отговори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въпроси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криминални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деяния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общественото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149">
        <w:rPr>
          <w:rFonts w:ascii="Times New Roman" w:eastAsia="Times New Roman" w:hAnsi="Times New Roman" w:cs="Times New Roman"/>
          <w:sz w:val="24"/>
          <w:szCs w:val="24"/>
        </w:rPr>
        <w:t>здраве</w:t>
      </w:r>
      <w:proofErr w:type="spellEnd"/>
      <w:r w:rsidRPr="0028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AEE" w:rsidRPr="00F35C9F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ETIAS е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проектирана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строгите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личните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281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819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(ЕС) 2016/679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r w:rsidRPr="00F35C9F">
        <w:rPr>
          <w:rFonts w:ascii="Times New Roman" w:hAnsi="Times New Roman" w:cs="Times New Roman"/>
          <w:sz w:val="24"/>
          <w:szCs w:val="24"/>
          <w:lang w:val="bg-BG"/>
        </w:rPr>
        <w:t>Данните ще бъдат използвани само за целите на сигурността, управлението на границите и защитата на общественото здраве, като достъпът до тях ще бъде ограничен до оправомощени органи. Заявителите ще имат право на достъп до своите данни, както и на коригиране или заличаване на информацията, ако тя е неточна.</w:t>
      </w:r>
    </w:p>
    <w:p w:rsidR="003E7AEE" w:rsidRPr="00F35C9F" w:rsidRDefault="003E7AEE" w:rsidP="00946FF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35C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Как можете да подадете жалба?</w:t>
      </w:r>
    </w:p>
    <w:p w:rsidR="003E7AEE" w:rsidRPr="00F35C9F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Ако молбата ви за разрешение за пътуване по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ETIAS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бъде отказана или ако вашето разрешение за пътуване по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ETIAS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бъде отменено или анулирано, ще получите имейл, посочващ основанията за отказа и органа, взел решението.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Имейлът ще включва информация към кои европейски държави трябва да се обърнете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при подаване на жалба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ще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описва съответната процедура. Жалбите се разглеждат в съответствие с националното законодателство на тези страни.</w:t>
      </w:r>
    </w:p>
    <w:p w:rsidR="003E7AEE" w:rsidRPr="00F35C9F" w:rsidRDefault="003E7AEE" w:rsidP="00946FFC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Ако вашето разрешение за пътуване бъде отменено по ваша собствена молба, не е възможно да обжалвате решението.</w:t>
      </w:r>
    </w:p>
    <w:p w:rsidR="007F5ACE" w:rsidRPr="002C3D1A" w:rsidRDefault="003E7AEE" w:rsidP="00946FF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Повече информация относно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ETIAS</w:t>
      </w:r>
      <w:r w:rsidRPr="00F35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можете да прочетете на следната </w:t>
      </w:r>
      <w:hyperlink r:id="rId5" w:history="1">
        <w:r w:rsidRPr="002819A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страница</w:t>
        </w:r>
      </w:hyperlink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</w:p>
    <w:sectPr w:rsidR="007F5ACE" w:rsidRPr="002C3D1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8D6"/>
    <w:multiLevelType w:val="multilevel"/>
    <w:tmpl w:val="375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546E6"/>
    <w:multiLevelType w:val="hybridMultilevel"/>
    <w:tmpl w:val="B55ACDC4"/>
    <w:lvl w:ilvl="0" w:tplc="DD941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02"/>
    <w:rsid w:val="002C3D1A"/>
    <w:rsid w:val="003E7AEE"/>
    <w:rsid w:val="007F5ACE"/>
    <w:rsid w:val="00946FFC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B146-C8B0-4A1E-8962-0AB059E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el-europe.europa.eu/etias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Gugudi</dc:creator>
  <cp:keywords/>
  <dc:description/>
  <cp:lastModifiedBy>Kremena Gugudi</cp:lastModifiedBy>
  <cp:revision>4</cp:revision>
  <dcterms:created xsi:type="dcterms:W3CDTF">2024-11-20T07:10:00Z</dcterms:created>
  <dcterms:modified xsi:type="dcterms:W3CDTF">2024-11-20T07:14:00Z</dcterms:modified>
</cp:coreProperties>
</file>