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B8" w:rsidRPr="00FD4C39" w:rsidRDefault="00A51D6C" w:rsidP="00262FD3">
      <w:pPr>
        <w:spacing w:after="0" w:line="360" w:lineRule="auto"/>
        <w:ind w:left="-567" w:right="-109" w:firstLine="425"/>
        <w:rPr>
          <w:rFonts w:ascii="Times New Roman" w:eastAsia="Times New Roman" w:hAnsi="Times New Roman"/>
          <w:b/>
          <w:w w:val="120"/>
          <w:sz w:val="24"/>
          <w:szCs w:val="24"/>
        </w:rPr>
      </w:pPr>
      <w:r>
        <w:rPr>
          <w:rFonts w:ascii="Times New Roman" w:eastAsia="Times New Roman" w:hAnsi="Times New Roman"/>
          <w:b/>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17.55pt;margin-top:-29.65pt;width:402.75pt;height:6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cswIAALk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" filled="f" stroked="f">
            <v:textbox style="mso-next-textbox:#Text Box 5">
              <w:txbxContent>
                <w:p w:rsidR="004A6E93" w:rsidRPr="0077741D" w:rsidRDefault="004A6E93" w:rsidP="001F1FB8">
                  <w:pPr>
                    <w:spacing w:after="0" w:line="360" w:lineRule="auto"/>
                    <w:jc w:val="center"/>
                    <w:rPr>
                      <w:rFonts w:ascii="Times New Roman" w:hAnsi="Times New Roman"/>
                      <w:b/>
                      <w:sz w:val="44"/>
                      <w:szCs w:val="44"/>
                    </w:rPr>
                  </w:pPr>
                  <w:r w:rsidRPr="0077741D">
                    <w:rPr>
                      <w:rFonts w:ascii="Times New Roman" w:hAnsi="Times New Roman"/>
                      <w:b/>
                      <w:sz w:val="44"/>
                      <w:szCs w:val="44"/>
                    </w:rPr>
                    <w:t>РЕПУБЛИКА  БЪЛГАРИЯ</w:t>
                  </w:r>
                </w:p>
                <w:p w:rsidR="004A6E93" w:rsidRPr="00262FD3" w:rsidRDefault="004A6E93" w:rsidP="001F1FB8">
                  <w:pPr>
                    <w:spacing w:after="0" w:line="360" w:lineRule="auto"/>
                    <w:jc w:val="center"/>
                    <w:rPr>
                      <w:rFonts w:ascii="Times New Roman" w:hAnsi="Times New Roman"/>
                      <w:b/>
                      <w:sz w:val="32"/>
                      <w:szCs w:val="32"/>
                      <w:lang w:val="ru-RU"/>
                    </w:rPr>
                  </w:pPr>
                  <w:r w:rsidRPr="00262FD3">
                    <w:rPr>
                      <w:rFonts w:ascii="Times New Roman" w:hAnsi="Times New Roman"/>
                      <w:b/>
                      <w:sz w:val="32"/>
                      <w:szCs w:val="32"/>
                    </w:rPr>
                    <w:t>КОМИСИЯ ЗА ЗАЩИТА НА ЛИЧНИТЕ</w:t>
                  </w:r>
                  <w:r w:rsidRPr="00262FD3">
                    <w:rPr>
                      <w:rFonts w:ascii="Times New Roman" w:hAnsi="Times New Roman"/>
                      <w:b/>
                      <w:sz w:val="32"/>
                      <w:szCs w:val="32"/>
                      <w:lang w:val="ru-RU"/>
                    </w:rPr>
                    <w:t xml:space="preserve"> </w:t>
                  </w:r>
                  <w:r w:rsidRPr="00262FD3">
                    <w:rPr>
                      <w:rFonts w:ascii="Times New Roman" w:hAnsi="Times New Roman"/>
                      <w:b/>
                      <w:sz w:val="32"/>
                      <w:szCs w:val="32"/>
                    </w:rPr>
                    <w:t>ДАННИ</w:t>
                  </w:r>
                </w:p>
              </w:txbxContent>
            </v:textbox>
          </v:shape>
        </w:pict>
      </w:r>
      <w:r w:rsidR="006737DC" w:rsidRPr="00FD4C39">
        <w:rPr>
          <w:rFonts w:ascii="Times New Roman" w:eastAsia="Times New Roman" w:hAnsi="Times New Roman"/>
          <w:b/>
          <w:noProof/>
          <w:w w:val="120"/>
          <w:sz w:val="24"/>
          <w:szCs w:val="24"/>
        </w:rPr>
        <w:drawing>
          <wp:anchor distT="0" distB="0" distL="114300" distR="114300" simplePos="0" relativeHeight="251661312" behindDoc="0" locked="0" layoutInCell="1" allowOverlap="1" wp14:anchorId="76733A8B" wp14:editId="3D99D6E4">
            <wp:simplePos x="0" y="0"/>
            <wp:positionH relativeFrom="column">
              <wp:posOffset>-89535</wp:posOffset>
            </wp:positionH>
            <wp:positionV relativeFrom="paragraph">
              <wp:posOffset>-433705</wp:posOffset>
            </wp:positionV>
            <wp:extent cx="1076325" cy="895350"/>
            <wp:effectExtent l="0" t="0" r="0" b="0"/>
            <wp:wrapSquare wrapText="bothSides"/>
            <wp:docPr id="2" name="Picture 2"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FB8" w:rsidRPr="00FD4C39" w:rsidRDefault="001F1FB8" w:rsidP="001F1FB8">
      <w:pPr>
        <w:spacing w:after="0" w:line="360" w:lineRule="auto"/>
        <w:ind w:right="-109" w:firstLine="748"/>
        <w:jc w:val="center"/>
        <w:rPr>
          <w:rFonts w:ascii="Times New Roman" w:eastAsia="Times New Roman" w:hAnsi="Times New Roman"/>
          <w:b/>
          <w:w w:val="120"/>
          <w:sz w:val="24"/>
          <w:szCs w:val="24"/>
        </w:rPr>
      </w:pPr>
    </w:p>
    <w:p w:rsidR="001F1FB8" w:rsidRPr="00FD4C39" w:rsidRDefault="00A51D6C" w:rsidP="00765B16">
      <w:pPr>
        <w:spacing w:after="0" w:line="360" w:lineRule="auto"/>
        <w:ind w:right="-109"/>
        <w:jc w:val="center"/>
        <w:rPr>
          <w:rFonts w:ascii="Times New Roman" w:eastAsia="Times New Roman" w:hAnsi="Times New Roman"/>
          <w:b/>
          <w:w w:val="120"/>
          <w:sz w:val="52"/>
          <w:szCs w:val="26"/>
        </w:rPr>
      </w:pPr>
      <w:r>
        <w:rPr>
          <w:rFonts w:ascii="Times New Roman" w:eastAsia="Times New Roman" w:hAnsi="Times New Roman"/>
          <w:b/>
          <w:sz w:val="24"/>
          <w:szCs w:val="24"/>
        </w:rPr>
        <w:pict>
          <v:line id="Straight Connector 4" o:spid="_x0000_s1027" style="position:absolute;left:0;text-align:left;flip:y;z-index:251659264;visibility:visible" from="-12.05pt,6.2pt" to="46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" o:allowincell="f" strokeweight="4.5pt">
            <v:stroke linestyle="thickThin"/>
          </v:line>
        </w:pict>
      </w:r>
    </w:p>
    <w:p w:rsidR="0044159A" w:rsidRDefault="0044159A" w:rsidP="00765B16">
      <w:pPr>
        <w:spacing w:after="0" w:line="360" w:lineRule="auto"/>
        <w:ind w:right="-109"/>
        <w:jc w:val="center"/>
        <w:rPr>
          <w:rFonts w:ascii="Times New Roman" w:eastAsia="Times New Roman" w:hAnsi="Times New Roman"/>
          <w:b/>
          <w:w w:val="120"/>
          <w:sz w:val="52"/>
          <w:szCs w:val="26"/>
          <w:lang w:val="en-US"/>
        </w:rPr>
      </w:pPr>
    </w:p>
    <w:p w:rsidR="0044159A" w:rsidRPr="0044159A" w:rsidRDefault="0044159A" w:rsidP="00765B16">
      <w:pPr>
        <w:spacing w:after="0" w:line="360" w:lineRule="auto"/>
        <w:ind w:right="-109"/>
        <w:jc w:val="center"/>
        <w:rPr>
          <w:rFonts w:ascii="Times New Roman" w:eastAsia="Times New Roman" w:hAnsi="Times New Roman"/>
          <w:b/>
          <w:w w:val="120"/>
          <w:sz w:val="52"/>
          <w:szCs w:val="26"/>
          <w:lang w:val="en-US"/>
        </w:rPr>
      </w:pPr>
    </w:p>
    <w:p w:rsidR="001F1FB8" w:rsidRPr="00FD4C39" w:rsidRDefault="001F1FB8" w:rsidP="00765B16">
      <w:pPr>
        <w:spacing w:after="0" w:line="360" w:lineRule="auto"/>
        <w:ind w:right="-109"/>
        <w:jc w:val="center"/>
        <w:rPr>
          <w:rFonts w:ascii="Times New Roman" w:eastAsia="Times New Roman" w:hAnsi="Times New Roman"/>
          <w:b/>
          <w:w w:val="120"/>
          <w:sz w:val="52"/>
          <w:szCs w:val="26"/>
        </w:rPr>
      </w:pPr>
    </w:p>
    <w:p w:rsidR="001F1FB8" w:rsidRPr="00FD4C39" w:rsidRDefault="001F1FB8" w:rsidP="001F1FB8">
      <w:pPr>
        <w:spacing w:after="0" w:line="360" w:lineRule="auto"/>
        <w:ind w:right="-109"/>
        <w:jc w:val="center"/>
        <w:rPr>
          <w:rFonts w:ascii="Times New Roman" w:eastAsia="Times New Roman" w:hAnsi="Times New Roman"/>
          <w:b/>
          <w:w w:val="120"/>
          <w:sz w:val="52"/>
          <w:szCs w:val="26"/>
        </w:rPr>
      </w:pPr>
      <w:r w:rsidRPr="00FD4C39">
        <w:rPr>
          <w:rFonts w:ascii="Times New Roman" w:eastAsia="Times New Roman" w:hAnsi="Times New Roman"/>
          <w:b/>
          <w:w w:val="120"/>
          <w:sz w:val="52"/>
          <w:szCs w:val="26"/>
        </w:rPr>
        <w:t>Г О Д И Ш Е Н  О Т Ч Е Т</w:t>
      </w:r>
    </w:p>
    <w:p w:rsidR="001F1FB8" w:rsidRPr="00FD4C39" w:rsidRDefault="001F1FB8" w:rsidP="001F1FB8">
      <w:pPr>
        <w:spacing w:after="0" w:line="360" w:lineRule="auto"/>
        <w:ind w:right="-109"/>
        <w:jc w:val="center"/>
        <w:rPr>
          <w:rFonts w:ascii="Times New Roman" w:eastAsia="Times New Roman" w:hAnsi="Times New Roman"/>
          <w:b/>
          <w:sz w:val="44"/>
          <w:szCs w:val="26"/>
        </w:rPr>
      </w:pPr>
    </w:p>
    <w:p w:rsidR="001F1FB8" w:rsidRPr="00FD4C39" w:rsidRDefault="001F1FB8" w:rsidP="001F1FB8">
      <w:pPr>
        <w:spacing w:after="0" w:line="360" w:lineRule="auto"/>
        <w:ind w:right="-109"/>
        <w:jc w:val="center"/>
        <w:rPr>
          <w:rFonts w:ascii="Times New Roman" w:eastAsia="Times New Roman" w:hAnsi="Times New Roman"/>
          <w:b/>
          <w:sz w:val="44"/>
          <w:szCs w:val="26"/>
        </w:rPr>
      </w:pPr>
    </w:p>
    <w:p w:rsidR="001F1FB8" w:rsidRPr="00FD4C39" w:rsidRDefault="001F1FB8" w:rsidP="001F1FB8">
      <w:pPr>
        <w:spacing w:after="0" w:line="360" w:lineRule="auto"/>
        <w:ind w:right="-109"/>
        <w:jc w:val="center"/>
        <w:rPr>
          <w:rFonts w:ascii="Times New Roman" w:eastAsia="Times New Roman" w:hAnsi="Times New Roman"/>
          <w:b/>
          <w:sz w:val="44"/>
          <w:szCs w:val="26"/>
        </w:rPr>
      </w:pPr>
    </w:p>
    <w:p w:rsidR="001F1FB8" w:rsidRPr="00FD4C39" w:rsidRDefault="001F1FB8" w:rsidP="001F1FB8">
      <w:pPr>
        <w:spacing w:after="0" w:line="360" w:lineRule="auto"/>
        <w:ind w:right="-109"/>
        <w:jc w:val="center"/>
        <w:rPr>
          <w:rFonts w:ascii="Times New Roman" w:eastAsia="Times New Roman" w:hAnsi="Times New Roman"/>
          <w:b/>
          <w:sz w:val="44"/>
          <w:szCs w:val="26"/>
        </w:rPr>
      </w:pPr>
      <w:r w:rsidRPr="00FD4C39">
        <w:rPr>
          <w:rFonts w:ascii="Times New Roman" w:eastAsia="Times New Roman" w:hAnsi="Times New Roman"/>
          <w:b/>
          <w:sz w:val="44"/>
          <w:szCs w:val="26"/>
        </w:rPr>
        <w:t xml:space="preserve">на Комисията за защита на личните данни </w:t>
      </w:r>
    </w:p>
    <w:p w:rsidR="001F1FB8" w:rsidRPr="00FD4C39" w:rsidRDefault="001F1FB8" w:rsidP="001F1FB8">
      <w:pPr>
        <w:tabs>
          <w:tab w:val="left" w:pos="284"/>
        </w:tabs>
        <w:spacing w:after="0" w:line="360" w:lineRule="auto"/>
        <w:ind w:right="-109"/>
        <w:jc w:val="center"/>
        <w:rPr>
          <w:rFonts w:ascii="Times New Roman" w:eastAsia="Times New Roman" w:hAnsi="Times New Roman"/>
          <w:b/>
          <w:sz w:val="44"/>
          <w:szCs w:val="26"/>
        </w:rPr>
      </w:pPr>
      <w:r w:rsidRPr="00FD4C39">
        <w:rPr>
          <w:rFonts w:ascii="Times New Roman" w:eastAsia="Times New Roman" w:hAnsi="Times New Roman"/>
          <w:b/>
          <w:sz w:val="44"/>
          <w:szCs w:val="26"/>
        </w:rPr>
        <w:t>за дейността й през 2014 година</w:t>
      </w:r>
    </w:p>
    <w:p w:rsidR="001F1FB8" w:rsidRPr="00FD4C39" w:rsidRDefault="001F1FB8" w:rsidP="001F1FB8">
      <w:pPr>
        <w:spacing w:after="0" w:line="360" w:lineRule="auto"/>
        <w:ind w:right="-109"/>
        <w:jc w:val="center"/>
        <w:rPr>
          <w:rFonts w:ascii="Times New Roman" w:eastAsia="Times New Roman" w:hAnsi="Times New Roman"/>
          <w:b/>
          <w:sz w:val="36"/>
          <w:szCs w:val="26"/>
        </w:rPr>
      </w:pPr>
    </w:p>
    <w:p w:rsidR="001F1FB8" w:rsidRDefault="001F1FB8" w:rsidP="001F1FB8">
      <w:pPr>
        <w:spacing w:after="0" w:line="360" w:lineRule="auto"/>
        <w:ind w:right="-109"/>
        <w:jc w:val="center"/>
        <w:rPr>
          <w:rFonts w:ascii="Times New Roman" w:eastAsia="Times New Roman" w:hAnsi="Times New Roman"/>
          <w:b/>
          <w:sz w:val="36"/>
          <w:szCs w:val="26"/>
        </w:rPr>
      </w:pPr>
    </w:p>
    <w:p w:rsidR="00B319F1" w:rsidRPr="00FD4C39" w:rsidRDefault="00B319F1" w:rsidP="001F1FB8">
      <w:pPr>
        <w:spacing w:after="0" w:line="360" w:lineRule="auto"/>
        <w:ind w:right="-109"/>
        <w:jc w:val="center"/>
        <w:rPr>
          <w:rFonts w:ascii="Times New Roman" w:eastAsia="Times New Roman" w:hAnsi="Times New Roman"/>
          <w:b/>
          <w:sz w:val="36"/>
          <w:szCs w:val="26"/>
        </w:rPr>
      </w:pPr>
    </w:p>
    <w:p w:rsidR="001F1FB8" w:rsidRPr="00FD4C39" w:rsidRDefault="001F1FB8" w:rsidP="001F1FB8">
      <w:pPr>
        <w:spacing w:after="0" w:line="360" w:lineRule="auto"/>
        <w:ind w:right="-109"/>
        <w:jc w:val="center"/>
        <w:rPr>
          <w:rFonts w:ascii="Times New Roman" w:eastAsia="Times New Roman" w:hAnsi="Times New Roman"/>
          <w:b/>
          <w:sz w:val="36"/>
          <w:szCs w:val="26"/>
        </w:rPr>
      </w:pPr>
    </w:p>
    <w:p w:rsidR="001F1FB8" w:rsidRPr="00FD4C39" w:rsidRDefault="001F1FB8" w:rsidP="001F1FB8">
      <w:pPr>
        <w:spacing w:after="0" w:line="360" w:lineRule="auto"/>
        <w:ind w:right="-109"/>
        <w:jc w:val="center"/>
        <w:rPr>
          <w:rFonts w:ascii="Times New Roman" w:eastAsia="Times New Roman" w:hAnsi="Times New Roman"/>
          <w:b/>
          <w:sz w:val="36"/>
          <w:szCs w:val="26"/>
        </w:rPr>
      </w:pPr>
      <w:bookmarkStart w:id="0" w:name="_GoBack"/>
      <w:bookmarkEnd w:id="0"/>
    </w:p>
    <w:p w:rsidR="001F1FB8" w:rsidRPr="00FD4C39" w:rsidRDefault="001F1FB8" w:rsidP="001F1FB8">
      <w:pPr>
        <w:spacing w:after="0" w:line="360" w:lineRule="auto"/>
        <w:ind w:right="-109"/>
        <w:jc w:val="center"/>
        <w:rPr>
          <w:rFonts w:ascii="Times New Roman" w:eastAsia="Times New Roman" w:hAnsi="Times New Roman"/>
          <w:b/>
          <w:sz w:val="28"/>
          <w:szCs w:val="26"/>
        </w:rPr>
      </w:pPr>
    </w:p>
    <w:p w:rsidR="001F1FB8" w:rsidRPr="00FD4C39" w:rsidRDefault="001F1FB8" w:rsidP="001F1FB8">
      <w:pPr>
        <w:spacing w:after="0" w:line="360" w:lineRule="auto"/>
        <w:ind w:right="-109"/>
        <w:jc w:val="center"/>
        <w:rPr>
          <w:rFonts w:ascii="Times New Roman" w:eastAsia="Times New Roman" w:hAnsi="Times New Roman"/>
          <w:b/>
          <w:sz w:val="28"/>
          <w:szCs w:val="26"/>
        </w:rPr>
      </w:pPr>
      <w:r w:rsidRPr="00FD4C39">
        <w:rPr>
          <w:rFonts w:ascii="Times New Roman" w:eastAsia="Times New Roman" w:hAnsi="Times New Roman"/>
          <w:b/>
          <w:sz w:val="28"/>
          <w:szCs w:val="26"/>
        </w:rPr>
        <w:t>на основание</w:t>
      </w:r>
      <w:r w:rsidR="00884B97">
        <w:rPr>
          <w:rFonts w:ascii="Times New Roman" w:eastAsia="Times New Roman" w:hAnsi="Times New Roman"/>
          <w:b/>
          <w:sz w:val="28"/>
          <w:szCs w:val="26"/>
        </w:rPr>
        <w:t xml:space="preserve"> чл. </w:t>
      </w:r>
      <w:r w:rsidRPr="00FD4C39">
        <w:rPr>
          <w:rFonts w:ascii="Times New Roman" w:eastAsia="Times New Roman" w:hAnsi="Times New Roman"/>
          <w:b/>
          <w:sz w:val="28"/>
          <w:szCs w:val="26"/>
        </w:rPr>
        <w:t>7,</w:t>
      </w:r>
      <w:r w:rsidR="00884B97">
        <w:rPr>
          <w:rFonts w:ascii="Times New Roman" w:eastAsia="Times New Roman" w:hAnsi="Times New Roman"/>
          <w:b/>
          <w:sz w:val="28"/>
          <w:szCs w:val="26"/>
        </w:rPr>
        <w:t xml:space="preserve"> ал. </w:t>
      </w:r>
      <w:r w:rsidRPr="00FD4C39">
        <w:rPr>
          <w:rFonts w:ascii="Times New Roman" w:eastAsia="Times New Roman" w:hAnsi="Times New Roman"/>
          <w:b/>
          <w:sz w:val="28"/>
          <w:szCs w:val="26"/>
        </w:rPr>
        <w:t>6 от Закона за защита на личните данни</w:t>
      </w:r>
    </w:p>
    <w:p w:rsidR="00DF5D4A" w:rsidRPr="00FD4C39" w:rsidRDefault="00DF5D4A">
      <w:pPr>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br w:type="page"/>
      </w:r>
    </w:p>
    <w:p w:rsidR="00D3143F" w:rsidRPr="00FD4C39" w:rsidRDefault="00EF364C" w:rsidP="007C6C1E">
      <w:pPr>
        <w:spacing w:after="0" w:line="360" w:lineRule="auto"/>
        <w:ind w:right="-109" w:firstLine="748"/>
        <w:jc w:val="center"/>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lastRenderedPageBreak/>
        <w:t>СЪДЪРЖАНИЕ</w:t>
      </w:r>
    </w:p>
    <w:p w:rsidR="00224E03" w:rsidRPr="00FD4C39" w:rsidRDefault="00224E03" w:rsidP="007C6C1E">
      <w:pPr>
        <w:spacing w:after="0" w:line="360" w:lineRule="auto"/>
        <w:ind w:right="-109" w:firstLine="748"/>
        <w:jc w:val="center"/>
        <w:rPr>
          <w:rFonts w:ascii="Times New Roman" w:eastAsia="Times New Roman" w:hAnsi="Times New Roman" w:cs="Times New Roman"/>
          <w:b/>
          <w:sz w:val="24"/>
          <w:szCs w:val="24"/>
        </w:rPr>
      </w:pPr>
    </w:p>
    <w:tbl>
      <w:tblPr>
        <w:tblW w:w="9113" w:type="dxa"/>
        <w:tblInd w:w="-72" w:type="dxa"/>
        <w:tblCellMar>
          <w:left w:w="70" w:type="dxa"/>
          <w:right w:w="70" w:type="dxa"/>
        </w:tblCellMar>
        <w:tblLook w:val="04A0" w:firstRow="1" w:lastRow="0" w:firstColumn="1" w:lastColumn="0" w:noHBand="0" w:noVBand="1"/>
      </w:tblPr>
      <w:tblGrid>
        <w:gridCol w:w="614"/>
        <w:gridCol w:w="7466"/>
        <w:gridCol w:w="533"/>
        <w:gridCol w:w="500"/>
      </w:tblGrid>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Увод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5</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II.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Регистрация на </w:t>
            </w:r>
            <w:r w:rsidR="00F03578" w:rsidRPr="00FD4C39">
              <w:rPr>
                <w:rFonts w:ascii="Times New Roman" w:eastAsia="Times New Roman" w:hAnsi="Times New Roman" w:cs="Times New Roman"/>
                <w:color w:val="000000"/>
                <w:sz w:val="24"/>
                <w:szCs w:val="24"/>
              </w:rPr>
              <w:t xml:space="preserve">администратори на лични данни </w:t>
            </w:r>
            <w:r w:rsidRPr="00FD4C39">
              <w:rPr>
                <w:rFonts w:ascii="Times New Roman" w:eastAsia="Times New Roman" w:hAnsi="Times New Roman" w:cs="Times New Roman"/>
                <w:color w:val="000000"/>
                <w:sz w:val="24"/>
                <w:szCs w:val="24"/>
              </w:rPr>
              <w:t>и на водените от тях регистри на лични данни</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6</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III.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Защита правата на физическите лица при обработване на личните им данни</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10</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IV.</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Статистика и анализ н</w:t>
            </w:r>
            <w:r w:rsidR="00FD4C39" w:rsidRPr="00FD4C39">
              <w:rPr>
                <w:rFonts w:ascii="Times New Roman" w:eastAsia="Times New Roman" w:hAnsi="Times New Roman" w:cs="Times New Roman"/>
                <w:color w:val="000000"/>
                <w:sz w:val="24"/>
                <w:szCs w:val="24"/>
              </w:rPr>
              <w:t xml:space="preserve">а контролната и </w:t>
            </w:r>
            <w:proofErr w:type="spellStart"/>
            <w:r w:rsidR="00FD4C39" w:rsidRPr="00FD4C39">
              <w:rPr>
                <w:rFonts w:ascii="Times New Roman" w:eastAsia="Times New Roman" w:hAnsi="Times New Roman" w:cs="Times New Roman"/>
                <w:color w:val="000000"/>
                <w:sz w:val="24"/>
                <w:szCs w:val="24"/>
              </w:rPr>
              <w:t>административно</w:t>
            </w:r>
            <w:r w:rsidRPr="00FD4C39">
              <w:rPr>
                <w:rFonts w:ascii="Times New Roman" w:eastAsia="Times New Roman" w:hAnsi="Times New Roman" w:cs="Times New Roman"/>
                <w:color w:val="000000"/>
                <w:sz w:val="24"/>
                <w:szCs w:val="24"/>
              </w:rPr>
              <w:t>наказателната</w:t>
            </w:r>
            <w:proofErr w:type="spellEnd"/>
            <w:r w:rsidRPr="00FD4C39">
              <w:rPr>
                <w:rFonts w:ascii="Times New Roman" w:eastAsia="Times New Roman" w:hAnsi="Times New Roman" w:cs="Times New Roman"/>
                <w:color w:val="000000"/>
                <w:sz w:val="24"/>
                <w:szCs w:val="24"/>
              </w:rPr>
              <w:t xml:space="preserve"> дейност</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B6002E"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2</w:t>
            </w:r>
            <w:r w:rsidR="00053134" w:rsidRPr="00FD4C39">
              <w:rPr>
                <w:rFonts w:ascii="Times New Roman" w:eastAsia="Times New Roman" w:hAnsi="Times New Roman" w:cs="Times New Roman"/>
                <w:color w:val="000000"/>
                <w:sz w:val="24"/>
                <w:szCs w:val="24"/>
              </w:rPr>
              <w:t>6</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V.</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Контролна дейност върху политически субекти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B6002E"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3</w:t>
            </w:r>
            <w:r w:rsidR="00053134" w:rsidRPr="00FD4C39">
              <w:rPr>
                <w:rFonts w:ascii="Times New Roman" w:eastAsia="Times New Roman" w:hAnsi="Times New Roman" w:cs="Times New Roman"/>
                <w:color w:val="000000"/>
                <w:sz w:val="24"/>
                <w:szCs w:val="24"/>
              </w:rPr>
              <w:t>8</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VI.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Производства по изразяване на становища и разрешаване предоставянето на данни в трети държави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49</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VII.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Обучение в областта на защитата на личните данни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62</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VIII.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Реализация на проекти с национално и международно финансиране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68</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IX.</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КЗЛД</w:t>
            </w:r>
            <w:r w:rsidR="004D42A2">
              <w:rPr>
                <w:rFonts w:ascii="Times New Roman" w:eastAsia="Times New Roman" w:hAnsi="Times New Roman" w:cs="Times New Roman"/>
                <w:color w:val="000000"/>
                <w:sz w:val="24"/>
                <w:szCs w:val="24"/>
              </w:rPr>
              <w:t xml:space="preserve"> – </w:t>
            </w:r>
            <w:r w:rsidRPr="00FD4C39">
              <w:rPr>
                <w:rFonts w:ascii="Times New Roman" w:eastAsia="Times New Roman" w:hAnsi="Times New Roman" w:cs="Times New Roman"/>
                <w:color w:val="000000"/>
                <w:sz w:val="24"/>
                <w:szCs w:val="24"/>
              </w:rPr>
              <w:t xml:space="preserve">наблюдаващ орган относно сигурността на данните съгласно Закона за електронните съобщения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74</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X.</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Институционално взаимодействие. Партньорство с представители на медиите и информационна дейност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8F3C31"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7</w:t>
            </w:r>
            <w:r w:rsidR="00053134" w:rsidRPr="00FD4C39">
              <w:rPr>
                <w:rFonts w:ascii="Times New Roman" w:eastAsia="Times New Roman" w:hAnsi="Times New Roman" w:cs="Times New Roman"/>
                <w:color w:val="000000"/>
                <w:sz w:val="24"/>
                <w:szCs w:val="24"/>
              </w:rPr>
              <w:t>6</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XI.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Международна дейност. Реформа в областта на защитата на личните данни</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81</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XII.</w:t>
            </w:r>
          </w:p>
        </w:tc>
        <w:tc>
          <w:tcPr>
            <w:tcW w:w="7466"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Административен капацитет и финансови ресурси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93</w:t>
            </w:r>
          </w:p>
        </w:tc>
      </w:tr>
      <w:tr w:rsidR="00224E03" w:rsidRPr="00FD4C39" w:rsidTr="00257A69">
        <w:trPr>
          <w:trHeight w:val="600"/>
        </w:trPr>
        <w:tc>
          <w:tcPr>
            <w:tcW w:w="614" w:type="dxa"/>
            <w:tcBorders>
              <w:top w:val="nil"/>
              <w:left w:val="nil"/>
              <w:bottom w:val="nil"/>
              <w:right w:val="nil"/>
            </w:tcBorders>
            <w:shd w:val="clear" w:color="auto" w:fill="auto"/>
            <w:noWrap/>
            <w:hideMark/>
          </w:tcPr>
          <w:p w:rsidR="00224E03" w:rsidRPr="00FD4C39" w:rsidRDefault="00224E03" w:rsidP="00257A69">
            <w:pPr>
              <w:spacing w:after="0" w:line="360" w:lineRule="auto"/>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XIII.</w:t>
            </w:r>
          </w:p>
        </w:tc>
        <w:tc>
          <w:tcPr>
            <w:tcW w:w="7466" w:type="dxa"/>
            <w:tcBorders>
              <w:top w:val="nil"/>
              <w:left w:val="nil"/>
              <w:bottom w:val="nil"/>
              <w:right w:val="nil"/>
            </w:tcBorders>
            <w:shd w:val="clear" w:color="auto" w:fill="auto"/>
            <w:noWrap/>
            <w:hideMark/>
          </w:tcPr>
          <w:p w:rsidR="00224E03" w:rsidRPr="00FD4C39" w:rsidRDefault="00224E03" w:rsidP="0025423C">
            <w:pPr>
              <w:spacing w:after="0" w:line="360" w:lineRule="auto"/>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 xml:space="preserve">Цели и приоритети на КЗЛД за 2015 година </w:t>
            </w:r>
          </w:p>
        </w:tc>
        <w:tc>
          <w:tcPr>
            <w:tcW w:w="533" w:type="dxa"/>
            <w:tcBorders>
              <w:top w:val="nil"/>
              <w:left w:val="nil"/>
              <w:bottom w:val="nil"/>
              <w:right w:val="nil"/>
            </w:tcBorders>
            <w:shd w:val="clear" w:color="auto" w:fill="auto"/>
            <w:noWrap/>
            <w:hideMark/>
          </w:tcPr>
          <w:p w:rsidR="00224E03" w:rsidRPr="00FD4C39" w:rsidRDefault="00224E03" w:rsidP="00257A69">
            <w:pPr>
              <w:spacing w:after="0" w:line="360" w:lineRule="auto"/>
              <w:jc w:val="both"/>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hideMark/>
          </w:tcPr>
          <w:p w:rsidR="00224E03" w:rsidRPr="00FD4C39" w:rsidRDefault="00053134" w:rsidP="00583A80">
            <w:pPr>
              <w:spacing w:after="0" w:line="360" w:lineRule="auto"/>
              <w:jc w:val="right"/>
              <w:rPr>
                <w:rFonts w:ascii="Times New Roman" w:eastAsia="Times New Roman" w:hAnsi="Times New Roman" w:cs="Times New Roman"/>
                <w:color w:val="000000"/>
                <w:sz w:val="24"/>
                <w:szCs w:val="24"/>
              </w:rPr>
            </w:pPr>
            <w:r w:rsidRPr="00FD4C39">
              <w:rPr>
                <w:rFonts w:ascii="Times New Roman" w:eastAsia="Times New Roman" w:hAnsi="Times New Roman" w:cs="Times New Roman"/>
                <w:color w:val="000000"/>
                <w:sz w:val="24"/>
                <w:szCs w:val="24"/>
              </w:rPr>
              <w:t>100</w:t>
            </w:r>
          </w:p>
        </w:tc>
      </w:tr>
    </w:tbl>
    <w:p w:rsidR="00D3143F" w:rsidRPr="00FD4C39" w:rsidRDefault="00D3143F" w:rsidP="00CC5DB4">
      <w:pPr>
        <w:tabs>
          <w:tab w:val="left" w:pos="9214"/>
        </w:tabs>
        <w:spacing w:after="0" w:line="720" w:lineRule="auto"/>
        <w:ind w:right="-851"/>
        <w:jc w:val="both"/>
        <w:rPr>
          <w:rFonts w:ascii="Times New Roman" w:hAnsi="Times New Roman" w:cs="Times New Roman"/>
          <w:sz w:val="24"/>
          <w:szCs w:val="24"/>
        </w:rPr>
      </w:pPr>
    </w:p>
    <w:p w:rsidR="00F0265B" w:rsidRPr="00FD4C39" w:rsidRDefault="00EF364C" w:rsidP="00D31A53">
      <w:pPr>
        <w:spacing w:after="0" w:line="360" w:lineRule="auto"/>
        <w:ind w:firstLine="720"/>
        <w:jc w:val="both"/>
        <w:rPr>
          <w:rFonts w:ascii="Times New Roman" w:hAnsi="Times New Roman" w:cs="Times New Roman"/>
          <w:b/>
          <w:sz w:val="24"/>
          <w:szCs w:val="24"/>
        </w:rPr>
      </w:pPr>
      <w:r w:rsidRPr="00FD4C39">
        <w:rPr>
          <w:rFonts w:ascii="Times New Roman" w:hAnsi="Times New Roman" w:cs="Times New Roman"/>
          <w:b/>
          <w:sz w:val="24"/>
          <w:szCs w:val="24"/>
        </w:rPr>
        <w:br w:type="page"/>
      </w:r>
    </w:p>
    <w:p w:rsidR="00F0265B" w:rsidRPr="00FD4C39" w:rsidRDefault="00F0265B" w:rsidP="008802AC">
      <w:pPr>
        <w:spacing w:after="0" w:line="360" w:lineRule="auto"/>
        <w:ind w:firstLine="720"/>
        <w:jc w:val="center"/>
        <w:rPr>
          <w:rFonts w:ascii="Times New Roman" w:hAnsi="Times New Roman" w:cs="Times New Roman"/>
          <w:b/>
          <w:sz w:val="24"/>
          <w:szCs w:val="24"/>
        </w:rPr>
      </w:pPr>
      <w:r w:rsidRPr="00FD4C39">
        <w:rPr>
          <w:rFonts w:ascii="Times New Roman" w:hAnsi="Times New Roman" w:cs="Times New Roman"/>
          <w:b/>
          <w:sz w:val="24"/>
          <w:szCs w:val="24"/>
        </w:rPr>
        <w:lastRenderedPageBreak/>
        <w:t>Списък на използваните съкращения</w:t>
      </w:r>
    </w:p>
    <w:p w:rsidR="005B2637" w:rsidRPr="00FD4C39" w:rsidRDefault="005B2637" w:rsidP="008802AC">
      <w:pPr>
        <w:spacing w:after="0" w:line="360" w:lineRule="auto"/>
        <w:ind w:firstLine="720"/>
        <w:jc w:val="center"/>
        <w:rPr>
          <w:rFonts w:ascii="Times New Roman" w:hAnsi="Times New Roman" w:cs="Times New Roman"/>
          <w:b/>
          <w:sz w:val="16"/>
          <w:szCs w:val="16"/>
        </w:rPr>
      </w:pPr>
    </w:p>
    <w:tbl>
      <w:tblPr>
        <w:tblW w:w="9229" w:type="dxa"/>
        <w:tblInd w:w="93" w:type="dxa"/>
        <w:tblLook w:val="04A0" w:firstRow="1" w:lastRow="0" w:firstColumn="1" w:lastColumn="0" w:noHBand="0" w:noVBand="1"/>
      </w:tblPr>
      <w:tblGrid>
        <w:gridCol w:w="2142"/>
        <w:gridCol w:w="425"/>
        <w:gridCol w:w="6662"/>
      </w:tblGrid>
      <w:tr w:rsidR="00A2488A" w:rsidRPr="00FD4C39" w:rsidTr="0025423C">
        <w:trPr>
          <w:trHeight w:val="284"/>
        </w:trPr>
        <w:tc>
          <w:tcPr>
            <w:tcW w:w="2142"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АЛД</w:t>
            </w:r>
          </w:p>
        </w:tc>
        <w:tc>
          <w:tcPr>
            <w:tcW w:w="425" w:type="dxa"/>
            <w:shd w:val="clear" w:color="auto" w:fill="auto"/>
            <w:noWrap/>
          </w:tcPr>
          <w:p w:rsidR="00A2488A" w:rsidRPr="00FD4C39" w:rsidRDefault="00CD6D9F"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Администратор на лични данни</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АНП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0963FF" w:rsidP="008B6DE1">
            <w:pPr>
              <w:spacing w:after="0" w:line="400" w:lineRule="exact"/>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eastAsia="en-US"/>
              </w:rPr>
              <w:t>Административно</w:t>
            </w:r>
            <w:r w:rsidR="008802AC" w:rsidRPr="00FD4C39">
              <w:rPr>
                <w:rFonts w:ascii="Times New Roman" w:eastAsia="Times New Roman" w:hAnsi="Times New Roman" w:cs="Times New Roman"/>
                <w:color w:val="000000"/>
                <w:sz w:val="24"/>
                <w:szCs w:val="24"/>
                <w:lang w:eastAsia="en-US"/>
              </w:rPr>
              <w:t>наказателно</w:t>
            </w:r>
            <w:proofErr w:type="spellEnd"/>
            <w:r w:rsidR="008802AC" w:rsidRPr="00FD4C39">
              <w:rPr>
                <w:rFonts w:ascii="Times New Roman" w:eastAsia="Times New Roman" w:hAnsi="Times New Roman" w:cs="Times New Roman"/>
                <w:color w:val="000000"/>
                <w:sz w:val="24"/>
                <w:szCs w:val="24"/>
                <w:lang w:eastAsia="en-US"/>
              </w:rPr>
              <w:t xml:space="preserve"> производство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АПК</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proofErr w:type="spellStart"/>
            <w:r w:rsidRPr="00FD4C39">
              <w:rPr>
                <w:rFonts w:ascii="Times New Roman" w:eastAsia="Times New Roman" w:hAnsi="Times New Roman" w:cs="Times New Roman"/>
                <w:color w:val="000000"/>
                <w:sz w:val="24"/>
                <w:szCs w:val="24"/>
                <w:lang w:eastAsia="en-US"/>
              </w:rPr>
              <w:t>Административнопроцесуален</w:t>
            </w:r>
            <w:proofErr w:type="spellEnd"/>
            <w:r w:rsidRPr="00FD4C39">
              <w:rPr>
                <w:rFonts w:ascii="Times New Roman" w:eastAsia="Times New Roman" w:hAnsi="Times New Roman" w:cs="Times New Roman"/>
                <w:color w:val="000000"/>
                <w:sz w:val="24"/>
                <w:szCs w:val="24"/>
                <w:lang w:eastAsia="en-US"/>
              </w:rPr>
              <w:t xml:space="preserve"> кодекс</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АССГ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FD4C39" w:rsidP="008B6DE1">
            <w:pPr>
              <w:spacing w:after="0" w:line="400" w:lineRule="exac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Административен съд</w:t>
            </w:r>
            <w:r w:rsidR="004D42A2">
              <w:rPr>
                <w:rFonts w:ascii="Times New Roman" w:eastAsia="Times New Roman" w:hAnsi="Times New Roman" w:cs="Times New Roman"/>
                <w:color w:val="000000"/>
                <w:sz w:val="24"/>
                <w:szCs w:val="24"/>
                <w:lang w:eastAsia="en-US"/>
              </w:rPr>
              <w:t xml:space="preserve"> – </w:t>
            </w:r>
            <w:r>
              <w:rPr>
                <w:rFonts w:ascii="Times New Roman" w:eastAsia="Times New Roman" w:hAnsi="Times New Roman" w:cs="Times New Roman"/>
                <w:color w:val="000000"/>
                <w:sz w:val="24"/>
                <w:szCs w:val="24"/>
                <w:lang w:eastAsia="en-US"/>
              </w:rPr>
              <w:t>София-</w:t>
            </w:r>
            <w:r w:rsidR="008802AC" w:rsidRPr="00FD4C39">
              <w:rPr>
                <w:rFonts w:ascii="Times New Roman" w:eastAsia="Times New Roman" w:hAnsi="Times New Roman" w:cs="Times New Roman"/>
                <w:color w:val="000000"/>
                <w:sz w:val="24"/>
                <w:szCs w:val="24"/>
                <w:lang w:eastAsia="en-US"/>
              </w:rPr>
              <w:t xml:space="preserve">град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АУАН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Акт за установяване на административно нарушение</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БНБ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Българска народна банка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ВАС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Върховен административен съд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ГД </w:t>
            </w:r>
            <w:r w:rsidR="005B2637" w:rsidRPr="00FD4C39">
              <w:rPr>
                <w:rFonts w:ascii="Times New Roman" w:eastAsia="Times New Roman" w:hAnsi="Times New Roman" w:cs="Times New Roman"/>
                <w:color w:val="000000"/>
                <w:sz w:val="24"/>
                <w:szCs w:val="24"/>
                <w:lang w:eastAsia="en-US"/>
              </w:rPr>
              <w:t xml:space="preserve"> </w:t>
            </w:r>
            <w:r w:rsidRPr="00FD4C39">
              <w:rPr>
                <w:rFonts w:ascii="Times New Roman" w:eastAsia="Times New Roman" w:hAnsi="Times New Roman" w:cs="Times New Roman"/>
                <w:color w:val="000000"/>
                <w:sz w:val="24"/>
                <w:szCs w:val="24"/>
                <w:lang w:eastAsia="en-US"/>
              </w:rPr>
              <w:t>ГРАО</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FD4C39">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Главна дирекция „Гражданска регистрация и административно обслужване</w:t>
            </w:r>
            <w:r w:rsidR="00FD4C39">
              <w:rPr>
                <w:rFonts w:ascii="Times New Roman" w:eastAsia="Times New Roman" w:hAnsi="Times New Roman" w:cs="Times New Roman"/>
                <w:color w:val="000000"/>
                <w:sz w:val="24"/>
                <w:szCs w:val="24"/>
                <w:lang w:eastAsia="en-US"/>
              </w:rPr>
              <w:t>“</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ГПК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Граждански процесуален кодекс</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ДАЗД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Държавна агенция за закрила на детето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ДАНС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FD4C39">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Държавна агенция „Национална сигурност</w:t>
            </w:r>
            <w:r w:rsidR="00FD4C39">
              <w:rPr>
                <w:rFonts w:ascii="Times New Roman" w:eastAsia="Times New Roman" w:hAnsi="Times New Roman" w:cs="Times New Roman"/>
                <w:color w:val="000000"/>
                <w:sz w:val="24"/>
                <w:szCs w:val="24"/>
                <w:lang w:eastAsia="en-US"/>
              </w:rPr>
              <w:t>“</w:t>
            </w:r>
            <w:r w:rsidRPr="00FD4C39">
              <w:rPr>
                <w:rFonts w:ascii="Times New Roman" w:eastAsia="Times New Roman" w:hAnsi="Times New Roman" w:cs="Times New Roman"/>
                <w:color w:val="000000"/>
                <w:sz w:val="24"/>
                <w:szCs w:val="24"/>
                <w:lang w:eastAsia="en-US"/>
              </w:rPr>
              <w:t xml:space="preserve">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ДОПК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Данъчно-осигурителен процесуален кодекс </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ДР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Допълнителни разпоредби</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ЕГН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Единен граждански номер</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proofErr w:type="spellStart"/>
            <w:r w:rsidRPr="00FD4C39">
              <w:rPr>
                <w:rFonts w:ascii="Times New Roman" w:eastAsia="Times New Roman" w:hAnsi="Times New Roman" w:cs="Times New Roman"/>
                <w:color w:val="000000"/>
                <w:sz w:val="24"/>
                <w:szCs w:val="24"/>
                <w:lang w:eastAsia="en-US"/>
              </w:rPr>
              <w:t>еРАЛД</w:t>
            </w:r>
            <w:proofErr w:type="spellEnd"/>
            <w:r w:rsidRPr="00FD4C39">
              <w:rPr>
                <w:rFonts w:ascii="Times New Roman" w:eastAsia="Times New Roman" w:hAnsi="Times New Roman" w:cs="Times New Roman"/>
                <w:color w:val="000000"/>
                <w:sz w:val="24"/>
                <w:szCs w:val="24"/>
                <w:lang w:eastAsia="en-US"/>
              </w:rPr>
              <w:t xml:space="preserve">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Електронната система на КЗЛД за регистрация на администратори на лични данни</w:t>
            </w:r>
          </w:p>
        </w:tc>
      </w:tr>
      <w:tr w:rsidR="00F56212" w:rsidRPr="00FD4C39" w:rsidTr="0025423C">
        <w:trPr>
          <w:trHeight w:val="284"/>
        </w:trPr>
        <w:tc>
          <w:tcPr>
            <w:tcW w:w="2142"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ЕС</w:t>
            </w:r>
          </w:p>
        </w:tc>
        <w:tc>
          <w:tcPr>
            <w:tcW w:w="425"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F56212" w:rsidRPr="00FD4C39" w:rsidRDefault="00F56212" w:rsidP="008B6DE1">
            <w:pPr>
              <w:spacing w:after="0" w:line="400" w:lineRule="exact"/>
              <w:ind w:left="-108" w:firstLine="108"/>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Европейски съюз</w:t>
            </w:r>
          </w:p>
        </w:tc>
      </w:tr>
      <w:tr w:rsidR="008802AC" w:rsidRPr="00FD4C39" w:rsidTr="0025423C">
        <w:trPr>
          <w:trHeight w:val="284"/>
        </w:trPr>
        <w:tc>
          <w:tcPr>
            <w:tcW w:w="2142"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ЕТ </w:t>
            </w:r>
          </w:p>
        </w:tc>
        <w:tc>
          <w:tcPr>
            <w:tcW w:w="425" w:type="dxa"/>
            <w:shd w:val="clear" w:color="auto" w:fill="auto"/>
            <w:noWrap/>
            <w:hideMark/>
          </w:tcPr>
          <w:p w:rsidR="008802AC" w:rsidRPr="00FD4C39" w:rsidRDefault="008802AC"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8802AC" w:rsidRPr="00FD4C39" w:rsidRDefault="008802AC" w:rsidP="008B6DE1">
            <w:pPr>
              <w:spacing w:after="0" w:line="400" w:lineRule="exact"/>
              <w:ind w:left="-108" w:firstLine="108"/>
              <w:rPr>
                <w:rFonts w:ascii="Times New Roman" w:eastAsia="Times New Roman" w:hAnsi="Times New Roman" w:cs="Times New Roman"/>
                <w:color w:val="000000"/>
                <w:sz w:val="24"/>
                <w:szCs w:val="24"/>
                <w:lang w:eastAsia="en-US"/>
              </w:rPr>
            </w:pPr>
            <w:proofErr w:type="spellStart"/>
            <w:r w:rsidRPr="00FD4C39">
              <w:rPr>
                <w:rFonts w:ascii="Times New Roman" w:eastAsia="Times New Roman" w:hAnsi="Times New Roman" w:cs="Times New Roman"/>
                <w:color w:val="000000"/>
                <w:sz w:val="24"/>
                <w:szCs w:val="24"/>
                <w:lang w:eastAsia="en-US"/>
              </w:rPr>
              <w:t>Eдноличен</w:t>
            </w:r>
            <w:proofErr w:type="spellEnd"/>
            <w:r w:rsidRPr="00FD4C39">
              <w:rPr>
                <w:rFonts w:ascii="Times New Roman" w:eastAsia="Times New Roman" w:hAnsi="Times New Roman" w:cs="Times New Roman"/>
                <w:color w:val="000000"/>
                <w:sz w:val="24"/>
                <w:szCs w:val="24"/>
                <w:lang w:eastAsia="en-US"/>
              </w:rPr>
              <w:t xml:space="preserve"> търговец</w:t>
            </w:r>
          </w:p>
        </w:tc>
      </w:tr>
      <w:tr w:rsidR="00A2488A" w:rsidRPr="00FD4C39" w:rsidTr="0025423C">
        <w:trPr>
          <w:trHeight w:val="284"/>
        </w:trPr>
        <w:tc>
          <w:tcPr>
            <w:tcW w:w="2142"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ЗАНН</w:t>
            </w:r>
          </w:p>
        </w:tc>
        <w:tc>
          <w:tcPr>
            <w:tcW w:w="425"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административните нарушения и наказания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ЗБЛД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българските лични документи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ЗГР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гражданската регистрация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ЗДБРБ</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държавния бюджет на Република България</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ЗДвП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движение по пътищата</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ЗДОИ</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 Закон за достъп до обществена информация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ЗДС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държавната собственост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ЗЕС</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електронните съобщения</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ЗЗД</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задълженията и договорите</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ЗЗЛД</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защита на личните данни</w:t>
            </w:r>
          </w:p>
        </w:tc>
      </w:tr>
      <w:tr w:rsidR="00A2488A" w:rsidRPr="00FD4C39" w:rsidTr="0025423C">
        <w:trPr>
          <w:trHeight w:val="284"/>
        </w:trPr>
        <w:tc>
          <w:tcPr>
            <w:tcW w:w="2142"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ЗМВР</w:t>
            </w:r>
          </w:p>
        </w:tc>
        <w:tc>
          <w:tcPr>
            <w:tcW w:w="425" w:type="dxa"/>
            <w:shd w:val="clear" w:color="auto" w:fill="auto"/>
            <w:noWrap/>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A2488A" w:rsidRPr="00FD4C39" w:rsidRDefault="00FD4C39" w:rsidP="008B6DE1">
            <w:pPr>
              <w:spacing w:after="0" w:line="400" w:lineRule="exact"/>
              <w:rPr>
                <w:rFonts w:ascii="Times New Roman" w:eastAsia="Times New Roman" w:hAnsi="Times New Roman" w:cs="Times New Roman"/>
                <w:color w:val="000000"/>
                <w:sz w:val="24"/>
                <w:szCs w:val="24"/>
                <w:lang w:eastAsia="en-US"/>
              </w:rPr>
            </w:pPr>
            <w:r>
              <w:rPr>
                <w:rFonts w:ascii="Times New Roman" w:hAnsi="Times New Roman"/>
                <w:bCs/>
                <w:sz w:val="24"/>
                <w:szCs w:val="24"/>
              </w:rPr>
              <w:t>Закон за М</w:t>
            </w:r>
            <w:r w:rsidR="00A2488A" w:rsidRPr="00FD4C39">
              <w:rPr>
                <w:rFonts w:ascii="Times New Roman" w:hAnsi="Times New Roman"/>
                <w:bCs/>
                <w:sz w:val="24"/>
                <w:szCs w:val="24"/>
              </w:rPr>
              <w:t>инистерството на вътрешните работи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ЗМИП</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мерките срещу изпирането на пари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ЗОП</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Закон за обществените поръчки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ЗП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Задължително предписание</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lastRenderedPageBreak/>
              <w:t xml:space="preserve">ЗПУГДВМС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пряко участие на гражданите в държавната власт и местното самоуправление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ЗСч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счетоводството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ЗУТ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устройство на територията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ЗЧОД</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Закон за частната охранителна дейност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ИК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Изборен кодекс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ИПА</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Институт по публична администрация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КА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Констативен акт</w:t>
            </w:r>
          </w:p>
        </w:tc>
      </w:tr>
      <w:tr w:rsidR="00F56212" w:rsidRPr="00FD4C39" w:rsidTr="0025423C">
        <w:trPr>
          <w:trHeight w:val="284"/>
        </w:trPr>
        <w:tc>
          <w:tcPr>
            <w:tcW w:w="2142"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КЕП</w:t>
            </w:r>
          </w:p>
        </w:tc>
        <w:tc>
          <w:tcPr>
            <w:tcW w:w="425"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Квалифициран електронен подпис</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КЗ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Кодекс за застраховането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КЗЛД</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Комисия за защита на личните данни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КП</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Коалици</w:t>
            </w:r>
            <w:r w:rsidR="00295808" w:rsidRPr="00FD4C39">
              <w:rPr>
                <w:rFonts w:ascii="Times New Roman" w:eastAsia="Times New Roman" w:hAnsi="Times New Roman" w:cs="Times New Roman"/>
                <w:color w:val="000000"/>
                <w:sz w:val="24"/>
                <w:szCs w:val="24"/>
                <w:lang w:eastAsia="en-US"/>
              </w:rPr>
              <w:t>я</w:t>
            </w:r>
            <w:r w:rsidRPr="00FD4C39">
              <w:rPr>
                <w:rFonts w:ascii="Times New Roman" w:eastAsia="Times New Roman" w:hAnsi="Times New Roman" w:cs="Times New Roman"/>
                <w:color w:val="000000"/>
                <w:sz w:val="24"/>
                <w:szCs w:val="24"/>
                <w:lang w:eastAsia="en-US"/>
              </w:rPr>
              <w:t xml:space="preserve"> от партии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МВР</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Министерство на вътрешните работи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МВнР</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Министерство на външните работи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МПС</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Моторно превозно средство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МТИТС</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Министерство на транспорта, информационните технологии и съобщенията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НАП</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Национална агенция за приходите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НБД „Население“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Национална база данни „Население“</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НП</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Наказателно постановление</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НПК</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8A02ED" w:rsidP="008B6DE1">
            <w:pPr>
              <w:spacing w:after="0" w:line="400" w:lineRule="exac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Наказателно-</w:t>
            </w:r>
            <w:r w:rsidR="00A2488A" w:rsidRPr="00FD4C39">
              <w:rPr>
                <w:rFonts w:ascii="Times New Roman" w:eastAsia="Times New Roman" w:hAnsi="Times New Roman" w:cs="Times New Roman"/>
                <w:color w:val="000000"/>
                <w:sz w:val="24"/>
                <w:szCs w:val="24"/>
                <w:lang w:eastAsia="en-US"/>
              </w:rPr>
              <w:t>процесуален кодекс</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НПО</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295808" w:rsidP="008B6DE1">
            <w:pPr>
              <w:spacing w:after="0" w:line="400" w:lineRule="exact"/>
              <w:ind w:right="-108"/>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Неправителствена</w:t>
            </w:r>
            <w:r w:rsidR="00A2488A" w:rsidRPr="00FD4C39">
              <w:rPr>
                <w:rFonts w:ascii="Times New Roman" w:eastAsia="Times New Roman" w:hAnsi="Times New Roman" w:cs="Times New Roman"/>
                <w:color w:val="000000"/>
                <w:sz w:val="24"/>
                <w:szCs w:val="24"/>
                <w:lang w:eastAsia="en-US"/>
              </w:rPr>
              <w:t xml:space="preserve"> организаци</w:t>
            </w:r>
            <w:r w:rsidRPr="00FD4C39">
              <w:rPr>
                <w:rFonts w:ascii="Times New Roman" w:eastAsia="Times New Roman" w:hAnsi="Times New Roman" w:cs="Times New Roman"/>
                <w:color w:val="000000"/>
                <w:sz w:val="24"/>
                <w:szCs w:val="24"/>
                <w:lang w:eastAsia="en-US"/>
              </w:rPr>
              <w:t>я</w:t>
            </w:r>
            <w:r w:rsidR="00A2488A" w:rsidRPr="00FD4C39">
              <w:rPr>
                <w:rFonts w:ascii="Times New Roman" w:eastAsia="Times New Roman" w:hAnsi="Times New Roman" w:cs="Times New Roman"/>
                <w:color w:val="000000"/>
                <w:sz w:val="24"/>
                <w:szCs w:val="24"/>
                <w:lang w:eastAsia="en-US"/>
              </w:rPr>
              <w:t xml:space="preserve">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ОИК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Общинска избирателна комисия</w:t>
            </w:r>
          </w:p>
        </w:tc>
      </w:tr>
      <w:tr w:rsidR="00F56212" w:rsidRPr="00FD4C39" w:rsidTr="0025423C">
        <w:trPr>
          <w:trHeight w:val="284"/>
        </w:trPr>
        <w:tc>
          <w:tcPr>
            <w:tcW w:w="2142"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ОЛАФ</w:t>
            </w:r>
          </w:p>
        </w:tc>
        <w:tc>
          <w:tcPr>
            <w:tcW w:w="425"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F56212" w:rsidRPr="00FD4C39" w:rsidRDefault="00F56212"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Европейска служба за борба с измамите</w:t>
            </w:r>
          </w:p>
        </w:tc>
      </w:tr>
      <w:tr w:rsidR="000E1A6D" w:rsidRPr="00FD4C39" w:rsidTr="0025423C">
        <w:trPr>
          <w:trHeight w:val="284"/>
        </w:trPr>
        <w:tc>
          <w:tcPr>
            <w:tcW w:w="2142" w:type="dxa"/>
            <w:shd w:val="clear" w:color="auto" w:fill="auto"/>
            <w:noWrap/>
          </w:tcPr>
          <w:p w:rsidR="000E1A6D" w:rsidRPr="00FD4C39" w:rsidRDefault="000E1A6D"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ПДКЗЛДНА</w:t>
            </w:r>
          </w:p>
        </w:tc>
        <w:tc>
          <w:tcPr>
            <w:tcW w:w="425" w:type="dxa"/>
            <w:shd w:val="clear" w:color="auto" w:fill="auto"/>
            <w:noWrap/>
          </w:tcPr>
          <w:p w:rsidR="000E1A6D" w:rsidRPr="00FD4C39" w:rsidRDefault="0025367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0E1A6D" w:rsidRPr="00FD4C39" w:rsidRDefault="000E1A6D"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Правилник за дейността на КЗЛД и на нейната администрация</w:t>
            </w:r>
          </w:p>
        </w:tc>
      </w:tr>
      <w:tr w:rsidR="00295808" w:rsidRPr="00FD4C39" w:rsidTr="0025423C">
        <w:trPr>
          <w:trHeight w:val="284"/>
        </w:trPr>
        <w:tc>
          <w:tcPr>
            <w:tcW w:w="2142" w:type="dxa"/>
            <w:shd w:val="clear" w:color="auto" w:fill="auto"/>
            <w:noWrap/>
          </w:tcPr>
          <w:p w:rsidR="00295808" w:rsidRPr="00FD4C39" w:rsidRDefault="00295808"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ППЗМИП</w:t>
            </w:r>
          </w:p>
        </w:tc>
        <w:tc>
          <w:tcPr>
            <w:tcW w:w="425" w:type="dxa"/>
            <w:shd w:val="clear" w:color="auto" w:fill="auto"/>
            <w:noWrap/>
          </w:tcPr>
          <w:p w:rsidR="00295808" w:rsidRPr="00FD4C39" w:rsidRDefault="0025367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tcPr>
          <w:p w:rsidR="00295808" w:rsidRPr="00FD4C39" w:rsidRDefault="00295808"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Правилник за прилагане на Закона за мерките срещу изпирането на пари</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ПП </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Политическа партия</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РИК</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Районна избирателна комисия</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СУМПС</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Свидетелство за управление на моторно превозно </w:t>
            </w:r>
            <w:r w:rsidR="008A02ED">
              <w:rPr>
                <w:rFonts w:ascii="Times New Roman" w:eastAsia="Times New Roman" w:hAnsi="Times New Roman" w:cs="Times New Roman"/>
                <w:color w:val="000000"/>
                <w:sz w:val="24"/>
                <w:szCs w:val="24"/>
                <w:lang w:eastAsia="en-US"/>
              </w:rPr>
              <w:t>средство</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ТД на НАП</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 xml:space="preserve">Териториална дирекция на Националната агенция за приходите </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ЦИК</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Централна избирателна комисия</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ЧСИ</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proofErr w:type="spellStart"/>
            <w:r w:rsidRPr="00FD4C39">
              <w:rPr>
                <w:rFonts w:ascii="Times New Roman" w:eastAsia="Times New Roman" w:hAnsi="Times New Roman" w:cs="Times New Roman"/>
                <w:color w:val="000000"/>
                <w:sz w:val="24"/>
                <w:szCs w:val="24"/>
                <w:lang w:eastAsia="en-US"/>
              </w:rPr>
              <w:t>Частeн</w:t>
            </w:r>
            <w:proofErr w:type="spellEnd"/>
            <w:r w:rsidRPr="00FD4C39">
              <w:rPr>
                <w:rFonts w:ascii="Times New Roman" w:eastAsia="Times New Roman" w:hAnsi="Times New Roman" w:cs="Times New Roman"/>
                <w:color w:val="000000"/>
                <w:sz w:val="24"/>
                <w:szCs w:val="24"/>
                <w:lang w:eastAsia="en-US"/>
              </w:rPr>
              <w:t xml:space="preserve"> съдебен изпълнител</w:t>
            </w:r>
          </w:p>
        </w:tc>
      </w:tr>
      <w:tr w:rsidR="00A2488A" w:rsidRPr="00FD4C39" w:rsidTr="0025423C">
        <w:trPr>
          <w:trHeight w:val="284"/>
        </w:trPr>
        <w:tc>
          <w:tcPr>
            <w:tcW w:w="214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ЮЛ</w:t>
            </w:r>
          </w:p>
        </w:tc>
        <w:tc>
          <w:tcPr>
            <w:tcW w:w="425"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w:t>
            </w:r>
          </w:p>
        </w:tc>
        <w:tc>
          <w:tcPr>
            <w:tcW w:w="6662" w:type="dxa"/>
            <w:shd w:val="clear" w:color="auto" w:fill="auto"/>
            <w:noWrap/>
            <w:hideMark/>
          </w:tcPr>
          <w:p w:rsidR="00A2488A" w:rsidRPr="00FD4C39" w:rsidRDefault="00A2488A" w:rsidP="008B6DE1">
            <w:pPr>
              <w:spacing w:after="0" w:line="400" w:lineRule="exact"/>
              <w:rPr>
                <w:rFonts w:ascii="Times New Roman" w:eastAsia="Times New Roman" w:hAnsi="Times New Roman" w:cs="Times New Roman"/>
                <w:color w:val="000000"/>
                <w:sz w:val="24"/>
                <w:szCs w:val="24"/>
                <w:lang w:eastAsia="en-US"/>
              </w:rPr>
            </w:pPr>
            <w:r w:rsidRPr="00FD4C39">
              <w:rPr>
                <w:rFonts w:ascii="Times New Roman" w:eastAsia="Times New Roman" w:hAnsi="Times New Roman" w:cs="Times New Roman"/>
                <w:color w:val="000000"/>
                <w:sz w:val="24"/>
                <w:szCs w:val="24"/>
                <w:lang w:eastAsia="en-US"/>
              </w:rPr>
              <w:t>Юридическо лице</w:t>
            </w:r>
          </w:p>
        </w:tc>
      </w:tr>
    </w:tbl>
    <w:p w:rsidR="00D00997"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 xml:space="preserve">I. Увод </w:t>
      </w:r>
    </w:p>
    <w:p w:rsidR="00EE4610" w:rsidRPr="00FD4C39" w:rsidRDefault="00EE4610" w:rsidP="007B189E">
      <w:pPr>
        <w:spacing w:after="0" w:line="360" w:lineRule="auto"/>
        <w:ind w:firstLine="709"/>
        <w:jc w:val="both"/>
        <w:rPr>
          <w:rFonts w:ascii="Times New Roman" w:eastAsia="Calibri" w:hAnsi="Times New Roman" w:cs="Times New Roman"/>
          <w:b/>
          <w:sz w:val="24"/>
          <w:szCs w:val="24"/>
        </w:rPr>
      </w:pPr>
    </w:p>
    <w:p w:rsidR="00D56159" w:rsidRPr="00FD4C39" w:rsidRDefault="00D5615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Настоящият отчет за дейността на </w:t>
      </w:r>
      <w:r w:rsidR="00BC588C" w:rsidRPr="00FD4C39">
        <w:rPr>
          <w:rFonts w:ascii="Times New Roman" w:eastAsia="Calibri" w:hAnsi="Times New Roman" w:cs="Times New Roman"/>
          <w:sz w:val="24"/>
          <w:szCs w:val="24"/>
        </w:rPr>
        <w:t>Комисията за защита на личните данни (</w:t>
      </w:r>
      <w:r w:rsidR="00FE7018" w:rsidRPr="00FD4C39">
        <w:rPr>
          <w:rFonts w:ascii="Times New Roman" w:eastAsia="Calibri" w:hAnsi="Times New Roman" w:cs="Times New Roman"/>
          <w:sz w:val="24"/>
          <w:szCs w:val="24"/>
        </w:rPr>
        <w:t>КЗЛД</w:t>
      </w:r>
      <w:r w:rsidR="00BC588C" w:rsidRPr="00FD4C39">
        <w:rPr>
          <w:rFonts w:ascii="Times New Roman" w:eastAsia="Calibri" w:hAnsi="Times New Roman" w:cs="Times New Roman"/>
          <w:sz w:val="24"/>
          <w:szCs w:val="24"/>
        </w:rPr>
        <w:t>)</w:t>
      </w:r>
      <w:r w:rsidR="00FE701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е изготвен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7,</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6 от </w:t>
      </w:r>
      <w:r w:rsidR="00EB392A" w:rsidRPr="00FD4C39">
        <w:rPr>
          <w:rFonts w:ascii="Times New Roman" w:eastAsia="Calibri" w:hAnsi="Times New Roman" w:cs="Times New Roman"/>
          <w:sz w:val="24"/>
          <w:szCs w:val="24"/>
        </w:rPr>
        <w:t>Закона за защита на личните да</w:t>
      </w:r>
      <w:r w:rsidR="008A02ED">
        <w:rPr>
          <w:rFonts w:ascii="Times New Roman" w:eastAsia="Calibri" w:hAnsi="Times New Roman" w:cs="Times New Roman"/>
          <w:sz w:val="24"/>
          <w:szCs w:val="24"/>
        </w:rPr>
        <w:t>н</w:t>
      </w:r>
      <w:r w:rsidR="00EB392A" w:rsidRPr="00FD4C39">
        <w:rPr>
          <w:rFonts w:ascii="Times New Roman" w:eastAsia="Calibri" w:hAnsi="Times New Roman" w:cs="Times New Roman"/>
          <w:sz w:val="24"/>
          <w:szCs w:val="24"/>
        </w:rPr>
        <w:t>ни (</w:t>
      </w:r>
      <w:r w:rsidR="00FE7018" w:rsidRPr="00FD4C39">
        <w:rPr>
          <w:rFonts w:ascii="Times New Roman" w:eastAsia="Calibri" w:hAnsi="Times New Roman" w:cs="Times New Roman"/>
          <w:sz w:val="24"/>
          <w:szCs w:val="24"/>
        </w:rPr>
        <w:t>ЗЗЛД</w:t>
      </w:r>
      <w:r w:rsidR="00EB392A" w:rsidRPr="00FD4C39">
        <w:rPr>
          <w:rFonts w:ascii="Times New Roman" w:eastAsia="Calibri" w:hAnsi="Times New Roman" w:cs="Times New Roman"/>
          <w:sz w:val="24"/>
          <w:szCs w:val="24"/>
        </w:rPr>
        <w:t>)</w:t>
      </w:r>
      <w:r w:rsidR="00FE701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и обхваща периода от 01.</w:t>
      </w:r>
      <w:proofErr w:type="spellStart"/>
      <w:r w:rsidRPr="00FD4C39">
        <w:rPr>
          <w:rFonts w:ascii="Times New Roman" w:eastAsia="Calibri" w:hAnsi="Times New Roman" w:cs="Times New Roman"/>
          <w:sz w:val="24"/>
          <w:szCs w:val="24"/>
        </w:rPr>
        <w:t>01</w:t>
      </w:r>
      <w:proofErr w:type="spellEnd"/>
      <w:r w:rsidRPr="00FD4C39">
        <w:rPr>
          <w:rFonts w:ascii="Times New Roman" w:eastAsia="Calibri" w:hAnsi="Times New Roman" w:cs="Times New Roman"/>
          <w:sz w:val="24"/>
          <w:szCs w:val="24"/>
        </w:rPr>
        <w:t>.2014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до 31.12.2014</w:t>
      </w:r>
      <w:r w:rsidR="004D42A2">
        <w:rPr>
          <w:rFonts w:ascii="Times New Roman" w:eastAsia="Calibri" w:hAnsi="Times New Roman" w:cs="Times New Roman"/>
          <w:sz w:val="24"/>
          <w:szCs w:val="24"/>
        </w:rPr>
        <w:t> г.</w:t>
      </w:r>
    </w:p>
    <w:p w:rsidR="00D56159" w:rsidRPr="00FD4C39" w:rsidRDefault="00DB299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отчета </w:t>
      </w:r>
      <w:r w:rsidR="00B94345" w:rsidRPr="00FD4C39">
        <w:rPr>
          <w:rFonts w:ascii="Times New Roman" w:eastAsia="Calibri" w:hAnsi="Times New Roman" w:cs="Times New Roman"/>
          <w:sz w:val="24"/>
          <w:szCs w:val="24"/>
        </w:rPr>
        <w:t>са</w:t>
      </w:r>
      <w:r w:rsidRPr="00FD4C39">
        <w:rPr>
          <w:rFonts w:ascii="Times New Roman" w:eastAsia="Calibri" w:hAnsi="Times New Roman" w:cs="Times New Roman"/>
          <w:sz w:val="24"/>
          <w:szCs w:val="24"/>
        </w:rPr>
        <w:t xml:space="preserve"> представен</w:t>
      </w:r>
      <w:r w:rsidR="00B94345" w:rsidRPr="00FD4C39">
        <w:rPr>
          <w:rFonts w:ascii="Times New Roman" w:eastAsia="Calibri" w:hAnsi="Times New Roman" w:cs="Times New Roman"/>
          <w:sz w:val="24"/>
          <w:szCs w:val="24"/>
        </w:rPr>
        <w:t>и</w:t>
      </w:r>
      <w:r w:rsidRPr="00FD4C39">
        <w:rPr>
          <w:rFonts w:ascii="Times New Roman" w:eastAsia="Calibri" w:hAnsi="Times New Roman" w:cs="Times New Roman"/>
          <w:sz w:val="24"/>
          <w:szCs w:val="24"/>
        </w:rPr>
        <w:t xml:space="preserve"> </w:t>
      </w:r>
      <w:r w:rsidR="00924C07" w:rsidRPr="00FD4C39">
        <w:rPr>
          <w:rFonts w:ascii="Times New Roman" w:eastAsia="Calibri" w:hAnsi="Times New Roman" w:cs="Times New Roman"/>
          <w:sz w:val="24"/>
          <w:szCs w:val="24"/>
        </w:rPr>
        <w:t>информация и анализ на основните направления на дейност на институцията през посочения отчетен период, като</w:t>
      </w:r>
      <w:r w:rsidR="00D56159" w:rsidRPr="00FD4C39">
        <w:rPr>
          <w:rFonts w:ascii="Times New Roman" w:eastAsia="Calibri" w:hAnsi="Times New Roman" w:cs="Times New Roman"/>
          <w:sz w:val="24"/>
          <w:szCs w:val="24"/>
        </w:rPr>
        <w:t xml:space="preserve"> </w:t>
      </w:r>
      <w:r w:rsidR="00924C07" w:rsidRPr="00FD4C39">
        <w:rPr>
          <w:rFonts w:ascii="Times New Roman" w:eastAsia="Calibri" w:hAnsi="Times New Roman" w:cs="Times New Roman"/>
          <w:sz w:val="24"/>
          <w:szCs w:val="24"/>
        </w:rPr>
        <w:t>акцент е поставен върху дейн</w:t>
      </w:r>
      <w:r w:rsidRPr="00FD4C39">
        <w:rPr>
          <w:rFonts w:ascii="Times New Roman" w:eastAsia="Calibri" w:hAnsi="Times New Roman" w:cs="Times New Roman"/>
          <w:sz w:val="24"/>
          <w:szCs w:val="24"/>
        </w:rPr>
        <w:t>остите</w:t>
      </w:r>
      <w:r w:rsidR="00924C07" w:rsidRPr="00FD4C39">
        <w:rPr>
          <w:rFonts w:ascii="Times New Roman" w:eastAsia="Calibri" w:hAnsi="Times New Roman" w:cs="Times New Roman"/>
          <w:sz w:val="24"/>
          <w:szCs w:val="24"/>
        </w:rPr>
        <w:t xml:space="preserve"> по </w:t>
      </w:r>
      <w:r w:rsidR="00D56159" w:rsidRPr="00FD4C39">
        <w:rPr>
          <w:rFonts w:ascii="Times New Roman" w:eastAsia="Calibri" w:hAnsi="Times New Roman" w:cs="Times New Roman"/>
          <w:sz w:val="24"/>
          <w:szCs w:val="24"/>
        </w:rPr>
        <w:t>регистрация</w:t>
      </w:r>
      <w:r w:rsidR="00924C07" w:rsidRPr="00FD4C39">
        <w:rPr>
          <w:rFonts w:ascii="Times New Roman" w:eastAsia="Calibri" w:hAnsi="Times New Roman" w:cs="Times New Roman"/>
          <w:sz w:val="24"/>
          <w:szCs w:val="24"/>
        </w:rPr>
        <w:t xml:space="preserve"> на </w:t>
      </w:r>
      <w:r w:rsidR="00286071" w:rsidRPr="00FD4C39">
        <w:rPr>
          <w:rFonts w:ascii="Times New Roman" w:eastAsia="Calibri" w:hAnsi="Times New Roman" w:cs="Times New Roman"/>
          <w:sz w:val="24"/>
          <w:szCs w:val="24"/>
        </w:rPr>
        <w:t>администраторите на лични данни</w:t>
      </w:r>
      <w:r w:rsidR="00B94345" w:rsidRPr="00FD4C39">
        <w:rPr>
          <w:rFonts w:ascii="Times New Roman" w:eastAsia="Calibri" w:hAnsi="Times New Roman" w:cs="Times New Roman"/>
          <w:sz w:val="24"/>
          <w:szCs w:val="24"/>
        </w:rPr>
        <w:t xml:space="preserve"> </w:t>
      </w:r>
      <w:r w:rsidR="00286071" w:rsidRPr="00FD4C39">
        <w:rPr>
          <w:rFonts w:ascii="Times New Roman" w:eastAsia="Calibri" w:hAnsi="Times New Roman" w:cs="Times New Roman"/>
          <w:sz w:val="24"/>
          <w:szCs w:val="24"/>
        </w:rPr>
        <w:t xml:space="preserve">(АЛД) </w:t>
      </w:r>
      <w:r w:rsidR="00D56159" w:rsidRPr="00FD4C39">
        <w:rPr>
          <w:rFonts w:ascii="Times New Roman" w:eastAsia="Calibri" w:hAnsi="Times New Roman" w:cs="Times New Roman"/>
          <w:sz w:val="24"/>
          <w:szCs w:val="24"/>
        </w:rPr>
        <w:t xml:space="preserve">и на водените от тях регистри, </w:t>
      </w:r>
      <w:r w:rsidR="00B94345" w:rsidRPr="00FD4C39">
        <w:rPr>
          <w:rFonts w:ascii="Times New Roman" w:eastAsia="Calibri" w:hAnsi="Times New Roman" w:cs="Times New Roman"/>
          <w:sz w:val="24"/>
          <w:szCs w:val="24"/>
        </w:rPr>
        <w:t>проверк</w:t>
      </w:r>
      <w:r w:rsidR="00286071" w:rsidRPr="00FD4C39">
        <w:rPr>
          <w:rFonts w:ascii="Times New Roman" w:eastAsia="Calibri" w:hAnsi="Times New Roman" w:cs="Times New Roman"/>
          <w:sz w:val="24"/>
          <w:szCs w:val="24"/>
        </w:rPr>
        <w:t xml:space="preserve">ите </w:t>
      </w:r>
      <w:r w:rsidR="00B94345" w:rsidRPr="00FD4C39">
        <w:rPr>
          <w:rFonts w:ascii="Times New Roman" w:eastAsia="Calibri" w:hAnsi="Times New Roman" w:cs="Times New Roman"/>
          <w:sz w:val="24"/>
          <w:szCs w:val="24"/>
        </w:rPr>
        <w:t xml:space="preserve">на сигнали и разглеждането </w:t>
      </w:r>
      <w:r w:rsidR="001E7DA0" w:rsidRPr="00FD4C39">
        <w:rPr>
          <w:rFonts w:ascii="Times New Roman" w:eastAsia="Calibri" w:hAnsi="Times New Roman" w:cs="Times New Roman"/>
          <w:sz w:val="24"/>
          <w:szCs w:val="24"/>
        </w:rPr>
        <w:t>на</w:t>
      </w:r>
      <w:r w:rsidR="00D56159" w:rsidRPr="00FD4C39">
        <w:rPr>
          <w:rFonts w:ascii="Times New Roman" w:eastAsia="Calibri" w:hAnsi="Times New Roman" w:cs="Times New Roman"/>
          <w:sz w:val="24"/>
          <w:szCs w:val="24"/>
        </w:rPr>
        <w:t xml:space="preserve"> жал</w:t>
      </w:r>
      <w:r w:rsidR="001E7DA0" w:rsidRPr="00FD4C39">
        <w:rPr>
          <w:rFonts w:ascii="Times New Roman" w:eastAsia="Calibri" w:hAnsi="Times New Roman" w:cs="Times New Roman"/>
          <w:sz w:val="24"/>
          <w:szCs w:val="24"/>
        </w:rPr>
        <w:t xml:space="preserve">би </w:t>
      </w:r>
      <w:r w:rsidR="00B94345" w:rsidRPr="00FD4C39">
        <w:rPr>
          <w:rFonts w:ascii="Times New Roman" w:eastAsia="Calibri" w:hAnsi="Times New Roman" w:cs="Times New Roman"/>
          <w:sz w:val="24"/>
          <w:szCs w:val="24"/>
        </w:rPr>
        <w:t>от граждани</w:t>
      </w:r>
      <w:r w:rsidR="001E7DA0" w:rsidRPr="00FD4C39">
        <w:rPr>
          <w:rFonts w:ascii="Times New Roman" w:eastAsia="Calibri" w:hAnsi="Times New Roman" w:cs="Times New Roman"/>
          <w:sz w:val="24"/>
          <w:szCs w:val="24"/>
        </w:rPr>
        <w:t xml:space="preserve">, </w:t>
      </w:r>
      <w:r w:rsidR="00924C07" w:rsidRPr="00FD4C39">
        <w:rPr>
          <w:rFonts w:ascii="Times New Roman" w:eastAsia="Calibri" w:hAnsi="Times New Roman" w:cs="Times New Roman"/>
          <w:sz w:val="24"/>
          <w:szCs w:val="24"/>
        </w:rPr>
        <w:t>реализирана</w:t>
      </w:r>
      <w:r w:rsidR="001E7DA0" w:rsidRPr="00FD4C39">
        <w:rPr>
          <w:rFonts w:ascii="Times New Roman" w:eastAsia="Calibri" w:hAnsi="Times New Roman" w:cs="Times New Roman"/>
          <w:sz w:val="24"/>
          <w:szCs w:val="24"/>
        </w:rPr>
        <w:t>та</w:t>
      </w:r>
      <w:r w:rsidR="00924C07" w:rsidRPr="00FD4C39">
        <w:rPr>
          <w:rFonts w:ascii="Times New Roman" w:eastAsia="Calibri" w:hAnsi="Times New Roman" w:cs="Times New Roman"/>
          <w:sz w:val="24"/>
          <w:szCs w:val="24"/>
        </w:rPr>
        <w:t xml:space="preserve"> </w:t>
      </w:r>
      <w:r w:rsidR="00D56159" w:rsidRPr="00FD4C39">
        <w:rPr>
          <w:rFonts w:ascii="Times New Roman" w:eastAsia="Calibri" w:hAnsi="Times New Roman" w:cs="Times New Roman"/>
          <w:sz w:val="24"/>
          <w:szCs w:val="24"/>
        </w:rPr>
        <w:t>контролна</w:t>
      </w:r>
      <w:r w:rsidR="001E7DA0" w:rsidRPr="00FD4C39">
        <w:rPr>
          <w:rFonts w:ascii="Times New Roman" w:eastAsia="Calibri" w:hAnsi="Times New Roman" w:cs="Times New Roman"/>
          <w:sz w:val="24"/>
          <w:szCs w:val="24"/>
        </w:rPr>
        <w:t xml:space="preserve"> дейност на </w:t>
      </w:r>
      <w:r w:rsidR="00FE7018" w:rsidRPr="00FD4C39">
        <w:rPr>
          <w:rFonts w:ascii="Times New Roman" w:eastAsia="Calibri" w:hAnsi="Times New Roman" w:cs="Times New Roman"/>
          <w:sz w:val="24"/>
          <w:szCs w:val="24"/>
        </w:rPr>
        <w:t>КЗЛД</w:t>
      </w:r>
      <w:r w:rsidR="001E7DA0" w:rsidRPr="00FD4C39">
        <w:rPr>
          <w:rFonts w:ascii="Times New Roman" w:eastAsia="Calibri" w:hAnsi="Times New Roman" w:cs="Times New Roman"/>
          <w:sz w:val="24"/>
          <w:szCs w:val="24"/>
        </w:rPr>
        <w:t xml:space="preserve">, </w:t>
      </w:r>
      <w:r w:rsidR="00924C07" w:rsidRPr="00FD4C39">
        <w:rPr>
          <w:rFonts w:ascii="Times New Roman" w:eastAsia="Calibri" w:hAnsi="Times New Roman" w:cs="Times New Roman"/>
          <w:sz w:val="24"/>
          <w:szCs w:val="24"/>
        </w:rPr>
        <w:t>както и</w:t>
      </w:r>
      <w:r w:rsidR="00EB5C41" w:rsidRPr="00FD4C39">
        <w:rPr>
          <w:rFonts w:ascii="Times New Roman" w:eastAsia="Calibri" w:hAnsi="Times New Roman" w:cs="Times New Roman"/>
          <w:sz w:val="24"/>
          <w:szCs w:val="24"/>
        </w:rPr>
        <w:t xml:space="preserve"> изразяването на с</w:t>
      </w:r>
      <w:r w:rsidR="00D56159" w:rsidRPr="00FD4C39">
        <w:rPr>
          <w:rFonts w:ascii="Times New Roman" w:eastAsia="Calibri" w:hAnsi="Times New Roman" w:cs="Times New Roman"/>
          <w:sz w:val="24"/>
          <w:szCs w:val="24"/>
        </w:rPr>
        <w:t xml:space="preserve">тановища </w:t>
      </w:r>
      <w:r w:rsidR="00EB5C41" w:rsidRPr="00FD4C39">
        <w:rPr>
          <w:rFonts w:ascii="Times New Roman" w:eastAsia="Calibri" w:hAnsi="Times New Roman" w:cs="Times New Roman"/>
          <w:sz w:val="24"/>
          <w:szCs w:val="24"/>
        </w:rPr>
        <w:t xml:space="preserve">по въпроси, свързани със защитата на данните. Специално внимание е отделено на дейностите по линия на международното сътрудничество, </w:t>
      </w:r>
      <w:r w:rsidR="00924C07" w:rsidRPr="00FD4C39">
        <w:rPr>
          <w:rFonts w:ascii="Times New Roman" w:eastAsia="Calibri" w:hAnsi="Times New Roman" w:cs="Times New Roman"/>
          <w:sz w:val="24"/>
          <w:szCs w:val="24"/>
        </w:rPr>
        <w:t xml:space="preserve">провеждането на обучения в областта на защитата на личните данни и изпълняването на проекти, финансирани по европейски програми. </w:t>
      </w:r>
    </w:p>
    <w:p w:rsidR="00D56159" w:rsidRPr="00FD4C39" w:rsidRDefault="00D5615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Отчетени са административният капацитет и финансовото </w:t>
      </w:r>
      <w:r w:rsidR="00924C07" w:rsidRPr="00FD4C39">
        <w:rPr>
          <w:rFonts w:ascii="Times New Roman" w:eastAsia="Calibri" w:hAnsi="Times New Roman" w:cs="Times New Roman"/>
          <w:sz w:val="24"/>
          <w:szCs w:val="24"/>
        </w:rPr>
        <w:t xml:space="preserve">състояние на </w:t>
      </w:r>
      <w:r w:rsidR="00FE7018" w:rsidRPr="00FD4C39">
        <w:rPr>
          <w:rFonts w:ascii="Times New Roman" w:eastAsia="Calibri" w:hAnsi="Times New Roman" w:cs="Times New Roman"/>
          <w:sz w:val="24"/>
          <w:szCs w:val="24"/>
        </w:rPr>
        <w:t>КЗЛД</w:t>
      </w:r>
      <w:r w:rsidR="00924C07" w:rsidRPr="00FD4C39">
        <w:rPr>
          <w:rFonts w:ascii="Times New Roman" w:eastAsia="Calibri" w:hAnsi="Times New Roman" w:cs="Times New Roman"/>
          <w:sz w:val="24"/>
          <w:szCs w:val="24"/>
        </w:rPr>
        <w:t xml:space="preserve">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p>
    <w:p w:rsidR="002B3456" w:rsidRPr="00FD4C39" w:rsidRDefault="002B3456" w:rsidP="007B189E">
      <w:pPr>
        <w:spacing w:after="0" w:line="360" w:lineRule="auto"/>
        <w:ind w:firstLine="709"/>
        <w:jc w:val="both"/>
        <w:rPr>
          <w:rFonts w:ascii="Times New Roman" w:eastAsia="Calibri" w:hAnsi="Times New Roman" w:cs="Times New Roman"/>
          <w:b/>
          <w:sz w:val="24"/>
          <w:szCs w:val="24"/>
        </w:rPr>
      </w:pPr>
    </w:p>
    <w:p w:rsidR="00253EE4" w:rsidRPr="00FD4C39" w:rsidRDefault="00253EE4">
      <w:pPr>
        <w:rPr>
          <w:rFonts w:ascii="Times New Roman" w:eastAsia="Calibri" w:hAnsi="Times New Roman" w:cs="Times New Roman"/>
          <w:b/>
          <w:sz w:val="24"/>
          <w:szCs w:val="24"/>
        </w:rPr>
      </w:pPr>
      <w:r w:rsidRPr="00FD4C39">
        <w:rPr>
          <w:rFonts w:ascii="Times New Roman" w:eastAsia="Calibri" w:hAnsi="Times New Roman" w:cs="Times New Roman"/>
          <w:b/>
          <w:sz w:val="24"/>
          <w:szCs w:val="24"/>
        </w:rPr>
        <w:br w:type="page"/>
      </w:r>
    </w:p>
    <w:p w:rsidR="00400E48" w:rsidRPr="00FD4C39" w:rsidRDefault="00400E48"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 xml:space="preserve">II. Регистрация на </w:t>
      </w:r>
      <w:r w:rsidR="00286071" w:rsidRPr="00FD4C39">
        <w:rPr>
          <w:rFonts w:ascii="Times New Roman" w:eastAsia="Calibri" w:hAnsi="Times New Roman" w:cs="Times New Roman"/>
          <w:b/>
          <w:sz w:val="24"/>
          <w:szCs w:val="24"/>
        </w:rPr>
        <w:t xml:space="preserve">администратори на лични данни </w:t>
      </w:r>
      <w:r w:rsidR="00B94345" w:rsidRPr="00FD4C39">
        <w:rPr>
          <w:rFonts w:ascii="Times New Roman" w:eastAsia="Calibri" w:hAnsi="Times New Roman" w:cs="Times New Roman"/>
          <w:b/>
          <w:sz w:val="24"/>
          <w:szCs w:val="24"/>
        </w:rPr>
        <w:t>и</w:t>
      </w:r>
      <w:r w:rsidRPr="00FD4C39">
        <w:rPr>
          <w:rFonts w:ascii="Times New Roman" w:eastAsia="Calibri" w:hAnsi="Times New Roman" w:cs="Times New Roman"/>
          <w:b/>
          <w:sz w:val="24"/>
          <w:szCs w:val="24"/>
        </w:rPr>
        <w:t xml:space="preserve"> на водените </w:t>
      </w:r>
      <w:r w:rsidR="003D7665" w:rsidRPr="00FD4C39">
        <w:rPr>
          <w:rFonts w:ascii="Times New Roman" w:eastAsia="Calibri" w:hAnsi="Times New Roman" w:cs="Times New Roman"/>
          <w:b/>
          <w:sz w:val="24"/>
          <w:szCs w:val="24"/>
        </w:rPr>
        <w:t>от тях регистри на лични данни</w:t>
      </w:r>
    </w:p>
    <w:p w:rsidR="003D7665" w:rsidRPr="00FD4C39" w:rsidRDefault="003D7665" w:rsidP="007B189E">
      <w:pPr>
        <w:spacing w:after="0" w:line="360" w:lineRule="auto"/>
        <w:ind w:firstLine="709"/>
        <w:jc w:val="both"/>
        <w:rPr>
          <w:rFonts w:ascii="Times New Roman" w:eastAsia="Calibri" w:hAnsi="Times New Roman" w:cs="Times New Roman"/>
          <w:b/>
          <w:sz w:val="24"/>
          <w:szCs w:val="24"/>
        </w:rPr>
      </w:pP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изпълнение на законовото си задължение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w:t>
      </w:r>
      <w:r w:rsidR="00686232"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 xml:space="preserve">КЗЛД </w:t>
      </w:r>
      <w:r w:rsidRPr="00FD4C39">
        <w:rPr>
          <w:rFonts w:ascii="Times New Roman" w:eastAsia="Calibri" w:hAnsi="Times New Roman" w:cs="Times New Roman"/>
          <w:sz w:val="24"/>
          <w:szCs w:val="24"/>
        </w:rPr>
        <w:t xml:space="preserve">води регистър на </w:t>
      </w:r>
      <w:r w:rsidR="00286071" w:rsidRPr="00FD4C39">
        <w:rPr>
          <w:rFonts w:ascii="Times New Roman" w:eastAsia="Calibri" w:hAnsi="Times New Roman" w:cs="Times New Roman"/>
          <w:sz w:val="24"/>
          <w:szCs w:val="24"/>
        </w:rPr>
        <w:t>администраторите на лични данни (</w:t>
      </w:r>
      <w:r w:rsidR="00FE7018" w:rsidRPr="00FD4C39">
        <w:rPr>
          <w:rFonts w:ascii="Times New Roman" w:eastAsia="Calibri" w:hAnsi="Times New Roman" w:cs="Times New Roman"/>
          <w:sz w:val="24"/>
          <w:szCs w:val="24"/>
        </w:rPr>
        <w:t>АЛД</w:t>
      </w:r>
      <w:r w:rsidR="00286071" w:rsidRPr="00FD4C39">
        <w:rPr>
          <w:rFonts w:ascii="Times New Roman" w:eastAsia="Calibri" w:hAnsi="Times New Roman" w:cs="Times New Roman"/>
          <w:sz w:val="24"/>
          <w:szCs w:val="24"/>
        </w:rPr>
        <w:t>)</w:t>
      </w:r>
      <w:r w:rsidR="00FE701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и на водените от тях регистри на лични данни (регистър). Регистърът е публичен и се поддържа в електронен вид.</w:t>
      </w: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Дейността по поддържане на регистъра в КЗЛД е в съответствие с концепцията за електронно правителство и цели да предостави на гражданите високоефективна и лесна за използване електронна услуга, изградена по технологията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обслужване на едно гише</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Тя се реализира на базата на системата </w:t>
      </w:r>
      <w:proofErr w:type="spellStart"/>
      <w:r w:rsidRPr="00FD4C39">
        <w:rPr>
          <w:rFonts w:ascii="Times New Roman" w:eastAsia="Calibri" w:hAnsi="Times New Roman" w:cs="Times New Roman"/>
          <w:sz w:val="24"/>
          <w:szCs w:val="24"/>
        </w:rPr>
        <w:t>еРАЛД</w:t>
      </w:r>
      <w:proofErr w:type="spellEnd"/>
      <w:r w:rsidR="00B94345" w:rsidRPr="00FD4C39">
        <w:rPr>
          <w:rFonts w:ascii="Times New Roman" w:eastAsia="Calibri" w:hAnsi="Times New Roman" w:cs="Times New Roman"/>
          <w:sz w:val="24"/>
          <w:szCs w:val="24"/>
        </w:rPr>
        <w:t xml:space="preserve">, която </w:t>
      </w:r>
      <w:r w:rsidR="008A02ED">
        <w:rPr>
          <w:rFonts w:ascii="Times New Roman" w:eastAsia="Calibri" w:hAnsi="Times New Roman" w:cs="Times New Roman"/>
          <w:sz w:val="24"/>
          <w:szCs w:val="24"/>
        </w:rPr>
        <w:t xml:space="preserve">е </w:t>
      </w:r>
      <w:proofErr w:type="spellStart"/>
      <w:r w:rsidR="008A02ED">
        <w:rPr>
          <w:rFonts w:ascii="Times New Roman" w:eastAsia="Calibri" w:hAnsi="Times New Roman" w:cs="Times New Roman"/>
          <w:sz w:val="24"/>
          <w:szCs w:val="24"/>
        </w:rPr>
        <w:t>уеб</w:t>
      </w:r>
      <w:r w:rsidRPr="00FD4C39">
        <w:rPr>
          <w:rFonts w:ascii="Times New Roman" w:eastAsia="Calibri" w:hAnsi="Times New Roman" w:cs="Times New Roman"/>
          <w:sz w:val="24"/>
          <w:szCs w:val="24"/>
        </w:rPr>
        <w:t>базирано</w:t>
      </w:r>
      <w:proofErr w:type="spellEnd"/>
      <w:r w:rsidRPr="00FD4C39">
        <w:rPr>
          <w:rFonts w:ascii="Times New Roman" w:eastAsia="Calibri" w:hAnsi="Times New Roman" w:cs="Times New Roman"/>
          <w:sz w:val="24"/>
          <w:szCs w:val="24"/>
        </w:rPr>
        <w:t xml:space="preserve"> приложение, достъпно през интернет страницата на КЗЛД, обхваща</w:t>
      </w:r>
      <w:r w:rsidR="00B94345" w:rsidRPr="00FD4C39">
        <w:rPr>
          <w:rFonts w:ascii="Times New Roman" w:eastAsia="Calibri" w:hAnsi="Times New Roman" w:cs="Times New Roman"/>
          <w:sz w:val="24"/>
          <w:szCs w:val="24"/>
        </w:rPr>
        <w:t>що</w:t>
      </w:r>
      <w:r w:rsidRPr="00FD4C39">
        <w:rPr>
          <w:rFonts w:ascii="Times New Roman" w:eastAsia="Calibri" w:hAnsi="Times New Roman" w:cs="Times New Roman"/>
          <w:sz w:val="24"/>
          <w:szCs w:val="24"/>
        </w:rPr>
        <w:t xml:space="preserve"> дейностите по регистрацията на </w:t>
      </w:r>
      <w:r w:rsidR="00B94345"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Системата дава възможност на администраторите по електронен път да подават заявление за регистрация, както и да поддържат в актуално състояние вече заявените от тях данни в съответствие с из</w:t>
      </w:r>
      <w:r w:rsidR="00BC588C" w:rsidRPr="00FD4C39">
        <w:rPr>
          <w:rFonts w:ascii="Times New Roman" w:eastAsia="Calibri" w:hAnsi="Times New Roman" w:cs="Times New Roman"/>
          <w:sz w:val="24"/>
          <w:szCs w:val="24"/>
        </w:rPr>
        <w:t>искванията</w:t>
      </w:r>
      <w:r w:rsidRPr="00FD4C39">
        <w:rPr>
          <w:rFonts w:ascii="Times New Roman" w:eastAsia="Calibri" w:hAnsi="Times New Roman" w:cs="Times New Roman"/>
          <w:sz w:val="24"/>
          <w:szCs w:val="24"/>
        </w:rPr>
        <w:t xml:space="preserve"> на ЗЗЛД. Чрез публичните регистри може да се извършват справки за вписаните </w:t>
      </w:r>
      <w:r w:rsidR="00FE7018" w:rsidRPr="00FD4C39">
        <w:rPr>
          <w:rFonts w:ascii="Times New Roman" w:eastAsia="Calibri" w:hAnsi="Times New Roman" w:cs="Times New Roman"/>
          <w:sz w:val="24"/>
          <w:szCs w:val="24"/>
        </w:rPr>
        <w:t>АЛД и</w:t>
      </w:r>
      <w:r w:rsidRPr="00FD4C39">
        <w:rPr>
          <w:rFonts w:ascii="Times New Roman" w:eastAsia="Calibri" w:hAnsi="Times New Roman" w:cs="Times New Roman"/>
          <w:sz w:val="24"/>
          <w:szCs w:val="24"/>
        </w:rPr>
        <w:t xml:space="preserve"> за водените от тях регистри на лични данни, за освободените от задължението за регистрация администратори и за администратори, на които е отказано вписване в регистъра на КЗЛД.</w:t>
      </w: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продължава тенденцията за широко използване от </w:t>
      </w:r>
      <w:r w:rsidR="00FE7018" w:rsidRPr="00FD4C39">
        <w:rPr>
          <w:rFonts w:ascii="Times New Roman" w:eastAsia="Calibri" w:hAnsi="Times New Roman" w:cs="Times New Roman"/>
          <w:sz w:val="24"/>
          <w:szCs w:val="24"/>
        </w:rPr>
        <w:t xml:space="preserve">АЛД </w:t>
      </w:r>
      <w:r w:rsidRPr="00FD4C39">
        <w:rPr>
          <w:rFonts w:ascii="Times New Roman" w:eastAsia="Calibri" w:hAnsi="Times New Roman" w:cs="Times New Roman"/>
          <w:sz w:val="24"/>
          <w:szCs w:val="24"/>
        </w:rPr>
        <w:t>на електронната услуга за регистрация през интернет, включително и с използването на квалифициран електронен подпис (КЕП).</w:t>
      </w:r>
    </w:p>
    <w:p w:rsidR="00085815" w:rsidRPr="00FD4C39" w:rsidRDefault="0008581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Към 31.12.2014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от началото на въвеждането в експлоатация на </w:t>
      </w:r>
      <w:proofErr w:type="spellStart"/>
      <w:r w:rsidRPr="00FD4C39">
        <w:rPr>
          <w:rFonts w:ascii="Times New Roman" w:eastAsia="Calibri" w:hAnsi="Times New Roman" w:cs="Times New Roman"/>
          <w:sz w:val="24"/>
          <w:szCs w:val="24"/>
        </w:rPr>
        <w:t>еРАЛД</w:t>
      </w:r>
      <w:proofErr w:type="spellEnd"/>
      <w:r w:rsidRPr="00FD4C39">
        <w:rPr>
          <w:rFonts w:ascii="Times New Roman" w:eastAsia="Calibri" w:hAnsi="Times New Roman" w:cs="Times New Roman"/>
          <w:sz w:val="24"/>
          <w:szCs w:val="24"/>
        </w:rPr>
        <w:t xml:space="preserve"> през 2009</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общият брой на потребителите на системата достига 343</w:t>
      </w:r>
      <w:r w:rsidR="00D30E4C">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292, като 312</w:t>
      </w:r>
      <w:r w:rsidR="00D30E4C">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804 от тях </w:t>
      </w:r>
      <w:r w:rsidR="00CF3FAA">
        <w:rPr>
          <w:rFonts w:ascii="Times New Roman" w:eastAsia="Calibri" w:hAnsi="Times New Roman" w:cs="Times New Roman"/>
          <w:sz w:val="24"/>
          <w:szCs w:val="24"/>
        </w:rPr>
        <w:t>подават</w:t>
      </w:r>
      <w:r w:rsidRPr="00FD4C39">
        <w:rPr>
          <w:rFonts w:ascii="Times New Roman" w:eastAsia="Calibri" w:hAnsi="Times New Roman" w:cs="Times New Roman"/>
          <w:sz w:val="24"/>
          <w:szCs w:val="24"/>
        </w:rPr>
        <w:t xml:space="preserve"> заявление за регистрация като администратори, а 30</w:t>
      </w:r>
      <w:r w:rsidR="00D30E4C">
        <w:rPr>
          <w:rFonts w:ascii="Times New Roman" w:eastAsia="Calibri" w:hAnsi="Times New Roman" w:cs="Times New Roman"/>
          <w:sz w:val="24"/>
          <w:szCs w:val="24"/>
        </w:rPr>
        <w:t> </w:t>
      </w:r>
      <w:r w:rsidRPr="00FD4C39">
        <w:rPr>
          <w:rFonts w:ascii="Times New Roman" w:eastAsia="Calibri" w:hAnsi="Times New Roman" w:cs="Times New Roman"/>
          <w:sz w:val="24"/>
          <w:szCs w:val="24"/>
        </w:rPr>
        <w:t>488</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молба за освобождаване от задължение за регистрация (фиг. 1).</w:t>
      </w:r>
    </w:p>
    <w:p w:rsidR="00604685" w:rsidRDefault="00604685" w:rsidP="007B189E">
      <w:pPr>
        <w:spacing w:after="0" w:line="360" w:lineRule="auto"/>
        <w:ind w:firstLine="709"/>
        <w:jc w:val="both"/>
        <w:rPr>
          <w:rFonts w:ascii="Times New Roman" w:eastAsia="Calibri" w:hAnsi="Times New Roman" w:cs="Times New Roman"/>
          <w:sz w:val="24"/>
          <w:szCs w:val="24"/>
        </w:rPr>
      </w:pPr>
    </w:p>
    <w:p w:rsidR="00400E48" w:rsidRDefault="00604685" w:rsidP="00604685">
      <w:pPr>
        <w:tabs>
          <w:tab w:val="left" w:pos="1905"/>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604685" w:rsidRDefault="00604685" w:rsidP="00604685">
      <w:pPr>
        <w:tabs>
          <w:tab w:val="left" w:pos="1905"/>
        </w:tabs>
        <w:rPr>
          <w:rFonts w:ascii="Times New Roman" w:eastAsia="Calibri" w:hAnsi="Times New Roman" w:cs="Times New Roman"/>
          <w:sz w:val="24"/>
          <w:szCs w:val="24"/>
        </w:rPr>
      </w:pPr>
    </w:p>
    <w:p w:rsidR="00604685" w:rsidRDefault="00604685" w:rsidP="00604685">
      <w:pPr>
        <w:tabs>
          <w:tab w:val="left" w:pos="1905"/>
        </w:tabs>
        <w:rPr>
          <w:rFonts w:ascii="Times New Roman" w:eastAsia="Calibri" w:hAnsi="Times New Roman" w:cs="Times New Roman"/>
          <w:sz w:val="24"/>
          <w:szCs w:val="24"/>
        </w:rPr>
      </w:pPr>
    </w:p>
    <w:p w:rsidR="00604685" w:rsidRDefault="00604685" w:rsidP="00604685">
      <w:pPr>
        <w:tabs>
          <w:tab w:val="left" w:pos="1905"/>
        </w:tabs>
        <w:rPr>
          <w:rFonts w:ascii="Times New Roman" w:eastAsia="Calibri" w:hAnsi="Times New Roman" w:cs="Times New Roman"/>
          <w:sz w:val="24"/>
          <w:szCs w:val="24"/>
        </w:rPr>
      </w:pPr>
    </w:p>
    <w:p w:rsidR="00604685" w:rsidRDefault="00604685" w:rsidP="00604685">
      <w:pPr>
        <w:tabs>
          <w:tab w:val="left" w:pos="1905"/>
        </w:tabs>
        <w:rPr>
          <w:rFonts w:ascii="Times New Roman" w:eastAsia="Calibri" w:hAnsi="Times New Roman" w:cs="Times New Roman"/>
          <w:sz w:val="24"/>
          <w:szCs w:val="24"/>
        </w:rPr>
      </w:pPr>
    </w:p>
    <w:p w:rsidR="00604685" w:rsidRPr="00604685" w:rsidRDefault="00604685" w:rsidP="00604685">
      <w:pPr>
        <w:tabs>
          <w:tab w:val="left" w:pos="1905"/>
        </w:tabs>
        <w:rPr>
          <w:rFonts w:ascii="Times New Roman" w:eastAsia="Calibri" w:hAnsi="Times New Roman" w:cs="Times New Roman"/>
          <w:sz w:val="24"/>
          <w:szCs w:val="24"/>
        </w:rPr>
      </w:pPr>
    </w:p>
    <w:p w:rsidR="00400E48" w:rsidRPr="00FD4C39" w:rsidRDefault="008A4F04" w:rsidP="00384216">
      <w:pPr>
        <w:spacing w:after="0" w:line="360" w:lineRule="auto"/>
        <w:ind w:firstLine="426"/>
        <w:jc w:val="both"/>
        <w:rPr>
          <w:rFonts w:ascii="Times New Roman" w:eastAsia="Calibri" w:hAnsi="Times New Roman" w:cs="Times New Roman"/>
          <w:b/>
          <w:sz w:val="24"/>
          <w:szCs w:val="24"/>
        </w:rPr>
      </w:pPr>
      <w:r w:rsidRPr="00FD4C39">
        <w:rPr>
          <w:rFonts w:ascii="Times New Roman" w:hAnsi="Times New Roman" w:cs="Times New Roman"/>
          <w:noProof/>
          <w:sz w:val="24"/>
          <w:szCs w:val="24"/>
        </w:rPr>
        <w:drawing>
          <wp:inline distT="0" distB="0" distL="0" distR="0" wp14:anchorId="175493DA" wp14:editId="22B8DEB3">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E48" w:rsidRPr="00FD4C39" w:rsidRDefault="00400E48"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Фиг. 1</w:t>
      </w:r>
    </w:p>
    <w:p w:rsidR="00604685" w:rsidRDefault="00604685" w:rsidP="007B189E">
      <w:pPr>
        <w:spacing w:after="0" w:line="360" w:lineRule="auto"/>
        <w:ind w:firstLine="709"/>
        <w:jc w:val="both"/>
        <w:rPr>
          <w:rFonts w:ascii="Times New Roman" w:eastAsia="Calibri" w:hAnsi="Times New Roman" w:cs="Times New Roman"/>
          <w:sz w:val="24"/>
          <w:szCs w:val="24"/>
        </w:rPr>
      </w:pPr>
    </w:p>
    <w:p w:rsidR="00B44DB0" w:rsidRPr="00FD4C39" w:rsidRDefault="00CF3FAA"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Pr>
          <w:rFonts w:ascii="Times New Roman" w:eastAsia="Calibri" w:hAnsi="Times New Roman" w:cs="Times New Roman"/>
          <w:sz w:val="24"/>
          <w:szCs w:val="24"/>
        </w:rPr>
        <w:t xml:space="preserve"> КЗЛД вписва</w:t>
      </w:r>
      <w:r w:rsidR="00B44DB0" w:rsidRPr="00FD4C39">
        <w:rPr>
          <w:rFonts w:ascii="Times New Roman" w:eastAsia="Calibri" w:hAnsi="Times New Roman" w:cs="Times New Roman"/>
          <w:sz w:val="24"/>
          <w:szCs w:val="24"/>
        </w:rPr>
        <w:t xml:space="preserve"> в регистъра 26</w:t>
      </w:r>
      <w:r>
        <w:rPr>
          <w:rFonts w:ascii="Times New Roman" w:eastAsia="Calibri" w:hAnsi="Times New Roman" w:cs="Times New Roman"/>
          <w:sz w:val="24"/>
          <w:szCs w:val="24"/>
        </w:rPr>
        <w:t xml:space="preserve"> </w:t>
      </w:r>
      <w:r w:rsidR="00B44DB0" w:rsidRPr="00FD4C39">
        <w:rPr>
          <w:rFonts w:ascii="Times New Roman" w:eastAsia="Calibri" w:hAnsi="Times New Roman" w:cs="Times New Roman"/>
          <w:sz w:val="24"/>
          <w:szCs w:val="24"/>
        </w:rPr>
        <w:t xml:space="preserve">687 </w:t>
      </w:r>
      <w:r w:rsidR="002466FF" w:rsidRPr="00FD4C39">
        <w:rPr>
          <w:rFonts w:ascii="Times New Roman" w:eastAsia="Calibri" w:hAnsi="Times New Roman" w:cs="Times New Roman"/>
          <w:sz w:val="24"/>
          <w:szCs w:val="24"/>
        </w:rPr>
        <w:t>АЛД</w:t>
      </w:r>
      <w:r w:rsidR="00B44DB0" w:rsidRPr="00FD4C39">
        <w:rPr>
          <w:rFonts w:ascii="Times New Roman" w:eastAsia="Calibri" w:hAnsi="Times New Roman" w:cs="Times New Roman"/>
          <w:sz w:val="24"/>
          <w:szCs w:val="24"/>
        </w:rPr>
        <w:t>. С тях общият брой на вписаните АЛД в регистъра става 273</w:t>
      </w:r>
      <w:r>
        <w:rPr>
          <w:rFonts w:ascii="Times New Roman" w:eastAsia="Calibri" w:hAnsi="Times New Roman" w:cs="Times New Roman"/>
          <w:sz w:val="24"/>
          <w:szCs w:val="24"/>
        </w:rPr>
        <w:t xml:space="preserve"> </w:t>
      </w:r>
      <w:r w:rsidR="00B44DB0" w:rsidRPr="00FD4C39">
        <w:rPr>
          <w:rFonts w:ascii="Times New Roman" w:eastAsia="Calibri" w:hAnsi="Times New Roman" w:cs="Times New Roman"/>
          <w:sz w:val="24"/>
          <w:szCs w:val="24"/>
        </w:rPr>
        <w:t xml:space="preserve">069 (фиг. 2). </w:t>
      </w:r>
    </w:p>
    <w:p w:rsidR="00B44DB0" w:rsidRPr="00FD4C39" w:rsidRDefault="00B44DB0"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Запазва се тенденцията част от потребителите на </w:t>
      </w:r>
      <w:proofErr w:type="spellStart"/>
      <w:r w:rsidRPr="00FD4C39">
        <w:rPr>
          <w:rFonts w:ascii="Times New Roman" w:eastAsia="Calibri" w:hAnsi="Times New Roman" w:cs="Times New Roman"/>
          <w:sz w:val="24"/>
          <w:szCs w:val="24"/>
        </w:rPr>
        <w:t>еРАЛД</w:t>
      </w:r>
      <w:proofErr w:type="spellEnd"/>
      <w:r w:rsidRPr="00FD4C39">
        <w:rPr>
          <w:rFonts w:ascii="Times New Roman" w:eastAsia="Calibri" w:hAnsi="Times New Roman" w:cs="Times New Roman"/>
          <w:sz w:val="24"/>
          <w:szCs w:val="24"/>
        </w:rPr>
        <w:t xml:space="preserve"> да допускат грешки в процедурата по регистрация, които най-често са избор на грешен формуляр на заявление или липса на задължителни документи. В тези случаи процедурата по вписване не може да бъде завършена.  </w:t>
      </w:r>
    </w:p>
    <w:p w:rsidR="00B44DB0" w:rsidRPr="00FD4C39" w:rsidRDefault="00B44DB0"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Към 31.12.2014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от 30</w:t>
      </w:r>
      <w:r w:rsidR="00CF3FAA">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488 АЛД, </w:t>
      </w:r>
      <w:r w:rsidR="00CF3FAA">
        <w:rPr>
          <w:rFonts w:ascii="Times New Roman" w:eastAsia="Calibri" w:hAnsi="Times New Roman" w:cs="Times New Roman"/>
          <w:sz w:val="24"/>
          <w:szCs w:val="24"/>
        </w:rPr>
        <w:t>които подават</w:t>
      </w:r>
      <w:r w:rsidRPr="00FD4C39">
        <w:rPr>
          <w:rFonts w:ascii="Times New Roman" w:eastAsia="Calibri" w:hAnsi="Times New Roman" w:cs="Times New Roman"/>
          <w:sz w:val="24"/>
          <w:szCs w:val="24"/>
        </w:rPr>
        <w:t xml:space="preserve"> молба за освобождаване от регистрация, с решение на КЗЛД с</w:t>
      </w:r>
      <w:r w:rsidR="00CF3FAA">
        <w:rPr>
          <w:rFonts w:ascii="Times New Roman" w:eastAsia="Calibri" w:hAnsi="Times New Roman" w:cs="Times New Roman"/>
          <w:sz w:val="24"/>
          <w:szCs w:val="24"/>
        </w:rPr>
        <w:t>е освобождават</w:t>
      </w:r>
      <w:r w:rsidRPr="00FD4C39">
        <w:rPr>
          <w:rFonts w:ascii="Times New Roman" w:eastAsia="Calibri" w:hAnsi="Times New Roman" w:cs="Times New Roman"/>
          <w:sz w:val="24"/>
          <w:szCs w:val="24"/>
        </w:rPr>
        <w:t xml:space="preserve"> 27</w:t>
      </w:r>
      <w:r w:rsidR="00CF3FAA">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497, като 146 от тях с</w:t>
      </w:r>
      <w:r w:rsidR="00CF3FAA">
        <w:rPr>
          <w:rFonts w:ascii="Times New Roman" w:eastAsia="Calibri" w:hAnsi="Times New Roman" w:cs="Times New Roman"/>
          <w:sz w:val="24"/>
          <w:szCs w:val="24"/>
        </w:rPr>
        <w:t>е</w:t>
      </w:r>
      <w:r w:rsidRPr="00FD4C39">
        <w:rPr>
          <w:rFonts w:ascii="Times New Roman" w:eastAsia="Calibri" w:hAnsi="Times New Roman" w:cs="Times New Roman"/>
          <w:sz w:val="24"/>
          <w:szCs w:val="24"/>
        </w:rPr>
        <w:t xml:space="preserve"> </w:t>
      </w:r>
      <w:r w:rsidR="00CF3FAA">
        <w:rPr>
          <w:rFonts w:ascii="Times New Roman" w:eastAsia="Calibri" w:hAnsi="Times New Roman" w:cs="Times New Roman"/>
          <w:sz w:val="24"/>
          <w:szCs w:val="24"/>
        </w:rPr>
        <w:t>освобождават</w:t>
      </w:r>
      <w:r w:rsidR="002466FF"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през отчетн</w:t>
      </w:r>
      <w:r w:rsidR="00CF3FAA">
        <w:rPr>
          <w:rFonts w:ascii="Times New Roman" w:eastAsia="Calibri" w:hAnsi="Times New Roman" w:cs="Times New Roman"/>
          <w:sz w:val="24"/>
          <w:szCs w:val="24"/>
        </w:rPr>
        <w:t>ия период</w:t>
      </w:r>
      <w:r w:rsidRPr="00FD4C39">
        <w:rPr>
          <w:rFonts w:ascii="Times New Roman" w:eastAsia="Calibri" w:hAnsi="Times New Roman" w:cs="Times New Roman"/>
          <w:sz w:val="24"/>
          <w:szCs w:val="24"/>
        </w:rPr>
        <w:t xml:space="preserve"> (фиг. 3). Останалите АЛД </w:t>
      </w:r>
      <w:r w:rsidR="00CF3FAA">
        <w:rPr>
          <w:rFonts w:ascii="Times New Roman" w:eastAsia="Calibri" w:hAnsi="Times New Roman" w:cs="Times New Roman"/>
          <w:sz w:val="24"/>
          <w:szCs w:val="24"/>
        </w:rPr>
        <w:t>подават</w:t>
      </w:r>
      <w:r w:rsidRPr="00FD4C39">
        <w:rPr>
          <w:rFonts w:ascii="Times New Roman" w:eastAsia="Calibri" w:hAnsi="Times New Roman" w:cs="Times New Roman"/>
          <w:sz w:val="24"/>
          <w:szCs w:val="24"/>
        </w:rPr>
        <w:t xml:space="preserve"> едновременно заявление за регистрация и молба за освобождаване. В тези случаи КЗЛД отказва освобождаване, а извършва вписване на АЛД. </w:t>
      </w:r>
    </w:p>
    <w:p w:rsidR="00B519FD" w:rsidRPr="00FD4C39" w:rsidRDefault="00B519FD" w:rsidP="007B189E">
      <w:pPr>
        <w:spacing w:after="0" w:line="360" w:lineRule="auto"/>
        <w:ind w:firstLine="709"/>
        <w:rPr>
          <w:rFonts w:ascii="Times New Roman" w:eastAsia="Calibri" w:hAnsi="Times New Roman" w:cs="Times New Roman"/>
          <w:sz w:val="24"/>
          <w:szCs w:val="24"/>
        </w:rPr>
      </w:pP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p>
    <w:p w:rsidR="00400E48" w:rsidRPr="00FD4C39" w:rsidRDefault="00400E48" w:rsidP="00384216">
      <w:pPr>
        <w:spacing w:after="0" w:line="360" w:lineRule="auto"/>
        <w:ind w:firstLine="426"/>
        <w:jc w:val="both"/>
        <w:rPr>
          <w:rFonts w:ascii="Times New Roman" w:eastAsia="Calibri" w:hAnsi="Times New Roman" w:cs="Times New Roman"/>
          <w:sz w:val="24"/>
          <w:szCs w:val="24"/>
        </w:rPr>
      </w:pPr>
      <w:r w:rsidRPr="00FD4C39">
        <w:rPr>
          <w:rFonts w:ascii="Times New Roman" w:eastAsia="Calibri" w:hAnsi="Times New Roman" w:cs="Times New Roman"/>
          <w:b/>
          <w:noProof/>
          <w:sz w:val="24"/>
          <w:szCs w:val="24"/>
        </w:rPr>
        <w:lastRenderedPageBreak/>
        <w:drawing>
          <wp:inline distT="0" distB="0" distL="0" distR="0" wp14:anchorId="29443DF7" wp14:editId="3A09E467">
            <wp:extent cx="5486400" cy="3200400"/>
            <wp:effectExtent l="0" t="0" r="19050" b="1905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0E48" w:rsidRPr="00FD4C39" w:rsidRDefault="00400E48"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Фиг. 2</w:t>
      </w:r>
    </w:p>
    <w:p w:rsidR="00CE7420" w:rsidRPr="00FD4C39" w:rsidRDefault="00CE7420" w:rsidP="007B189E">
      <w:pPr>
        <w:spacing w:after="0" w:line="360" w:lineRule="auto"/>
        <w:ind w:firstLine="709"/>
        <w:jc w:val="both"/>
        <w:rPr>
          <w:rFonts w:ascii="Times New Roman" w:eastAsia="Calibri" w:hAnsi="Times New Roman" w:cs="Times New Roman"/>
          <w:b/>
          <w:sz w:val="24"/>
          <w:szCs w:val="24"/>
        </w:rPr>
      </w:pPr>
    </w:p>
    <w:p w:rsidR="00400E48" w:rsidRPr="00FD4C39" w:rsidRDefault="00400E48" w:rsidP="00384216">
      <w:pPr>
        <w:spacing w:after="0" w:line="360" w:lineRule="auto"/>
        <w:ind w:firstLine="426"/>
        <w:jc w:val="both"/>
        <w:rPr>
          <w:rFonts w:ascii="Times New Roman" w:eastAsia="Calibri" w:hAnsi="Times New Roman" w:cs="Times New Roman"/>
          <w:b/>
          <w:sz w:val="24"/>
          <w:szCs w:val="24"/>
        </w:rPr>
      </w:pPr>
      <w:r w:rsidRPr="00FD4C39">
        <w:rPr>
          <w:rFonts w:ascii="Times New Roman" w:eastAsia="Calibri" w:hAnsi="Times New Roman" w:cs="Times New Roman"/>
          <w:b/>
          <w:noProof/>
          <w:sz w:val="24"/>
          <w:szCs w:val="24"/>
        </w:rPr>
        <w:drawing>
          <wp:inline distT="0" distB="0" distL="0" distR="0" wp14:anchorId="288C1BAF" wp14:editId="220EE15E">
            <wp:extent cx="5486400" cy="3200400"/>
            <wp:effectExtent l="0" t="0" r="19050" b="1905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0E48" w:rsidRPr="00FD4C39" w:rsidRDefault="00400E48"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Фиг. 3</w:t>
      </w:r>
    </w:p>
    <w:p w:rsidR="00400E48" w:rsidRPr="00FD4C39" w:rsidRDefault="00400E48" w:rsidP="007B189E">
      <w:pPr>
        <w:spacing w:after="0" w:line="360" w:lineRule="auto"/>
        <w:ind w:firstLine="709"/>
        <w:jc w:val="both"/>
        <w:rPr>
          <w:rFonts w:ascii="Times New Roman" w:eastAsia="Calibri" w:hAnsi="Times New Roman" w:cs="Times New Roman"/>
          <w:b/>
          <w:sz w:val="24"/>
          <w:szCs w:val="24"/>
        </w:rPr>
      </w:pP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отчетния период в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w:t>
      </w:r>
      <w:r w:rsidR="0046460D">
        <w:rPr>
          <w:rFonts w:ascii="Times New Roman" w:eastAsia="Calibri" w:hAnsi="Times New Roman" w:cs="Times New Roman"/>
          <w:sz w:val="24"/>
          <w:szCs w:val="24"/>
        </w:rPr>
        <w:t>постъпват</w:t>
      </w:r>
      <w:r w:rsidRPr="00FD4C39">
        <w:rPr>
          <w:rFonts w:ascii="Times New Roman" w:eastAsia="Calibri" w:hAnsi="Times New Roman" w:cs="Times New Roman"/>
          <w:sz w:val="24"/>
          <w:szCs w:val="24"/>
        </w:rPr>
        <w:t xml:space="preserve"> 62 броя заявления за заличаване на </w:t>
      </w:r>
      <w:r w:rsidR="00D21C02" w:rsidRPr="00FD4C39">
        <w:rPr>
          <w:rFonts w:ascii="Times New Roman" w:eastAsia="Calibri" w:hAnsi="Times New Roman" w:cs="Times New Roman"/>
          <w:sz w:val="24"/>
          <w:szCs w:val="24"/>
        </w:rPr>
        <w:t>АЛД</w:t>
      </w:r>
      <w:r w:rsidR="0046460D">
        <w:rPr>
          <w:rFonts w:ascii="Times New Roman" w:eastAsia="Calibri" w:hAnsi="Times New Roman" w:cs="Times New Roman"/>
          <w:sz w:val="24"/>
          <w:szCs w:val="24"/>
        </w:rPr>
        <w:t>, за които КЗЛД взема</w:t>
      </w:r>
      <w:r w:rsidRPr="00FD4C39">
        <w:rPr>
          <w:rFonts w:ascii="Times New Roman" w:eastAsia="Calibri" w:hAnsi="Times New Roman" w:cs="Times New Roman"/>
          <w:sz w:val="24"/>
          <w:szCs w:val="24"/>
        </w:rPr>
        <w:t xml:space="preserve"> решение за заличаване от регистъра. </w:t>
      </w: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случаите, когато </w:t>
      </w:r>
      <w:r w:rsidR="00580030"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w:t>
      </w:r>
      <w:r w:rsidR="0046460D">
        <w:rPr>
          <w:rFonts w:ascii="Times New Roman" w:eastAsia="Calibri" w:hAnsi="Times New Roman" w:cs="Times New Roman"/>
          <w:sz w:val="24"/>
          <w:szCs w:val="24"/>
        </w:rPr>
        <w:t>заявява</w:t>
      </w:r>
      <w:r w:rsidRPr="00FD4C39">
        <w:rPr>
          <w:rFonts w:ascii="Times New Roman" w:eastAsia="Calibri" w:hAnsi="Times New Roman" w:cs="Times New Roman"/>
          <w:sz w:val="24"/>
          <w:szCs w:val="24"/>
        </w:rPr>
        <w:t xml:space="preserve"> обработване на данни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5,</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ЗЗЛД или на данни, чието обработване съгласно решение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застрашава правата и </w:t>
      </w:r>
      <w:r w:rsidRPr="00FD4C39">
        <w:rPr>
          <w:rFonts w:ascii="Times New Roman" w:eastAsia="Calibri" w:hAnsi="Times New Roman" w:cs="Times New Roman"/>
          <w:sz w:val="24"/>
          <w:szCs w:val="24"/>
        </w:rPr>
        <w:lastRenderedPageBreak/>
        <w:t xml:space="preserve">законните интереси на физическите лица,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задължително извършва предварителна проверка преди вписване в регистъра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17б от ЗЗЛД.</w:t>
      </w:r>
    </w:p>
    <w:p w:rsidR="00400E48" w:rsidRPr="00FD4C39" w:rsidRDefault="00400E4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w:t>
      </w:r>
      <w:r w:rsidR="00C06E98" w:rsidRPr="00FD4C39">
        <w:rPr>
          <w:rFonts w:ascii="Times New Roman" w:eastAsia="Calibri" w:hAnsi="Times New Roman" w:cs="Times New Roman"/>
          <w:sz w:val="24"/>
          <w:szCs w:val="24"/>
        </w:rPr>
        <w:t>отчетния период</w:t>
      </w:r>
      <w:r w:rsidRPr="00FD4C39">
        <w:rPr>
          <w:rFonts w:ascii="Times New Roman" w:eastAsia="Calibri" w:hAnsi="Times New Roman" w:cs="Times New Roman"/>
          <w:sz w:val="24"/>
          <w:szCs w:val="24"/>
        </w:rPr>
        <w:t xml:space="preserve"> 2194 администратори </w:t>
      </w:r>
      <w:r w:rsidR="00C06E98" w:rsidRPr="00FD4C39">
        <w:rPr>
          <w:rFonts w:ascii="Times New Roman" w:eastAsia="Calibri" w:hAnsi="Times New Roman" w:cs="Times New Roman"/>
          <w:sz w:val="24"/>
          <w:szCs w:val="24"/>
        </w:rPr>
        <w:t>с</w:t>
      </w:r>
      <w:r w:rsidR="0046460D">
        <w:rPr>
          <w:rFonts w:ascii="Times New Roman" w:eastAsia="Calibri" w:hAnsi="Times New Roman" w:cs="Times New Roman"/>
          <w:sz w:val="24"/>
          <w:szCs w:val="24"/>
        </w:rPr>
        <w:t>е</w:t>
      </w:r>
      <w:r w:rsidR="00C06E98" w:rsidRPr="00FD4C39">
        <w:rPr>
          <w:rFonts w:ascii="Times New Roman" w:eastAsia="Calibri" w:hAnsi="Times New Roman" w:cs="Times New Roman"/>
          <w:sz w:val="24"/>
          <w:szCs w:val="24"/>
        </w:rPr>
        <w:t xml:space="preserve"> </w:t>
      </w:r>
      <w:r w:rsidR="0046460D">
        <w:rPr>
          <w:rFonts w:ascii="Times New Roman" w:eastAsia="Calibri" w:hAnsi="Times New Roman" w:cs="Times New Roman"/>
          <w:sz w:val="24"/>
          <w:szCs w:val="24"/>
        </w:rPr>
        <w:t>подават</w:t>
      </w:r>
      <w:r w:rsidR="00C06E9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за предварителна проверка преди вписване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17б,</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3 от ЗЗЛД</w:t>
      </w:r>
      <w:r w:rsidR="00571BE9"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w:t>
      </w:r>
      <w:r w:rsidR="0046460D">
        <w:rPr>
          <w:rFonts w:ascii="Times New Roman" w:eastAsia="Calibri" w:hAnsi="Times New Roman" w:cs="Times New Roman"/>
          <w:sz w:val="24"/>
          <w:szCs w:val="24"/>
        </w:rPr>
        <w:t>взема</w:t>
      </w:r>
      <w:r w:rsidRPr="00FD4C39">
        <w:rPr>
          <w:rFonts w:ascii="Times New Roman" w:eastAsia="Calibri" w:hAnsi="Times New Roman" w:cs="Times New Roman"/>
          <w:sz w:val="24"/>
          <w:szCs w:val="24"/>
        </w:rPr>
        <w:t xml:space="preserve"> решение за отказ за вписване в регистъра на 293 администратори.</w:t>
      </w:r>
    </w:p>
    <w:p w:rsidR="00400E48" w:rsidRPr="00FD4C39" w:rsidRDefault="006F3EBB"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0046460D">
        <w:rPr>
          <w:rFonts w:ascii="Times New Roman" w:eastAsia="Calibri" w:hAnsi="Times New Roman" w:cs="Times New Roman"/>
          <w:sz w:val="24"/>
          <w:szCs w:val="24"/>
        </w:rPr>
        <w:t xml:space="preserve"> се обработват</w:t>
      </w:r>
      <w:r w:rsidR="00400E48" w:rsidRPr="00FD4C39">
        <w:rPr>
          <w:rFonts w:ascii="Times New Roman" w:eastAsia="Calibri" w:hAnsi="Times New Roman" w:cs="Times New Roman"/>
          <w:sz w:val="24"/>
          <w:szCs w:val="24"/>
        </w:rPr>
        <w:t xml:space="preserve"> 28</w:t>
      </w:r>
      <w:r w:rsidR="0046460D">
        <w:rPr>
          <w:rFonts w:ascii="Times New Roman" w:eastAsia="Calibri" w:hAnsi="Times New Roman" w:cs="Times New Roman"/>
          <w:sz w:val="24"/>
          <w:szCs w:val="24"/>
        </w:rPr>
        <w:t xml:space="preserve"> </w:t>
      </w:r>
      <w:r w:rsidR="00400E48" w:rsidRPr="00FD4C39">
        <w:rPr>
          <w:rFonts w:ascii="Times New Roman" w:eastAsia="Calibri" w:hAnsi="Times New Roman" w:cs="Times New Roman"/>
          <w:sz w:val="24"/>
          <w:szCs w:val="24"/>
        </w:rPr>
        <w:t xml:space="preserve">078 броя документи на хартиен носител, свързани с регистрацията на </w:t>
      </w:r>
      <w:r w:rsidR="00D21C02" w:rsidRPr="00FD4C39">
        <w:rPr>
          <w:rFonts w:ascii="Times New Roman" w:eastAsia="Calibri" w:hAnsi="Times New Roman" w:cs="Times New Roman"/>
          <w:sz w:val="24"/>
          <w:szCs w:val="24"/>
        </w:rPr>
        <w:t>АЛД</w:t>
      </w:r>
      <w:r w:rsidR="00400E48" w:rsidRPr="00FD4C39">
        <w:rPr>
          <w:rFonts w:ascii="Times New Roman" w:eastAsia="Calibri" w:hAnsi="Times New Roman" w:cs="Times New Roman"/>
          <w:sz w:val="24"/>
          <w:szCs w:val="24"/>
        </w:rPr>
        <w:t xml:space="preserve">. През </w:t>
      </w:r>
      <w:proofErr w:type="spellStart"/>
      <w:r w:rsidR="00400E48" w:rsidRPr="00FD4C39">
        <w:rPr>
          <w:rFonts w:ascii="Times New Roman" w:eastAsia="Calibri" w:hAnsi="Times New Roman" w:cs="Times New Roman"/>
          <w:sz w:val="24"/>
          <w:szCs w:val="24"/>
        </w:rPr>
        <w:t>еРАЛД</w:t>
      </w:r>
      <w:proofErr w:type="spellEnd"/>
      <w:r w:rsidR="00400E48" w:rsidRPr="00FD4C39">
        <w:rPr>
          <w:rFonts w:ascii="Times New Roman" w:eastAsia="Calibri" w:hAnsi="Times New Roman" w:cs="Times New Roman"/>
          <w:sz w:val="24"/>
          <w:szCs w:val="24"/>
        </w:rPr>
        <w:t xml:space="preserve"> с</w:t>
      </w:r>
      <w:r w:rsidR="0046460D">
        <w:rPr>
          <w:rFonts w:ascii="Times New Roman" w:eastAsia="Calibri" w:hAnsi="Times New Roman" w:cs="Times New Roman"/>
          <w:sz w:val="24"/>
          <w:szCs w:val="24"/>
        </w:rPr>
        <w:t>е</w:t>
      </w:r>
      <w:r w:rsidR="00400E48" w:rsidRPr="00FD4C39">
        <w:rPr>
          <w:rFonts w:ascii="Times New Roman" w:eastAsia="Calibri" w:hAnsi="Times New Roman" w:cs="Times New Roman"/>
          <w:sz w:val="24"/>
          <w:szCs w:val="24"/>
        </w:rPr>
        <w:t xml:space="preserve"> </w:t>
      </w:r>
      <w:r w:rsidR="0046460D">
        <w:rPr>
          <w:rFonts w:ascii="Times New Roman" w:eastAsia="Calibri" w:hAnsi="Times New Roman" w:cs="Times New Roman"/>
          <w:sz w:val="24"/>
          <w:szCs w:val="24"/>
        </w:rPr>
        <w:t>изпращат</w:t>
      </w:r>
      <w:r w:rsidR="00400E48" w:rsidRPr="00FD4C39">
        <w:rPr>
          <w:rFonts w:ascii="Times New Roman" w:eastAsia="Calibri" w:hAnsi="Times New Roman" w:cs="Times New Roman"/>
          <w:sz w:val="24"/>
          <w:szCs w:val="24"/>
        </w:rPr>
        <w:t xml:space="preserve"> 56</w:t>
      </w:r>
      <w:r w:rsidR="0046460D">
        <w:rPr>
          <w:rFonts w:ascii="Times New Roman" w:eastAsia="Calibri" w:hAnsi="Times New Roman" w:cs="Times New Roman"/>
          <w:sz w:val="24"/>
          <w:szCs w:val="24"/>
        </w:rPr>
        <w:t xml:space="preserve"> </w:t>
      </w:r>
      <w:r w:rsidR="00400E48" w:rsidRPr="00FD4C39">
        <w:rPr>
          <w:rFonts w:ascii="Times New Roman" w:eastAsia="Calibri" w:hAnsi="Times New Roman" w:cs="Times New Roman"/>
          <w:sz w:val="24"/>
          <w:szCs w:val="24"/>
        </w:rPr>
        <w:t xml:space="preserve">888 електронни съобщения до администраторите, а във входящата поща на електронната система </w:t>
      </w:r>
      <w:r w:rsidR="0046460D">
        <w:rPr>
          <w:rFonts w:ascii="Times New Roman" w:eastAsia="Calibri" w:hAnsi="Times New Roman" w:cs="Times New Roman"/>
          <w:sz w:val="24"/>
          <w:szCs w:val="24"/>
        </w:rPr>
        <w:t>постъпват</w:t>
      </w:r>
      <w:r w:rsidR="00400E48" w:rsidRPr="00FD4C39">
        <w:rPr>
          <w:rFonts w:ascii="Times New Roman" w:eastAsia="Calibri" w:hAnsi="Times New Roman" w:cs="Times New Roman"/>
          <w:sz w:val="24"/>
          <w:szCs w:val="24"/>
        </w:rPr>
        <w:t xml:space="preserve"> 325 писма, по които с</w:t>
      </w:r>
      <w:r w:rsidR="0046460D">
        <w:rPr>
          <w:rFonts w:ascii="Times New Roman" w:eastAsia="Calibri" w:hAnsi="Times New Roman" w:cs="Times New Roman"/>
          <w:sz w:val="24"/>
          <w:szCs w:val="24"/>
        </w:rPr>
        <w:t>е предприемат</w:t>
      </w:r>
      <w:r w:rsidR="00400E48" w:rsidRPr="00FD4C39">
        <w:rPr>
          <w:rFonts w:ascii="Times New Roman" w:eastAsia="Calibri" w:hAnsi="Times New Roman" w:cs="Times New Roman"/>
          <w:sz w:val="24"/>
          <w:szCs w:val="24"/>
        </w:rPr>
        <w:t xml:space="preserve"> действия по компетентност.</w:t>
      </w:r>
    </w:p>
    <w:p w:rsidR="00253EE4" w:rsidRPr="00FD4C39" w:rsidRDefault="00253EE4">
      <w:pPr>
        <w:rPr>
          <w:rFonts w:ascii="Times New Roman" w:eastAsia="Calibri" w:hAnsi="Times New Roman" w:cs="Times New Roman"/>
          <w:sz w:val="24"/>
          <w:szCs w:val="24"/>
        </w:rPr>
      </w:pPr>
      <w:r w:rsidRPr="00FD4C39">
        <w:rPr>
          <w:rFonts w:ascii="Times New Roman" w:eastAsia="Calibri" w:hAnsi="Times New Roman" w:cs="Times New Roman"/>
          <w:sz w:val="24"/>
          <w:szCs w:val="24"/>
        </w:rPr>
        <w:br w:type="page"/>
      </w:r>
    </w:p>
    <w:p w:rsidR="00EE7799" w:rsidRPr="00FD4C39" w:rsidRDefault="00EE7799"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III. Защита правата на физическите лица при обработване на личните им данни</w:t>
      </w:r>
    </w:p>
    <w:p w:rsidR="0069463D" w:rsidRPr="00FD4C39" w:rsidRDefault="0069463D" w:rsidP="007B189E">
      <w:pPr>
        <w:spacing w:after="0" w:line="360" w:lineRule="auto"/>
        <w:ind w:firstLine="709"/>
        <w:jc w:val="both"/>
        <w:rPr>
          <w:rFonts w:ascii="Times New Roman" w:eastAsia="Calibri" w:hAnsi="Times New Roman" w:cs="Times New Roman"/>
          <w:b/>
          <w:sz w:val="24"/>
          <w:szCs w:val="24"/>
        </w:rPr>
      </w:pPr>
    </w:p>
    <w:p w:rsidR="00EE7799" w:rsidRPr="00FD4C39" w:rsidRDefault="00EE7799"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 xml:space="preserve">1. Производства по разглеждане на жалби и искания. Отговори по запитвания на граждани. Статистика и анализ на постъпилите в </w:t>
      </w:r>
      <w:r w:rsidR="00FE7018" w:rsidRPr="00FD4C39">
        <w:rPr>
          <w:rFonts w:ascii="Times New Roman" w:eastAsia="Calibri" w:hAnsi="Times New Roman" w:cs="Times New Roman"/>
          <w:b/>
          <w:sz w:val="24"/>
          <w:szCs w:val="24"/>
        </w:rPr>
        <w:t>КЗЛД</w:t>
      </w:r>
      <w:r w:rsidR="0098119A" w:rsidRPr="00FD4C39">
        <w:rPr>
          <w:rFonts w:ascii="Times New Roman" w:eastAsia="Calibri" w:hAnsi="Times New Roman" w:cs="Times New Roman"/>
          <w:b/>
          <w:sz w:val="24"/>
          <w:szCs w:val="24"/>
        </w:rPr>
        <w:t xml:space="preserve"> жалби и искания:</w:t>
      </w:r>
    </w:p>
    <w:p w:rsidR="00EE7799" w:rsidRPr="00FD4C39" w:rsidRDefault="005C1D0E"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1.</w:t>
      </w:r>
      <w:proofErr w:type="spellStart"/>
      <w:r w:rsidRPr="00FD4C39">
        <w:rPr>
          <w:rFonts w:ascii="Times New Roman" w:eastAsia="Calibri" w:hAnsi="Times New Roman" w:cs="Times New Roman"/>
          <w:i/>
          <w:sz w:val="24"/>
          <w:szCs w:val="24"/>
        </w:rPr>
        <w:t>1</w:t>
      </w:r>
      <w:proofErr w:type="spellEnd"/>
      <w:r w:rsidRPr="00FD4C39">
        <w:rPr>
          <w:rFonts w:ascii="Times New Roman" w:eastAsia="Calibri" w:hAnsi="Times New Roman" w:cs="Times New Roman"/>
          <w:i/>
          <w:sz w:val="24"/>
          <w:szCs w:val="24"/>
        </w:rPr>
        <w:t>. </w:t>
      </w:r>
      <w:r w:rsidR="00EE7799" w:rsidRPr="00FD4C39">
        <w:rPr>
          <w:rFonts w:ascii="Times New Roman" w:eastAsia="Calibri" w:hAnsi="Times New Roman" w:cs="Times New Roman"/>
          <w:i/>
          <w:sz w:val="24"/>
          <w:szCs w:val="24"/>
        </w:rPr>
        <w:t xml:space="preserve">Сравнителен анализ на жалбите, </w:t>
      </w:r>
      <w:r w:rsidR="0046460D">
        <w:rPr>
          <w:rFonts w:ascii="Times New Roman" w:eastAsia="Calibri" w:hAnsi="Times New Roman" w:cs="Times New Roman"/>
          <w:i/>
          <w:sz w:val="24"/>
          <w:szCs w:val="24"/>
        </w:rPr>
        <w:t>които постъпват</w:t>
      </w:r>
      <w:r w:rsidR="00EE7799" w:rsidRPr="00FD4C39">
        <w:rPr>
          <w:rFonts w:ascii="Times New Roman" w:eastAsia="Calibri" w:hAnsi="Times New Roman" w:cs="Times New Roman"/>
          <w:i/>
          <w:sz w:val="24"/>
          <w:szCs w:val="24"/>
        </w:rPr>
        <w:t xml:space="preserve"> в КЗЛД в предходни години и </w:t>
      </w:r>
      <w:r w:rsidR="00E9725B" w:rsidRPr="00FD4C39">
        <w:rPr>
          <w:rFonts w:ascii="Times New Roman" w:eastAsia="Calibri" w:hAnsi="Times New Roman" w:cs="Times New Roman"/>
          <w:i/>
          <w:sz w:val="24"/>
          <w:szCs w:val="24"/>
        </w:rPr>
        <w:t xml:space="preserve">през </w:t>
      </w:r>
      <w:r w:rsidR="00571BE9" w:rsidRPr="00FD4C39">
        <w:rPr>
          <w:rFonts w:ascii="Times New Roman" w:eastAsia="Calibri" w:hAnsi="Times New Roman" w:cs="Times New Roman"/>
          <w:i/>
          <w:sz w:val="24"/>
          <w:szCs w:val="24"/>
        </w:rPr>
        <w:t>отчетния период</w:t>
      </w:r>
      <w:r w:rsidR="00EE7799" w:rsidRPr="00FD4C39">
        <w:rPr>
          <w:rFonts w:ascii="Times New Roman" w:eastAsia="Calibri" w:hAnsi="Times New Roman" w:cs="Times New Roman"/>
          <w:i/>
          <w:sz w:val="24"/>
          <w:szCs w:val="24"/>
        </w:rPr>
        <w:t xml:space="preserve">, </w:t>
      </w:r>
      <w:r w:rsidR="000A1613" w:rsidRPr="00FD4C39">
        <w:rPr>
          <w:rFonts w:ascii="Times New Roman" w:eastAsia="Calibri" w:hAnsi="Times New Roman" w:cs="Times New Roman"/>
          <w:i/>
          <w:sz w:val="24"/>
          <w:szCs w:val="24"/>
        </w:rPr>
        <w:t xml:space="preserve">според вида АЛД, </w:t>
      </w:r>
      <w:r w:rsidR="00EE7799" w:rsidRPr="00FD4C39">
        <w:rPr>
          <w:rFonts w:ascii="Times New Roman" w:eastAsia="Calibri" w:hAnsi="Times New Roman" w:cs="Times New Roman"/>
          <w:i/>
          <w:sz w:val="24"/>
          <w:szCs w:val="24"/>
        </w:rPr>
        <w:t xml:space="preserve">както и с оглед основните сфери в общественият живот, в които </w:t>
      </w:r>
      <w:r w:rsidR="00571BE9" w:rsidRPr="00FD4C39">
        <w:rPr>
          <w:rFonts w:ascii="Times New Roman" w:eastAsia="Calibri" w:hAnsi="Times New Roman" w:cs="Times New Roman"/>
          <w:i/>
          <w:sz w:val="24"/>
          <w:szCs w:val="24"/>
        </w:rPr>
        <w:t>се наблюдават</w:t>
      </w:r>
      <w:r w:rsidR="00EE7799" w:rsidRPr="00FD4C39">
        <w:rPr>
          <w:rFonts w:ascii="Times New Roman" w:eastAsia="Calibri" w:hAnsi="Times New Roman" w:cs="Times New Roman"/>
          <w:i/>
          <w:sz w:val="24"/>
          <w:szCs w:val="24"/>
        </w:rPr>
        <w:t xml:space="preserve"> най-честите нарушения в областта на защита</w:t>
      </w:r>
      <w:r w:rsidR="00551F03" w:rsidRPr="00FD4C39">
        <w:rPr>
          <w:rFonts w:ascii="Times New Roman" w:eastAsia="Calibri" w:hAnsi="Times New Roman" w:cs="Times New Roman"/>
          <w:i/>
          <w:sz w:val="24"/>
          <w:szCs w:val="24"/>
        </w:rPr>
        <w:t>та</w:t>
      </w:r>
      <w:r w:rsidR="00EE7799" w:rsidRPr="00FD4C39">
        <w:rPr>
          <w:rFonts w:ascii="Times New Roman" w:eastAsia="Calibri" w:hAnsi="Times New Roman" w:cs="Times New Roman"/>
          <w:i/>
          <w:sz w:val="24"/>
          <w:szCs w:val="24"/>
        </w:rPr>
        <w:t xml:space="preserve"> на личните данни.</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Едно от правомощията на </w:t>
      </w:r>
      <w:r w:rsidR="00FE7018" w:rsidRPr="00FD4C39">
        <w:rPr>
          <w:rFonts w:ascii="Times New Roman" w:eastAsia="Calibri" w:hAnsi="Times New Roman" w:cs="Times New Roman"/>
          <w:sz w:val="24"/>
          <w:szCs w:val="24"/>
        </w:rPr>
        <w:t>КЗЛД</w:t>
      </w:r>
      <w:r w:rsidR="00571BE9" w:rsidRPr="00FD4C39">
        <w:rPr>
          <w:rFonts w:ascii="Times New Roman" w:eastAsia="Calibri" w:hAnsi="Times New Roman" w:cs="Times New Roman"/>
          <w:sz w:val="24"/>
          <w:szCs w:val="24"/>
        </w:rPr>
        <w:t>,</w:t>
      </w:r>
      <w:r w:rsidR="00FE701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като част от осъществяването на цялостна контролна дейност в областта на защитата на личните данни</w:t>
      </w:r>
      <w:r w:rsidR="00571BE9"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е разглеждането на жа</w:t>
      </w:r>
      <w:r w:rsidR="00571BE9" w:rsidRPr="00FD4C39">
        <w:rPr>
          <w:rFonts w:ascii="Times New Roman" w:eastAsia="Calibri" w:hAnsi="Times New Roman" w:cs="Times New Roman"/>
          <w:sz w:val="24"/>
          <w:szCs w:val="24"/>
        </w:rPr>
        <w:t>лби, подадени от физически лица</w:t>
      </w:r>
      <w:r w:rsidRPr="00FD4C39">
        <w:rPr>
          <w:rFonts w:ascii="Times New Roman" w:eastAsia="Calibri" w:hAnsi="Times New Roman" w:cs="Times New Roman"/>
          <w:sz w:val="24"/>
          <w:szCs w:val="24"/>
        </w:rPr>
        <w:t xml:space="preserve"> срещу </w:t>
      </w:r>
      <w:r w:rsidR="00FE7018" w:rsidRPr="00FD4C39">
        <w:rPr>
          <w:rFonts w:ascii="Times New Roman" w:eastAsia="Calibri" w:hAnsi="Times New Roman" w:cs="Times New Roman"/>
          <w:sz w:val="24"/>
          <w:szCs w:val="24"/>
        </w:rPr>
        <w:t xml:space="preserve">АЛД </w:t>
      </w:r>
      <w:r w:rsidRPr="00FD4C39">
        <w:rPr>
          <w:rFonts w:ascii="Times New Roman" w:eastAsia="Calibri" w:hAnsi="Times New Roman" w:cs="Times New Roman"/>
          <w:sz w:val="24"/>
          <w:szCs w:val="24"/>
        </w:rPr>
        <w:t xml:space="preserve">за нарушения на правата им, предвидени в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Жалбите и исканията за защита на </w:t>
      </w:r>
      <w:r w:rsidRPr="00FD4C39">
        <w:rPr>
          <w:rFonts w:ascii="Times New Roman" w:hAnsi="Times New Roman" w:cs="Times New Roman"/>
          <w:sz w:val="24"/>
          <w:szCs w:val="24"/>
        </w:rPr>
        <w:t>нарушени права</w:t>
      </w:r>
      <w:r w:rsidRPr="00FD4C39">
        <w:rPr>
          <w:rFonts w:ascii="Times New Roman" w:eastAsia="Calibri" w:hAnsi="Times New Roman" w:cs="Times New Roman"/>
          <w:sz w:val="24"/>
          <w:szCs w:val="24"/>
        </w:rPr>
        <w:t xml:space="preserve"> могат да се подават в едногодишен срок от узнаване на нарушение</w:t>
      </w:r>
      <w:r w:rsidR="00571BE9" w:rsidRPr="00FD4C39">
        <w:rPr>
          <w:rFonts w:ascii="Times New Roman" w:eastAsia="Calibri" w:hAnsi="Times New Roman" w:cs="Times New Roman"/>
          <w:sz w:val="24"/>
          <w:szCs w:val="24"/>
        </w:rPr>
        <w:t>то</w:t>
      </w:r>
      <w:r w:rsidRPr="00FD4C39">
        <w:rPr>
          <w:rFonts w:ascii="Times New Roman" w:eastAsia="Calibri" w:hAnsi="Times New Roman" w:cs="Times New Roman"/>
          <w:sz w:val="24"/>
          <w:szCs w:val="24"/>
        </w:rPr>
        <w:t xml:space="preserve"> от страна на </w:t>
      </w:r>
      <w:proofErr w:type="spellStart"/>
      <w:r w:rsidRPr="00FD4C39">
        <w:rPr>
          <w:rFonts w:ascii="Times New Roman" w:eastAsia="Calibri" w:hAnsi="Times New Roman" w:cs="Times New Roman"/>
          <w:sz w:val="24"/>
          <w:szCs w:val="24"/>
        </w:rPr>
        <w:t>искателя</w:t>
      </w:r>
      <w:proofErr w:type="spellEnd"/>
      <w:r w:rsidRPr="00FD4C39">
        <w:rPr>
          <w:rFonts w:ascii="Times New Roman" w:eastAsia="Calibri" w:hAnsi="Times New Roman" w:cs="Times New Roman"/>
          <w:sz w:val="24"/>
          <w:szCs w:val="24"/>
        </w:rPr>
        <w:t>, но не по-късно от пет години от извършването му.</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Посоченото производство е по реда на </w:t>
      </w:r>
      <w:proofErr w:type="spellStart"/>
      <w:r w:rsidR="0098119A" w:rsidRPr="00FD4C39">
        <w:rPr>
          <w:rFonts w:ascii="Times New Roman" w:eastAsia="Calibri" w:hAnsi="Times New Roman" w:cs="Times New Roman"/>
          <w:sz w:val="24"/>
          <w:szCs w:val="24"/>
        </w:rPr>
        <w:t>Административнопроцесуалния</w:t>
      </w:r>
      <w:proofErr w:type="spellEnd"/>
      <w:r w:rsidR="0098119A" w:rsidRPr="00FD4C39">
        <w:rPr>
          <w:rFonts w:ascii="Times New Roman" w:eastAsia="Calibri" w:hAnsi="Times New Roman" w:cs="Times New Roman"/>
          <w:sz w:val="24"/>
          <w:szCs w:val="24"/>
        </w:rPr>
        <w:t xml:space="preserve"> кодекс (</w:t>
      </w:r>
      <w:r w:rsidR="00571BE9" w:rsidRPr="00FD4C39">
        <w:rPr>
          <w:rFonts w:ascii="Times New Roman" w:eastAsia="Calibri" w:hAnsi="Times New Roman" w:cs="Times New Roman"/>
          <w:sz w:val="24"/>
          <w:szCs w:val="24"/>
        </w:rPr>
        <w:t>АПК</w:t>
      </w:r>
      <w:r w:rsidR="0098119A"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е предвидено в</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38 и следващите от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Производството приключва с административен акт на КЗЛД, подлежащ на съдебен контрол.</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 постъпване на искания, които не съдържат данни за нарушени права на </w:t>
      </w:r>
      <w:proofErr w:type="spellStart"/>
      <w:r w:rsidRPr="00FD4C39">
        <w:rPr>
          <w:rFonts w:ascii="Times New Roman" w:eastAsia="Calibri" w:hAnsi="Times New Roman" w:cs="Times New Roman"/>
          <w:sz w:val="24"/>
          <w:szCs w:val="24"/>
        </w:rPr>
        <w:t>искателя</w:t>
      </w:r>
      <w:proofErr w:type="spellEnd"/>
      <w:r w:rsidRPr="00FD4C39">
        <w:rPr>
          <w:rFonts w:ascii="Times New Roman" w:eastAsia="Calibri" w:hAnsi="Times New Roman" w:cs="Times New Roman"/>
          <w:sz w:val="24"/>
          <w:szCs w:val="24"/>
        </w:rPr>
        <w:t xml:space="preserve">, се предприемат действия по извършване на проверки и </w:t>
      </w:r>
      <w:r w:rsidR="009A7778" w:rsidRPr="00FD4C39">
        <w:rPr>
          <w:rFonts w:ascii="Times New Roman" w:eastAsia="Calibri" w:hAnsi="Times New Roman" w:cs="Times New Roman"/>
          <w:sz w:val="24"/>
          <w:szCs w:val="24"/>
        </w:rPr>
        <w:t>се издават</w:t>
      </w:r>
      <w:r w:rsidRPr="00FD4C39">
        <w:rPr>
          <w:rFonts w:ascii="Times New Roman" w:eastAsia="Calibri" w:hAnsi="Times New Roman" w:cs="Times New Roman"/>
          <w:sz w:val="24"/>
          <w:szCs w:val="24"/>
        </w:rPr>
        <w:t xml:space="preserve"> задължителни предписания на </w:t>
      </w:r>
      <w:r w:rsidR="00FE7018" w:rsidRPr="00FD4C39">
        <w:rPr>
          <w:rFonts w:ascii="Times New Roman" w:eastAsia="Calibri" w:hAnsi="Times New Roman" w:cs="Times New Roman"/>
          <w:sz w:val="24"/>
          <w:szCs w:val="24"/>
        </w:rPr>
        <w:t>АЛД</w:t>
      </w:r>
      <w:r w:rsidR="009A777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във връзк</w:t>
      </w:r>
      <w:r w:rsidR="009A7778" w:rsidRPr="00FD4C39">
        <w:rPr>
          <w:rFonts w:ascii="Times New Roman" w:eastAsia="Calibri" w:hAnsi="Times New Roman" w:cs="Times New Roman"/>
          <w:sz w:val="24"/>
          <w:szCs w:val="24"/>
        </w:rPr>
        <w:t>а със защитата на личните данни на физическите лица.</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Жалбите и исканията, които са постъпили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в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в зависимост от предмета на дейност на </w:t>
      </w:r>
      <w:r w:rsidR="00BA6F7B" w:rsidRPr="00FD4C39">
        <w:rPr>
          <w:rFonts w:ascii="Times New Roman" w:eastAsia="Calibri" w:hAnsi="Times New Roman" w:cs="Times New Roman"/>
          <w:sz w:val="24"/>
          <w:szCs w:val="24"/>
        </w:rPr>
        <w:t>АЛД</w:t>
      </w:r>
      <w:r w:rsidR="0046460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срещу когото е насочена жалбата, или вида на обработените лични данни, могат условно да бъдат разделени на следните категории:</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Първата категория са </w:t>
      </w:r>
      <w:r w:rsidR="0046460D">
        <w:rPr>
          <w:rFonts w:ascii="Times New Roman" w:eastAsia="Calibri" w:hAnsi="Times New Roman" w:cs="Times New Roman"/>
          <w:b/>
          <w:sz w:val="24"/>
          <w:szCs w:val="24"/>
        </w:rPr>
        <w:t>жалби, подавани</w:t>
      </w:r>
      <w:r w:rsidRPr="00FD4C39">
        <w:rPr>
          <w:rFonts w:ascii="Times New Roman" w:eastAsia="Calibri" w:hAnsi="Times New Roman" w:cs="Times New Roman"/>
          <w:b/>
          <w:sz w:val="24"/>
          <w:szCs w:val="24"/>
        </w:rPr>
        <w:t xml:space="preserve"> срещу </w:t>
      </w:r>
      <w:r w:rsidR="00FE7018" w:rsidRPr="00FD4C39">
        <w:rPr>
          <w:rFonts w:ascii="Times New Roman" w:eastAsia="Calibri" w:hAnsi="Times New Roman" w:cs="Times New Roman"/>
          <w:b/>
          <w:sz w:val="24"/>
          <w:szCs w:val="24"/>
        </w:rPr>
        <w:t xml:space="preserve">АЛД </w:t>
      </w:r>
      <w:r w:rsidRPr="00FD4C39">
        <w:rPr>
          <w:rFonts w:ascii="Times New Roman" w:eastAsia="Calibri" w:hAnsi="Times New Roman" w:cs="Times New Roman"/>
          <w:b/>
          <w:sz w:val="24"/>
          <w:szCs w:val="24"/>
        </w:rPr>
        <w:t>с дейност в областта на телекомуникацията</w:t>
      </w:r>
      <w:r w:rsidRPr="00FD4C39">
        <w:rPr>
          <w:rFonts w:ascii="Times New Roman" w:eastAsia="Calibri" w:hAnsi="Times New Roman" w:cs="Times New Roman"/>
          <w:sz w:val="24"/>
          <w:szCs w:val="24"/>
        </w:rPr>
        <w:t xml:space="preserve">. Срещу посочените </w:t>
      </w:r>
      <w:r w:rsidR="00FE7018" w:rsidRPr="00FD4C39">
        <w:rPr>
          <w:rFonts w:ascii="Times New Roman" w:eastAsia="Calibri" w:hAnsi="Times New Roman" w:cs="Times New Roman"/>
          <w:sz w:val="24"/>
          <w:szCs w:val="24"/>
        </w:rPr>
        <w:t xml:space="preserve">АЛД </w:t>
      </w:r>
      <w:r w:rsidR="0046460D">
        <w:rPr>
          <w:rFonts w:ascii="Times New Roman" w:eastAsia="Calibri" w:hAnsi="Times New Roman" w:cs="Times New Roman"/>
          <w:sz w:val="24"/>
          <w:szCs w:val="24"/>
        </w:rPr>
        <w:t>постъпват</w:t>
      </w:r>
      <w:r w:rsidRPr="00FD4C39">
        <w:rPr>
          <w:rFonts w:ascii="Times New Roman" w:eastAsia="Calibri" w:hAnsi="Times New Roman" w:cs="Times New Roman"/>
          <w:sz w:val="24"/>
          <w:szCs w:val="24"/>
        </w:rPr>
        <w:t xml:space="preserve"> най-много твърдения за злоупотреба с лични данни. Жалбите в тази категория могат от своя страна условно да се разделят на жалби, насочени срещу твърдяно неправомерно обработване на лични данни от страна на мобилен оператор чрез предоставяне</w:t>
      </w:r>
      <w:r w:rsidR="00BA6F7B" w:rsidRPr="00FD4C39">
        <w:rPr>
          <w:rFonts w:ascii="Times New Roman" w:eastAsia="Calibri" w:hAnsi="Times New Roman" w:cs="Times New Roman"/>
          <w:sz w:val="24"/>
          <w:szCs w:val="24"/>
        </w:rPr>
        <w:t>то им</w:t>
      </w:r>
      <w:r w:rsidRPr="00FD4C39">
        <w:rPr>
          <w:rFonts w:ascii="Times New Roman" w:eastAsia="Calibri" w:hAnsi="Times New Roman" w:cs="Times New Roman"/>
          <w:sz w:val="24"/>
          <w:szCs w:val="24"/>
        </w:rPr>
        <w:t xml:space="preserve"> на </w:t>
      </w:r>
      <w:proofErr w:type="spellStart"/>
      <w:r w:rsidRPr="00FD4C39">
        <w:rPr>
          <w:rFonts w:ascii="Times New Roman" w:eastAsia="Calibri" w:hAnsi="Times New Roman" w:cs="Times New Roman"/>
          <w:sz w:val="24"/>
          <w:szCs w:val="24"/>
        </w:rPr>
        <w:t>колекторски</w:t>
      </w:r>
      <w:proofErr w:type="spellEnd"/>
      <w:r w:rsidRPr="00FD4C39">
        <w:rPr>
          <w:rFonts w:ascii="Times New Roman" w:eastAsia="Calibri" w:hAnsi="Times New Roman" w:cs="Times New Roman"/>
          <w:sz w:val="24"/>
          <w:szCs w:val="24"/>
        </w:rPr>
        <w:t xml:space="preserve"> фирми и на жалби срещу използване</w:t>
      </w:r>
      <w:r w:rsidR="00BA6F7B" w:rsidRPr="00FD4C39">
        <w:rPr>
          <w:rFonts w:ascii="Times New Roman" w:eastAsia="Calibri" w:hAnsi="Times New Roman" w:cs="Times New Roman"/>
          <w:sz w:val="24"/>
          <w:szCs w:val="24"/>
        </w:rPr>
        <w:t>то</w:t>
      </w:r>
      <w:r w:rsidRPr="00FD4C39">
        <w:rPr>
          <w:rFonts w:ascii="Times New Roman" w:eastAsia="Calibri" w:hAnsi="Times New Roman" w:cs="Times New Roman"/>
          <w:sz w:val="24"/>
          <w:szCs w:val="24"/>
        </w:rPr>
        <w:t xml:space="preserve"> на лични данни за сключване на договор за предоставяне на определен вид услуга, за което физическото лице не знае, не е запознато и не е подписвало съответен договор.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 xml:space="preserve">В сравнение с изминали години се наблюдава увеличаване на </w:t>
      </w:r>
      <w:r w:rsidRPr="00FD4C39">
        <w:rPr>
          <w:rFonts w:ascii="Times New Roman" w:eastAsia="Calibri" w:hAnsi="Times New Roman" w:cs="Times New Roman"/>
          <w:b/>
          <w:sz w:val="24"/>
          <w:szCs w:val="24"/>
        </w:rPr>
        <w:t>жалбите, насочени срещу съдилища, прокуратури, частни съдебни изпълнители, нотариуси и др.</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Част от жалбите, насочени срещу даден съд, са с предмет обработване на лични данни по повод образувано съдебно дело. В тези случаи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приема, че обработването на личните данни, когато е извършено за целите на съдебния процес, е допустимо и законосъобразно, защото за </w:t>
      </w:r>
      <w:r w:rsidR="00BA6F7B"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е налице правно основание за обработването </w:t>
      </w:r>
      <w:r w:rsidR="00BA6F7B" w:rsidRPr="00FD4C39">
        <w:rPr>
          <w:rFonts w:ascii="Times New Roman" w:eastAsia="Calibri" w:hAnsi="Times New Roman" w:cs="Times New Roman"/>
          <w:sz w:val="24"/>
          <w:szCs w:val="24"/>
        </w:rPr>
        <w:sym w:font="Symbol" w:char="F02D"/>
      </w:r>
      <w:r w:rsidRPr="00FD4C39">
        <w:rPr>
          <w:rFonts w:ascii="Times New Roman" w:eastAsia="Calibri" w:hAnsi="Times New Roman" w:cs="Times New Roman"/>
          <w:sz w:val="24"/>
          <w:szCs w:val="24"/>
        </w:rPr>
        <w:t xml:space="preserve"> нормативно установено задължение. </w:t>
      </w:r>
      <w:r w:rsidR="0046460D">
        <w:rPr>
          <w:rFonts w:ascii="Times New Roman" w:eastAsia="Calibri" w:hAnsi="Times New Roman" w:cs="Times New Roman"/>
          <w:sz w:val="24"/>
          <w:szCs w:val="24"/>
        </w:rPr>
        <w:t xml:space="preserve">Гражданският </w:t>
      </w:r>
      <w:r w:rsidR="00F9678F" w:rsidRPr="00FD4C39">
        <w:rPr>
          <w:rFonts w:ascii="Times New Roman" w:eastAsia="Calibri" w:hAnsi="Times New Roman" w:cs="Times New Roman"/>
          <w:sz w:val="24"/>
          <w:szCs w:val="24"/>
        </w:rPr>
        <w:t>процесуал</w:t>
      </w:r>
      <w:r w:rsidR="0046460D">
        <w:rPr>
          <w:rFonts w:ascii="Times New Roman" w:eastAsia="Calibri" w:hAnsi="Times New Roman" w:cs="Times New Roman"/>
          <w:sz w:val="24"/>
          <w:szCs w:val="24"/>
        </w:rPr>
        <w:t>ен</w:t>
      </w:r>
      <w:r w:rsidR="00F9678F" w:rsidRPr="00FD4C39">
        <w:rPr>
          <w:rFonts w:ascii="Times New Roman" w:eastAsia="Calibri" w:hAnsi="Times New Roman" w:cs="Times New Roman"/>
          <w:sz w:val="24"/>
          <w:szCs w:val="24"/>
        </w:rPr>
        <w:t xml:space="preserve"> кодекс (</w:t>
      </w:r>
      <w:r w:rsidRPr="00FD4C39">
        <w:rPr>
          <w:rFonts w:ascii="Times New Roman" w:eastAsia="Calibri" w:hAnsi="Times New Roman" w:cs="Times New Roman"/>
          <w:sz w:val="24"/>
          <w:szCs w:val="24"/>
        </w:rPr>
        <w:t>ГПК</w:t>
      </w:r>
      <w:r w:rsidR="00F9678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proofErr w:type="spellStart"/>
      <w:r w:rsidR="0046460D">
        <w:rPr>
          <w:rFonts w:ascii="Times New Roman" w:eastAsia="Calibri" w:hAnsi="Times New Roman" w:cs="Times New Roman"/>
          <w:sz w:val="24"/>
          <w:szCs w:val="24"/>
        </w:rPr>
        <w:t>Административно</w:t>
      </w:r>
      <w:r w:rsidR="00F9678F" w:rsidRPr="00FD4C39">
        <w:rPr>
          <w:rFonts w:ascii="Times New Roman" w:eastAsia="Calibri" w:hAnsi="Times New Roman" w:cs="Times New Roman"/>
          <w:sz w:val="24"/>
          <w:szCs w:val="24"/>
        </w:rPr>
        <w:t>процесуалният</w:t>
      </w:r>
      <w:proofErr w:type="spellEnd"/>
      <w:r w:rsidR="00F9678F" w:rsidRPr="00FD4C39">
        <w:rPr>
          <w:rFonts w:ascii="Times New Roman" w:eastAsia="Calibri" w:hAnsi="Times New Roman" w:cs="Times New Roman"/>
          <w:sz w:val="24"/>
          <w:szCs w:val="24"/>
        </w:rPr>
        <w:t xml:space="preserve"> кодекс (</w:t>
      </w:r>
      <w:r w:rsidRPr="00FD4C39">
        <w:rPr>
          <w:rFonts w:ascii="Times New Roman" w:eastAsia="Calibri" w:hAnsi="Times New Roman" w:cs="Times New Roman"/>
          <w:sz w:val="24"/>
          <w:szCs w:val="24"/>
        </w:rPr>
        <w:t>А</w:t>
      </w:r>
      <w:r w:rsidR="00D21C02" w:rsidRPr="00FD4C39">
        <w:rPr>
          <w:rFonts w:ascii="Times New Roman" w:eastAsia="Calibri" w:hAnsi="Times New Roman" w:cs="Times New Roman"/>
          <w:sz w:val="24"/>
          <w:szCs w:val="24"/>
        </w:rPr>
        <w:t>ПК</w:t>
      </w:r>
      <w:r w:rsidR="00F9678F" w:rsidRPr="00FD4C39">
        <w:rPr>
          <w:rFonts w:ascii="Times New Roman" w:eastAsia="Calibri" w:hAnsi="Times New Roman" w:cs="Times New Roman"/>
          <w:sz w:val="24"/>
          <w:szCs w:val="24"/>
        </w:rPr>
        <w:t>)</w:t>
      </w:r>
      <w:r w:rsidR="00D21C02"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и </w:t>
      </w:r>
      <w:r w:rsidR="00F9678F" w:rsidRPr="00FD4C39">
        <w:rPr>
          <w:rFonts w:ascii="Times New Roman" w:eastAsia="Calibri" w:hAnsi="Times New Roman" w:cs="Times New Roman"/>
          <w:sz w:val="24"/>
          <w:szCs w:val="24"/>
        </w:rPr>
        <w:t>Наказателно-процесуалният кодекс (</w:t>
      </w:r>
      <w:r w:rsidRPr="00FD4C39">
        <w:rPr>
          <w:rFonts w:ascii="Times New Roman" w:eastAsia="Calibri" w:hAnsi="Times New Roman" w:cs="Times New Roman"/>
          <w:sz w:val="24"/>
          <w:szCs w:val="24"/>
        </w:rPr>
        <w:t>Н</w:t>
      </w:r>
      <w:r w:rsidR="00D21C02" w:rsidRPr="00FD4C39">
        <w:rPr>
          <w:rFonts w:ascii="Times New Roman" w:eastAsia="Calibri" w:hAnsi="Times New Roman" w:cs="Times New Roman"/>
          <w:sz w:val="24"/>
          <w:szCs w:val="24"/>
        </w:rPr>
        <w:t>ПК</w:t>
      </w:r>
      <w:r w:rsidR="00F9678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вменяват в задължение на съда, за всеки конкретен случай, да събира определен обем от лични данни на страните по дадено производство. Друга част от жалбите, с които е сезирана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са насочени срещу конкретен съд по повод образувано пред него заповедно производство по реда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410 ГПК. В повечето случаи, жалбоподателят оспорва наличието или размера на задължението си, поради което смята, че образуваното срещу него заповедно производство нарушава правата му по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Обработването на личните данни и в този случай се приема за законосъобразно, при наличие на правно основание за това. Следва да се посочи възможността, дадена от ГПК, лицето да направи възражение срещу образуваното срещу него заповедно производство, което не е предмет на контрол от страна на КЗЛД.</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Аналогични на посочените случаи са жалбите, </w:t>
      </w:r>
      <w:r w:rsidR="00AA0DA8">
        <w:rPr>
          <w:rFonts w:ascii="Times New Roman" w:eastAsia="Calibri" w:hAnsi="Times New Roman" w:cs="Times New Roman"/>
          <w:sz w:val="24"/>
          <w:szCs w:val="24"/>
        </w:rPr>
        <w:t>подавани</w:t>
      </w:r>
      <w:r w:rsidRPr="00FD4C39">
        <w:rPr>
          <w:rFonts w:ascii="Times New Roman" w:eastAsia="Calibri" w:hAnsi="Times New Roman" w:cs="Times New Roman"/>
          <w:sz w:val="24"/>
          <w:szCs w:val="24"/>
        </w:rPr>
        <w:t xml:space="preserve"> срещу частни съдебни изпълнители</w:t>
      </w:r>
      <w:r w:rsidR="00B90B87" w:rsidRPr="00FD4C39">
        <w:rPr>
          <w:rFonts w:ascii="Times New Roman" w:eastAsia="Calibri" w:hAnsi="Times New Roman" w:cs="Times New Roman"/>
          <w:sz w:val="24"/>
          <w:szCs w:val="24"/>
        </w:rPr>
        <w:t xml:space="preserve"> (ЧСИ)</w:t>
      </w:r>
      <w:r w:rsidRPr="00FD4C39">
        <w:rPr>
          <w:rFonts w:ascii="Times New Roman" w:eastAsia="Calibri" w:hAnsi="Times New Roman" w:cs="Times New Roman"/>
          <w:sz w:val="24"/>
          <w:szCs w:val="24"/>
        </w:rPr>
        <w:t xml:space="preserve">. </w:t>
      </w:r>
      <w:r w:rsidR="0015635C" w:rsidRPr="00FD4C39">
        <w:rPr>
          <w:rFonts w:ascii="Times New Roman" w:eastAsia="Calibri" w:hAnsi="Times New Roman" w:cs="Times New Roman"/>
          <w:sz w:val="24"/>
          <w:szCs w:val="24"/>
        </w:rPr>
        <w:t xml:space="preserve">В тези хипотези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изследва въпроса доколко за </w:t>
      </w:r>
      <w:r w:rsidR="00D21C02" w:rsidRPr="00FD4C39">
        <w:rPr>
          <w:rFonts w:ascii="Times New Roman" w:eastAsia="Calibri" w:hAnsi="Times New Roman" w:cs="Times New Roman"/>
          <w:sz w:val="24"/>
          <w:szCs w:val="24"/>
        </w:rPr>
        <w:t>АЛД</w:t>
      </w:r>
      <w:r w:rsidR="00B90B87"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r w:rsidR="00D21C02" w:rsidRPr="00FD4C39">
        <w:rPr>
          <w:rFonts w:ascii="Times New Roman" w:eastAsia="Calibri" w:hAnsi="Times New Roman" w:cs="Times New Roman"/>
          <w:sz w:val="24"/>
          <w:szCs w:val="24"/>
        </w:rPr>
        <w:t xml:space="preserve">конкретния </w:t>
      </w:r>
      <w:r w:rsidR="00B90B87" w:rsidRPr="00FD4C39">
        <w:rPr>
          <w:rFonts w:ascii="Times New Roman" w:eastAsia="Calibri" w:hAnsi="Times New Roman" w:cs="Times New Roman"/>
          <w:sz w:val="24"/>
          <w:szCs w:val="24"/>
        </w:rPr>
        <w:t>ЧСИ</w:t>
      </w:r>
      <w:r w:rsidRPr="00FD4C39">
        <w:rPr>
          <w:rFonts w:ascii="Times New Roman" w:eastAsia="Calibri" w:hAnsi="Times New Roman" w:cs="Times New Roman"/>
          <w:sz w:val="24"/>
          <w:szCs w:val="24"/>
        </w:rPr>
        <w:t xml:space="preserve">, е налице или не правно основание за обработване.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не извършва контрол по законосъобразност на издадените актове във връзка с изпълн</w:t>
      </w:r>
      <w:r w:rsidR="00AA0DA8">
        <w:rPr>
          <w:rFonts w:ascii="Times New Roman" w:eastAsia="Calibri" w:hAnsi="Times New Roman" w:cs="Times New Roman"/>
          <w:sz w:val="24"/>
          <w:szCs w:val="24"/>
        </w:rPr>
        <w:t>ителното производство. В случай</w:t>
      </w:r>
      <w:r w:rsidRPr="00FD4C39">
        <w:rPr>
          <w:rFonts w:ascii="Times New Roman" w:eastAsia="Calibri" w:hAnsi="Times New Roman" w:cs="Times New Roman"/>
          <w:sz w:val="24"/>
          <w:szCs w:val="24"/>
        </w:rPr>
        <w:t xml:space="preserve"> че лицата считат, че с определени действия или актове на </w:t>
      </w:r>
      <w:r w:rsidR="00B90B87" w:rsidRPr="00FD4C39">
        <w:rPr>
          <w:rFonts w:ascii="Times New Roman" w:eastAsia="Calibri" w:hAnsi="Times New Roman" w:cs="Times New Roman"/>
          <w:sz w:val="24"/>
          <w:szCs w:val="24"/>
        </w:rPr>
        <w:t>ЧСИ</w:t>
      </w:r>
      <w:r w:rsidRPr="00FD4C39">
        <w:rPr>
          <w:rFonts w:ascii="Times New Roman" w:eastAsia="Calibri" w:hAnsi="Times New Roman" w:cs="Times New Roman"/>
          <w:sz w:val="24"/>
          <w:szCs w:val="24"/>
        </w:rPr>
        <w:t xml:space="preserve"> са нарушени техни права, те могат да упражнят правото си на жалба срещу тях пред съответния компетентен орган.</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Друга категория </w:t>
      </w:r>
      <w:r w:rsidR="00D21C02"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срещу които </w:t>
      </w:r>
      <w:r w:rsidR="00AA0DA8">
        <w:rPr>
          <w:rFonts w:ascii="Times New Roman" w:eastAsia="Calibri" w:hAnsi="Times New Roman" w:cs="Times New Roman"/>
          <w:sz w:val="24"/>
          <w:szCs w:val="24"/>
        </w:rPr>
        <w:t>се подават</w:t>
      </w:r>
      <w:r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b/>
          <w:sz w:val="24"/>
          <w:szCs w:val="24"/>
        </w:rPr>
        <w:t xml:space="preserve">жалби пред </w:t>
      </w:r>
      <w:r w:rsidR="00FE7018" w:rsidRPr="00FD4C39">
        <w:rPr>
          <w:rFonts w:ascii="Times New Roman" w:eastAsia="Calibri" w:hAnsi="Times New Roman" w:cs="Times New Roman"/>
          <w:b/>
          <w:sz w:val="24"/>
          <w:szCs w:val="24"/>
        </w:rPr>
        <w:t>КЗЛД</w:t>
      </w:r>
      <w:r w:rsidRPr="00FD4C39">
        <w:rPr>
          <w:rFonts w:ascii="Times New Roman" w:eastAsia="Calibri" w:hAnsi="Times New Roman" w:cs="Times New Roman"/>
          <w:b/>
          <w:sz w:val="24"/>
          <w:szCs w:val="24"/>
        </w:rPr>
        <w:t>, са органи</w:t>
      </w:r>
      <w:r w:rsidR="00D21C02" w:rsidRPr="00FD4C39">
        <w:rPr>
          <w:rFonts w:ascii="Times New Roman" w:eastAsia="Calibri" w:hAnsi="Times New Roman" w:cs="Times New Roman"/>
          <w:b/>
          <w:sz w:val="24"/>
          <w:szCs w:val="24"/>
        </w:rPr>
        <w:t>те</w:t>
      </w:r>
      <w:r w:rsidRPr="00FD4C39">
        <w:rPr>
          <w:rFonts w:ascii="Times New Roman" w:eastAsia="Calibri" w:hAnsi="Times New Roman" w:cs="Times New Roman"/>
          <w:b/>
          <w:sz w:val="24"/>
          <w:szCs w:val="24"/>
        </w:rPr>
        <w:t xml:space="preserve"> на държавна власт или на местно самоуправление.</w:t>
      </w:r>
      <w:r w:rsidR="00AA0DA8">
        <w:rPr>
          <w:rFonts w:ascii="Times New Roman" w:eastAsia="Calibri" w:hAnsi="Times New Roman" w:cs="Times New Roman"/>
          <w:sz w:val="24"/>
          <w:szCs w:val="24"/>
        </w:rPr>
        <w:t xml:space="preserve"> В по-голямата си част</w:t>
      </w:r>
      <w:r w:rsidRPr="00FD4C39">
        <w:rPr>
          <w:rFonts w:ascii="Times New Roman" w:eastAsia="Calibri" w:hAnsi="Times New Roman" w:cs="Times New Roman"/>
          <w:sz w:val="24"/>
          <w:szCs w:val="24"/>
        </w:rPr>
        <w:t xml:space="preserve"> жалбите са насочени срещу неправомерно разпространяване на лични данни, което обикновено се извършва чрез публикации в официалната интернет страница на съответния орган. В болшинството от случаите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възприема, че </w:t>
      </w:r>
      <w:r w:rsidR="00580030" w:rsidRPr="00FD4C39">
        <w:rPr>
          <w:rFonts w:ascii="Times New Roman" w:eastAsia="Calibri" w:hAnsi="Times New Roman" w:cs="Times New Roman"/>
          <w:sz w:val="24"/>
          <w:szCs w:val="24"/>
        </w:rPr>
        <w:t>АЛД</w:t>
      </w:r>
      <w:r w:rsidR="00D21C02"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е извършил администр</w:t>
      </w:r>
      <w:r w:rsidR="00AA0DA8">
        <w:rPr>
          <w:rFonts w:ascii="Times New Roman" w:eastAsia="Calibri" w:hAnsi="Times New Roman" w:cs="Times New Roman"/>
          <w:sz w:val="24"/>
          <w:szCs w:val="24"/>
        </w:rPr>
        <w:t>ативно нарушение и съответно</w:t>
      </w:r>
      <w:r w:rsidRPr="00FD4C39">
        <w:rPr>
          <w:rFonts w:ascii="Times New Roman" w:eastAsia="Calibri" w:hAnsi="Times New Roman" w:cs="Times New Roman"/>
          <w:sz w:val="24"/>
          <w:szCs w:val="24"/>
        </w:rPr>
        <w:t xml:space="preserve"> му е наложено административно наказание или е дадено задължително предписание.</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се наблюдава тенденция за увеличаване броя на </w:t>
      </w:r>
      <w:r w:rsidRPr="00FD4C39">
        <w:rPr>
          <w:rFonts w:ascii="Times New Roman" w:eastAsia="Calibri" w:hAnsi="Times New Roman" w:cs="Times New Roman"/>
          <w:b/>
          <w:sz w:val="24"/>
          <w:szCs w:val="24"/>
        </w:rPr>
        <w:t>жалбите, насочени срещу управителния съвет (управители) на сгради в режим на етажна собственост</w:t>
      </w:r>
      <w:r w:rsidRPr="00FD4C39">
        <w:rPr>
          <w:rFonts w:ascii="Times New Roman" w:eastAsia="Calibri" w:hAnsi="Times New Roman" w:cs="Times New Roman"/>
          <w:sz w:val="24"/>
          <w:szCs w:val="24"/>
        </w:rPr>
        <w:t>. Основното оплакване е насочено срещу поставянето на камери, които според жалбоподателите нарушават конституционните им права и правата по ЗЗЛД за неприкосновеност на личността и на личн</w:t>
      </w:r>
      <w:r w:rsidR="00AA0DA8">
        <w:rPr>
          <w:rFonts w:ascii="Times New Roman" w:eastAsia="Calibri" w:hAnsi="Times New Roman" w:cs="Times New Roman"/>
          <w:sz w:val="24"/>
          <w:szCs w:val="24"/>
        </w:rPr>
        <w:t xml:space="preserve">ия живот. Сред жалбите, </w:t>
      </w:r>
      <w:proofErr w:type="spellStart"/>
      <w:r w:rsidR="00AA0DA8">
        <w:rPr>
          <w:rFonts w:ascii="Times New Roman" w:eastAsia="Calibri" w:hAnsi="Times New Roman" w:cs="Times New Roman"/>
          <w:sz w:val="24"/>
          <w:szCs w:val="24"/>
        </w:rPr>
        <w:t>подавави</w:t>
      </w:r>
      <w:proofErr w:type="spellEnd"/>
      <w:r w:rsidRPr="00FD4C39">
        <w:rPr>
          <w:rFonts w:ascii="Times New Roman" w:eastAsia="Calibri" w:hAnsi="Times New Roman" w:cs="Times New Roman"/>
          <w:sz w:val="24"/>
          <w:szCs w:val="24"/>
        </w:rPr>
        <w:t xml:space="preserve"> до </w:t>
      </w:r>
      <w:r w:rsidR="00FE7018" w:rsidRPr="00FD4C39">
        <w:rPr>
          <w:rFonts w:ascii="Times New Roman" w:eastAsia="Calibri" w:hAnsi="Times New Roman" w:cs="Times New Roman"/>
          <w:sz w:val="24"/>
          <w:szCs w:val="24"/>
        </w:rPr>
        <w:t>КЗЛД</w:t>
      </w:r>
      <w:r w:rsidR="00AA0DA8">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има и такива, които са насочени срещу съседи, които по собствена инициатива, в повечето случаи за защита на имуществото си, </w:t>
      </w:r>
      <w:r w:rsidR="00AA0DA8">
        <w:rPr>
          <w:rFonts w:ascii="Times New Roman" w:eastAsia="Calibri" w:hAnsi="Times New Roman" w:cs="Times New Roman"/>
          <w:sz w:val="24"/>
          <w:szCs w:val="24"/>
        </w:rPr>
        <w:t>поставят</w:t>
      </w:r>
      <w:r w:rsidRPr="00FD4C39">
        <w:rPr>
          <w:rFonts w:ascii="Times New Roman" w:eastAsia="Calibri" w:hAnsi="Times New Roman" w:cs="Times New Roman"/>
          <w:sz w:val="24"/>
          <w:szCs w:val="24"/>
        </w:rPr>
        <w:t xml:space="preserve"> камери в общите части на сградата.</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Следва да се посочи, че абсолютна процесуална предпоставка за образуване на административно производство пред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по повод подадена жалба е наличието на ответна страна, която да има качеството на </w:t>
      </w:r>
      <w:r w:rsidR="00580030"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съгласно легалното определение на това понятие, дадено от законодателя в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3 от ЗЗЛД. Становището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достъпно в официалната й интернет страница в рубриката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Практика</w:t>
      </w:r>
      <w:r w:rsidR="0051524E">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е, че управителите на сгради в режим на етажна собственост са </w:t>
      </w:r>
      <w:r w:rsidR="00FE7018" w:rsidRPr="00FD4C39">
        <w:rPr>
          <w:rFonts w:ascii="Times New Roman" w:eastAsia="Calibri" w:hAnsi="Times New Roman" w:cs="Times New Roman"/>
          <w:sz w:val="24"/>
          <w:szCs w:val="24"/>
        </w:rPr>
        <w:t>АЛД</w:t>
      </w:r>
      <w:r w:rsidR="00B442E3"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по смисъла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поради което действията им по обработване на лични данни са предмет на извършвания от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контрол по спазването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С оглед мандатността на длъжността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управител</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B442E3" w:rsidRPr="00FD4C39">
        <w:rPr>
          <w:rFonts w:ascii="Times New Roman" w:eastAsia="Calibri" w:hAnsi="Times New Roman" w:cs="Times New Roman"/>
          <w:sz w:val="24"/>
          <w:szCs w:val="24"/>
        </w:rPr>
        <w:t xml:space="preserve"> е взела решение </w:t>
      </w:r>
      <w:r w:rsidRPr="00FD4C39">
        <w:rPr>
          <w:rFonts w:ascii="Times New Roman" w:eastAsia="Calibri" w:hAnsi="Times New Roman" w:cs="Times New Roman"/>
          <w:sz w:val="24"/>
          <w:szCs w:val="24"/>
        </w:rPr>
        <w:t xml:space="preserve">тези лица да </w:t>
      </w:r>
      <w:r w:rsidR="0051524E">
        <w:rPr>
          <w:rFonts w:ascii="Times New Roman" w:eastAsia="Calibri" w:hAnsi="Times New Roman" w:cs="Times New Roman"/>
          <w:sz w:val="24"/>
          <w:szCs w:val="24"/>
        </w:rPr>
        <w:t>се освобождават</w:t>
      </w:r>
      <w:r w:rsidRPr="00FD4C39">
        <w:rPr>
          <w:rFonts w:ascii="Times New Roman" w:eastAsia="Calibri" w:hAnsi="Times New Roman" w:cs="Times New Roman"/>
          <w:sz w:val="24"/>
          <w:szCs w:val="24"/>
        </w:rPr>
        <w:t xml:space="preserve"> от задължението, вменено със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на всеки един </w:t>
      </w:r>
      <w:r w:rsidR="00580030" w:rsidRPr="00FD4C39">
        <w:rPr>
          <w:rFonts w:ascii="Times New Roman" w:eastAsia="Calibri" w:hAnsi="Times New Roman" w:cs="Times New Roman"/>
          <w:sz w:val="24"/>
          <w:szCs w:val="24"/>
        </w:rPr>
        <w:t>АЛД</w:t>
      </w:r>
      <w:r w:rsidR="00B442E3" w:rsidRPr="00FD4C39">
        <w:rPr>
          <w:rFonts w:ascii="Times New Roman" w:eastAsia="Calibri" w:hAnsi="Times New Roman" w:cs="Times New Roman"/>
          <w:sz w:val="24"/>
          <w:szCs w:val="24"/>
        </w:rPr>
        <w:t xml:space="preserve"> </w:t>
      </w:r>
      <w:r w:rsidR="0051524E">
        <w:rPr>
          <w:rFonts w:ascii="Times New Roman" w:eastAsia="Calibri" w:hAnsi="Times New Roman" w:cs="Times New Roman"/>
          <w:sz w:val="24"/>
          <w:szCs w:val="24"/>
        </w:rPr>
        <w:t>да подава</w:t>
      </w:r>
      <w:r w:rsidRPr="00FD4C39">
        <w:rPr>
          <w:rFonts w:ascii="Times New Roman" w:eastAsia="Calibri" w:hAnsi="Times New Roman" w:cs="Times New Roman"/>
          <w:sz w:val="24"/>
          <w:szCs w:val="24"/>
        </w:rPr>
        <w:t xml:space="preserve"> заявление за регистрация пред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Освобождаване</w:t>
      </w:r>
      <w:r w:rsidR="0051524E">
        <w:rPr>
          <w:rFonts w:ascii="Times New Roman" w:eastAsia="Calibri" w:hAnsi="Times New Roman" w:cs="Times New Roman"/>
          <w:sz w:val="24"/>
          <w:szCs w:val="24"/>
        </w:rPr>
        <w:t>то от задължение за регистрация</w:t>
      </w:r>
      <w:r w:rsidRPr="00FD4C39">
        <w:rPr>
          <w:rFonts w:ascii="Times New Roman" w:eastAsia="Calibri" w:hAnsi="Times New Roman" w:cs="Times New Roman"/>
          <w:sz w:val="24"/>
          <w:szCs w:val="24"/>
        </w:rPr>
        <w:t xml:space="preserve"> обаче не освобождава задължения субект от изискването да спазва разпоредбите на ЗЗЛД.</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През изминалата година значителен е броя</w:t>
      </w:r>
      <w:r w:rsidR="00B442E3" w:rsidRPr="00FD4C39">
        <w:rPr>
          <w:rFonts w:ascii="Times New Roman" w:eastAsia="Calibri" w:hAnsi="Times New Roman" w:cs="Times New Roman"/>
          <w:b/>
          <w:sz w:val="24"/>
          <w:szCs w:val="24"/>
        </w:rPr>
        <w:t>т</w:t>
      </w:r>
      <w:r w:rsidRPr="00FD4C39">
        <w:rPr>
          <w:rFonts w:ascii="Times New Roman" w:eastAsia="Calibri" w:hAnsi="Times New Roman" w:cs="Times New Roman"/>
          <w:b/>
          <w:sz w:val="24"/>
          <w:szCs w:val="24"/>
        </w:rPr>
        <w:t xml:space="preserve"> на жалбите, подадени срещу </w:t>
      </w:r>
      <w:r w:rsidR="00F9678F" w:rsidRPr="00FD4C39">
        <w:rPr>
          <w:rFonts w:ascii="Times New Roman" w:eastAsia="Calibri" w:hAnsi="Times New Roman" w:cs="Times New Roman"/>
          <w:b/>
          <w:sz w:val="24"/>
          <w:szCs w:val="24"/>
        </w:rPr>
        <w:t>политически партии (</w:t>
      </w:r>
      <w:r w:rsidR="00B442E3" w:rsidRPr="00FD4C39">
        <w:rPr>
          <w:rFonts w:ascii="Times New Roman" w:eastAsia="Calibri" w:hAnsi="Times New Roman" w:cs="Times New Roman"/>
          <w:b/>
          <w:sz w:val="24"/>
          <w:szCs w:val="24"/>
        </w:rPr>
        <w:t>ПП</w:t>
      </w:r>
      <w:r w:rsidR="00F9678F" w:rsidRPr="00FD4C39">
        <w:rPr>
          <w:rFonts w:ascii="Times New Roman" w:eastAsia="Calibri" w:hAnsi="Times New Roman" w:cs="Times New Roman"/>
          <w:b/>
          <w:sz w:val="24"/>
          <w:szCs w:val="24"/>
        </w:rPr>
        <w:t>)</w:t>
      </w:r>
      <w:r w:rsidRPr="00FD4C39">
        <w:rPr>
          <w:rFonts w:ascii="Times New Roman" w:eastAsia="Calibri" w:hAnsi="Times New Roman" w:cs="Times New Roman"/>
          <w:b/>
          <w:sz w:val="24"/>
          <w:szCs w:val="24"/>
        </w:rPr>
        <w:t xml:space="preserve"> и </w:t>
      </w:r>
      <w:r w:rsidR="00F9678F" w:rsidRPr="00FD4C39">
        <w:rPr>
          <w:rFonts w:ascii="Times New Roman" w:eastAsia="Calibri" w:hAnsi="Times New Roman" w:cs="Times New Roman"/>
          <w:b/>
          <w:sz w:val="24"/>
          <w:szCs w:val="24"/>
        </w:rPr>
        <w:t>коалиции от партии (</w:t>
      </w:r>
      <w:r w:rsidR="00B442E3" w:rsidRPr="00FD4C39">
        <w:rPr>
          <w:rFonts w:ascii="Times New Roman" w:eastAsia="Calibri" w:hAnsi="Times New Roman" w:cs="Times New Roman"/>
          <w:b/>
          <w:sz w:val="24"/>
          <w:szCs w:val="24"/>
        </w:rPr>
        <w:t>КП</w:t>
      </w:r>
      <w:r w:rsidR="00F9678F" w:rsidRPr="00FD4C39">
        <w:rPr>
          <w:rFonts w:ascii="Times New Roman" w:eastAsia="Calibri" w:hAnsi="Times New Roman" w:cs="Times New Roman"/>
          <w:b/>
          <w:sz w:val="24"/>
          <w:szCs w:val="24"/>
        </w:rPr>
        <w:t>)</w:t>
      </w:r>
      <w:r w:rsidRPr="00FD4C39">
        <w:rPr>
          <w:rFonts w:ascii="Times New Roman" w:eastAsia="Calibri" w:hAnsi="Times New Roman" w:cs="Times New Roman"/>
          <w:sz w:val="24"/>
          <w:szCs w:val="24"/>
        </w:rPr>
        <w:t xml:space="preserve">. Първата група жалби </w:t>
      </w:r>
      <w:r w:rsidR="00B442E3" w:rsidRPr="00FD4C39">
        <w:rPr>
          <w:rFonts w:ascii="Times New Roman" w:eastAsia="Calibri" w:hAnsi="Times New Roman" w:cs="Times New Roman"/>
          <w:sz w:val="24"/>
          <w:szCs w:val="24"/>
        </w:rPr>
        <w:t>обхваща</w:t>
      </w:r>
      <w:r w:rsidRPr="00FD4C39">
        <w:rPr>
          <w:rFonts w:ascii="Times New Roman" w:eastAsia="Calibri" w:hAnsi="Times New Roman" w:cs="Times New Roman"/>
          <w:sz w:val="24"/>
          <w:szCs w:val="24"/>
        </w:rPr>
        <w:t xml:space="preserve"> неправомерно обработ</w:t>
      </w:r>
      <w:r w:rsidR="0051524E">
        <w:rPr>
          <w:rFonts w:ascii="Times New Roman" w:eastAsia="Calibri" w:hAnsi="Times New Roman" w:cs="Times New Roman"/>
          <w:sz w:val="24"/>
          <w:szCs w:val="24"/>
        </w:rPr>
        <w:t xml:space="preserve">ване на </w:t>
      </w:r>
      <w:r w:rsidRPr="00FD4C39">
        <w:rPr>
          <w:rFonts w:ascii="Times New Roman" w:eastAsia="Calibri" w:hAnsi="Times New Roman" w:cs="Times New Roman"/>
          <w:sz w:val="24"/>
          <w:szCs w:val="24"/>
        </w:rPr>
        <w:t xml:space="preserve">лични данни на жалбоподатели чрез включването на трите им имена, единен граждански номер и подпис в списъците на </w:t>
      </w:r>
      <w:r w:rsidR="00972455" w:rsidRPr="00FD4C39">
        <w:rPr>
          <w:rFonts w:ascii="Times New Roman" w:eastAsia="Calibri" w:hAnsi="Times New Roman" w:cs="Times New Roman"/>
          <w:sz w:val="24"/>
          <w:szCs w:val="24"/>
        </w:rPr>
        <w:t>ПП</w:t>
      </w:r>
      <w:r w:rsidRPr="00FD4C39">
        <w:rPr>
          <w:rFonts w:ascii="Times New Roman" w:eastAsia="Calibri" w:hAnsi="Times New Roman" w:cs="Times New Roman"/>
          <w:sz w:val="24"/>
          <w:szCs w:val="24"/>
        </w:rPr>
        <w:t xml:space="preserve"> за регистрацията им пред </w:t>
      </w:r>
      <w:r w:rsidR="00972455" w:rsidRPr="00FD4C39">
        <w:rPr>
          <w:rFonts w:ascii="Times New Roman" w:eastAsia="Calibri" w:hAnsi="Times New Roman" w:cs="Times New Roman"/>
          <w:sz w:val="24"/>
          <w:szCs w:val="24"/>
        </w:rPr>
        <w:t>Централната и</w:t>
      </w:r>
      <w:r w:rsidR="0051524E">
        <w:rPr>
          <w:rFonts w:ascii="Times New Roman" w:eastAsia="Calibri" w:hAnsi="Times New Roman" w:cs="Times New Roman"/>
          <w:sz w:val="24"/>
          <w:szCs w:val="24"/>
        </w:rPr>
        <w:t>з</w:t>
      </w:r>
      <w:r w:rsidR="00972455" w:rsidRPr="00FD4C39">
        <w:rPr>
          <w:rFonts w:ascii="Times New Roman" w:eastAsia="Calibri" w:hAnsi="Times New Roman" w:cs="Times New Roman"/>
          <w:sz w:val="24"/>
          <w:szCs w:val="24"/>
        </w:rPr>
        <w:t>бирателна комисия (</w:t>
      </w:r>
      <w:r w:rsidR="00B442E3" w:rsidRPr="00FD4C39">
        <w:rPr>
          <w:rFonts w:ascii="Times New Roman" w:eastAsia="Calibri" w:hAnsi="Times New Roman" w:cs="Times New Roman"/>
          <w:sz w:val="24"/>
          <w:szCs w:val="24"/>
        </w:rPr>
        <w:t>ЦИК</w:t>
      </w:r>
      <w:r w:rsidR="0097245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w:t>
      </w:r>
      <w:r w:rsidR="00B44DB0" w:rsidRPr="00FD4C39">
        <w:rPr>
          <w:rFonts w:ascii="Times New Roman" w:eastAsia="Calibri" w:hAnsi="Times New Roman" w:cs="Times New Roman"/>
          <w:sz w:val="24"/>
          <w:szCs w:val="24"/>
        </w:rPr>
        <w:t xml:space="preserve"> Подробен анализ е представен в Раздел V</w:t>
      </w:r>
      <w:r w:rsidR="004D42A2">
        <w:rPr>
          <w:rFonts w:ascii="Times New Roman" w:eastAsia="Calibri" w:hAnsi="Times New Roman" w:cs="Times New Roman"/>
          <w:sz w:val="24"/>
          <w:szCs w:val="24"/>
        </w:rPr>
        <w:t xml:space="preserve"> – </w:t>
      </w:r>
      <w:r w:rsidR="00B44DB0" w:rsidRPr="00FD4C39">
        <w:rPr>
          <w:rFonts w:ascii="Times New Roman" w:eastAsia="Calibri" w:hAnsi="Times New Roman" w:cs="Times New Roman"/>
          <w:sz w:val="24"/>
          <w:szCs w:val="24"/>
        </w:rPr>
        <w:t>Контролна дейност върху политически субекти.</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Секторите на дейност на </w:t>
      </w:r>
      <w:r w:rsidR="00C80BB4"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срещу които най-често </w:t>
      </w:r>
      <w:r w:rsidR="00C80BB4" w:rsidRPr="00FD4C39">
        <w:rPr>
          <w:rFonts w:ascii="Times New Roman" w:eastAsia="Calibri" w:hAnsi="Times New Roman" w:cs="Times New Roman"/>
          <w:sz w:val="24"/>
          <w:szCs w:val="24"/>
        </w:rPr>
        <w:t xml:space="preserve">постъпват жалби от физически лица </w:t>
      </w: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са следните</w:t>
      </w:r>
      <w:r w:rsidR="0051524E">
        <w:rPr>
          <w:rFonts w:ascii="Times New Roman" w:eastAsia="Calibri" w:hAnsi="Times New Roman" w:cs="Times New Roman"/>
          <w:sz w:val="24"/>
          <w:szCs w:val="24"/>
        </w:rPr>
        <w:t xml:space="preserve"> (ф</w:t>
      </w:r>
      <w:r w:rsidR="00393C33" w:rsidRPr="00FD4C39">
        <w:rPr>
          <w:rFonts w:ascii="Times New Roman" w:eastAsia="Calibri" w:hAnsi="Times New Roman" w:cs="Times New Roman"/>
          <w:sz w:val="24"/>
          <w:szCs w:val="24"/>
        </w:rPr>
        <w:t>иг. 4)</w:t>
      </w:r>
      <w:r w:rsidRPr="00FD4C39">
        <w:rPr>
          <w:rFonts w:ascii="Times New Roman" w:eastAsia="Calibri" w:hAnsi="Times New Roman" w:cs="Times New Roman"/>
          <w:sz w:val="24"/>
          <w:szCs w:val="24"/>
        </w:rPr>
        <w:t xml:space="preserve">: </w:t>
      </w:r>
    </w:p>
    <w:p w:rsidR="00EE7799" w:rsidRPr="00FD4C39" w:rsidRDefault="00EE7799" w:rsidP="00B901DE">
      <w:pPr>
        <w:pStyle w:val="ListParagraph"/>
        <w:numPr>
          <w:ilvl w:val="0"/>
          <w:numId w:val="8"/>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Политически субекти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549 жалби</w:t>
      </w:r>
    </w:p>
    <w:p w:rsidR="00EE7799" w:rsidRPr="00FD4C39" w:rsidRDefault="00EE7799" w:rsidP="00B901DE">
      <w:pPr>
        <w:pStyle w:val="ListParagraph"/>
        <w:numPr>
          <w:ilvl w:val="0"/>
          <w:numId w:val="8"/>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Телекомуникации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137 жалби</w:t>
      </w:r>
    </w:p>
    <w:p w:rsidR="00EE7799" w:rsidRPr="00FD4C39" w:rsidRDefault="00EE7799" w:rsidP="00B901DE">
      <w:pPr>
        <w:pStyle w:val="ListParagraph"/>
        <w:numPr>
          <w:ilvl w:val="0"/>
          <w:numId w:val="8"/>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Банки и кредитни институции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36 жалби</w:t>
      </w:r>
    </w:p>
    <w:p w:rsidR="00EE7799" w:rsidRPr="00FD4C39" w:rsidRDefault="00EE7799" w:rsidP="00B901DE">
      <w:pPr>
        <w:pStyle w:val="ListParagraph"/>
        <w:numPr>
          <w:ilvl w:val="0"/>
          <w:numId w:val="8"/>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Съдебна система, нотариуси, съдебни изпълнители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17 жалби</w:t>
      </w:r>
    </w:p>
    <w:p w:rsidR="00EE7799" w:rsidRPr="00FD4C39" w:rsidRDefault="00EE7799" w:rsidP="00B901DE">
      <w:pPr>
        <w:pStyle w:val="ListParagraph"/>
        <w:numPr>
          <w:ilvl w:val="0"/>
          <w:numId w:val="8"/>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Медии и интернет</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14 жалби</w:t>
      </w:r>
    </w:p>
    <w:p w:rsidR="00EE7799" w:rsidRDefault="00EE7799" w:rsidP="00B901DE">
      <w:pPr>
        <w:pStyle w:val="ListParagraph"/>
        <w:numPr>
          <w:ilvl w:val="0"/>
          <w:numId w:val="8"/>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Местно самоуправление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6 жалби</w:t>
      </w:r>
    </w:p>
    <w:p w:rsidR="00604685" w:rsidRDefault="00604685" w:rsidP="00604685">
      <w:pPr>
        <w:tabs>
          <w:tab w:val="left" w:pos="993"/>
        </w:tabs>
        <w:spacing w:after="0" w:line="360" w:lineRule="auto"/>
        <w:jc w:val="both"/>
        <w:rPr>
          <w:rFonts w:ascii="Times New Roman" w:eastAsia="Calibri" w:hAnsi="Times New Roman" w:cs="Times New Roman"/>
          <w:sz w:val="24"/>
          <w:szCs w:val="24"/>
        </w:rPr>
      </w:pPr>
    </w:p>
    <w:p w:rsidR="003F4453" w:rsidRPr="00FD4C39" w:rsidRDefault="003F4453" w:rsidP="00384216">
      <w:pPr>
        <w:spacing w:after="0" w:line="360" w:lineRule="auto"/>
        <w:ind w:firstLine="426"/>
        <w:jc w:val="both"/>
        <w:rPr>
          <w:rFonts w:ascii="Times New Roman" w:eastAsia="Calibri" w:hAnsi="Times New Roman" w:cs="Times New Roman"/>
          <w:sz w:val="24"/>
          <w:szCs w:val="24"/>
          <w:highlight w:val="yellow"/>
        </w:rPr>
      </w:pPr>
      <w:r w:rsidRPr="00FD4C39">
        <w:rPr>
          <w:rFonts w:ascii="Times New Roman" w:hAnsi="Times New Roman" w:cs="Times New Roman"/>
          <w:noProof/>
          <w:sz w:val="24"/>
          <w:szCs w:val="24"/>
        </w:rPr>
        <w:drawing>
          <wp:inline distT="0" distB="0" distL="0" distR="0" wp14:anchorId="160E6E48" wp14:editId="42A9732F">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799" w:rsidRDefault="000A1260"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Фиг. 4</w:t>
      </w:r>
    </w:p>
    <w:p w:rsidR="00604685" w:rsidRPr="00FD4C39" w:rsidRDefault="00604685" w:rsidP="007B189E">
      <w:pPr>
        <w:spacing w:after="0" w:line="360" w:lineRule="auto"/>
        <w:ind w:firstLine="709"/>
        <w:jc w:val="center"/>
        <w:rPr>
          <w:rFonts w:ascii="Times New Roman" w:eastAsia="Calibri" w:hAnsi="Times New Roman" w:cs="Times New Roman"/>
          <w:b/>
          <w:sz w:val="24"/>
          <w:szCs w:val="24"/>
        </w:rPr>
      </w:pPr>
    </w:p>
    <w:p w:rsidR="0020461C" w:rsidRPr="007B189E" w:rsidRDefault="0020461C" w:rsidP="0020461C">
      <w:pPr>
        <w:spacing w:after="0" w:line="360" w:lineRule="auto"/>
        <w:ind w:firstLine="709"/>
        <w:jc w:val="both"/>
        <w:rPr>
          <w:rFonts w:ascii="Times New Roman" w:eastAsia="Calibri" w:hAnsi="Times New Roman" w:cs="Times New Roman"/>
          <w:sz w:val="24"/>
          <w:szCs w:val="24"/>
          <w:lang w:val="en-US"/>
        </w:rPr>
      </w:pPr>
      <w:r w:rsidRPr="002D1555">
        <w:rPr>
          <w:rFonts w:ascii="Times New Roman" w:eastAsia="Calibri" w:hAnsi="Times New Roman" w:cs="Times New Roman"/>
          <w:sz w:val="24"/>
          <w:szCs w:val="24"/>
        </w:rPr>
        <w:t>За 2014</w:t>
      </w:r>
      <w:r w:rsidR="004D42A2">
        <w:rPr>
          <w:rFonts w:ascii="Times New Roman" w:eastAsia="Calibri" w:hAnsi="Times New Roman" w:cs="Times New Roman"/>
          <w:sz w:val="24"/>
          <w:szCs w:val="24"/>
        </w:rPr>
        <w:t> г.</w:t>
      </w:r>
      <w:r w:rsidRPr="002D1555">
        <w:rPr>
          <w:rFonts w:ascii="Times New Roman" w:eastAsia="Calibri" w:hAnsi="Times New Roman" w:cs="Times New Roman"/>
          <w:sz w:val="24"/>
          <w:szCs w:val="24"/>
        </w:rPr>
        <w:t xml:space="preserve"> в КЗЛД са постъпили общо 1100 жалби във връзка</w:t>
      </w:r>
      <w:r w:rsidR="002D1555">
        <w:rPr>
          <w:rFonts w:ascii="Times New Roman" w:eastAsia="Calibri" w:hAnsi="Times New Roman" w:cs="Times New Roman"/>
          <w:sz w:val="24"/>
          <w:szCs w:val="24"/>
          <w:lang w:val="en-US"/>
        </w:rPr>
        <w:t xml:space="preserve"> </w:t>
      </w:r>
      <w:r w:rsidRPr="002D1555">
        <w:rPr>
          <w:rFonts w:ascii="Times New Roman" w:eastAsia="Calibri" w:hAnsi="Times New Roman" w:cs="Times New Roman"/>
          <w:sz w:val="24"/>
          <w:szCs w:val="24"/>
        </w:rPr>
        <w:t>с обработване на лични данни. От посоченото по-горе число, 496 са жалбите относно използване на лични данни на избиратели в списъци за регистрацията на ПП и КП в ЦИК за участие в изборите за членове на Европейския парламент, а 53 са жалбите  във връзка с произведените избори за народни представители. В открити заседания са разгледани 596 жалби.</w:t>
      </w:r>
      <w:r w:rsidRPr="007B189E">
        <w:rPr>
          <w:rFonts w:ascii="Times New Roman" w:eastAsia="Calibri" w:hAnsi="Times New Roman" w:cs="Times New Roman"/>
          <w:sz w:val="24"/>
          <w:szCs w:val="24"/>
          <w:lang w:val="en-US"/>
        </w:rPr>
        <w:t xml:space="preserve"> </w:t>
      </w:r>
    </w:p>
    <w:p w:rsidR="00EE7799" w:rsidRPr="00FD4C39" w:rsidRDefault="00425BC2"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 сравнение</w:t>
      </w:r>
      <w:r w:rsidR="00EE7799" w:rsidRPr="00FD4C39">
        <w:rPr>
          <w:rFonts w:ascii="Times New Roman" w:eastAsia="Calibri" w:hAnsi="Times New Roman" w:cs="Times New Roman"/>
          <w:sz w:val="24"/>
          <w:szCs w:val="24"/>
        </w:rPr>
        <w:t xml:space="preserve"> броят на жалбите през 2013</w:t>
      </w:r>
      <w:r w:rsidR="004D42A2">
        <w:rPr>
          <w:rFonts w:ascii="Times New Roman" w:eastAsia="Calibri" w:hAnsi="Times New Roman" w:cs="Times New Roman"/>
          <w:sz w:val="24"/>
          <w:szCs w:val="24"/>
        </w:rPr>
        <w:t> г.</w:t>
      </w:r>
      <w:r w:rsidR="00EE7799" w:rsidRPr="00FD4C39">
        <w:rPr>
          <w:rFonts w:ascii="Times New Roman" w:eastAsia="Calibri" w:hAnsi="Times New Roman" w:cs="Times New Roman"/>
          <w:sz w:val="24"/>
          <w:szCs w:val="24"/>
        </w:rPr>
        <w:t xml:space="preserve"> е 550, през 2012</w:t>
      </w:r>
      <w:r w:rsidR="004D42A2">
        <w:rPr>
          <w:rFonts w:ascii="Times New Roman" w:eastAsia="Calibri" w:hAnsi="Times New Roman" w:cs="Times New Roman"/>
          <w:sz w:val="24"/>
          <w:szCs w:val="24"/>
        </w:rPr>
        <w:t> г.</w:t>
      </w:r>
      <w:r w:rsidR="00393C33" w:rsidRPr="00FD4C39">
        <w:rPr>
          <w:rFonts w:ascii="Times New Roman" w:eastAsia="Calibri" w:hAnsi="Times New Roman" w:cs="Times New Roman"/>
          <w:sz w:val="24"/>
          <w:szCs w:val="24"/>
        </w:rPr>
        <w:t xml:space="preserve"> </w:t>
      </w:r>
      <w:r w:rsidR="00393C33" w:rsidRPr="00FD4C39">
        <w:rPr>
          <w:rFonts w:ascii="Times New Roman" w:eastAsia="Calibri" w:hAnsi="Times New Roman" w:cs="Times New Roman"/>
          <w:sz w:val="24"/>
          <w:szCs w:val="24"/>
        </w:rPr>
        <w:sym w:font="Symbol" w:char="F02D"/>
      </w:r>
      <w:r w:rsidR="00393C33" w:rsidRPr="00FD4C39">
        <w:rPr>
          <w:rFonts w:ascii="Times New Roman" w:eastAsia="Calibri" w:hAnsi="Times New Roman" w:cs="Times New Roman"/>
          <w:sz w:val="24"/>
          <w:szCs w:val="24"/>
        </w:rPr>
        <w:t xml:space="preserve"> </w:t>
      </w:r>
      <w:r w:rsidR="00EE7799" w:rsidRPr="00FD4C39">
        <w:rPr>
          <w:rFonts w:ascii="Times New Roman" w:eastAsia="Calibri" w:hAnsi="Times New Roman" w:cs="Times New Roman"/>
          <w:sz w:val="24"/>
          <w:szCs w:val="24"/>
        </w:rPr>
        <w:t>548, а през 2011</w:t>
      </w:r>
      <w:r w:rsidR="004D42A2">
        <w:rPr>
          <w:rFonts w:ascii="Times New Roman" w:eastAsia="Calibri" w:hAnsi="Times New Roman" w:cs="Times New Roman"/>
          <w:sz w:val="24"/>
          <w:szCs w:val="24"/>
        </w:rPr>
        <w:t> г.</w:t>
      </w:r>
      <w:r w:rsidR="00393C33" w:rsidRPr="00FD4C39">
        <w:rPr>
          <w:rFonts w:ascii="Times New Roman" w:eastAsia="Calibri" w:hAnsi="Times New Roman" w:cs="Times New Roman"/>
          <w:sz w:val="24"/>
          <w:szCs w:val="24"/>
        </w:rPr>
        <w:t xml:space="preserve"> </w:t>
      </w:r>
      <w:r w:rsidR="00393C33" w:rsidRPr="00FD4C39">
        <w:rPr>
          <w:rFonts w:ascii="Times New Roman" w:eastAsia="Calibri" w:hAnsi="Times New Roman" w:cs="Times New Roman"/>
          <w:sz w:val="24"/>
          <w:szCs w:val="24"/>
        </w:rPr>
        <w:sym w:font="Symbol" w:char="F02D"/>
      </w:r>
      <w:r w:rsidR="00EE7799" w:rsidRPr="00FD4C39">
        <w:rPr>
          <w:rFonts w:ascii="Times New Roman" w:eastAsia="Calibri" w:hAnsi="Times New Roman" w:cs="Times New Roman"/>
          <w:sz w:val="24"/>
          <w:szCs w:val="24"/>
        </w:rPr>
        <w:t xml:space="preserve"> 458.</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графиката, дадена по-долу</w:t>
      </w:r>
      <w:r w:rsidR="000A1260" w:rsidRPr="00FD4C39">
        <w:rPr>
          <w:rFonts w:ascii="Times New Roman" w:eastAsia="Calibri" w:hAnsi="Times New Roman" w:cs="Times New Roman"/>
          <w:sz w:val="24"/>
          <w:szCs w:val="24"/>
        </w:rPr>
        <w:t xml:space="preserve"> (фиг. 5</w:t>
      </w:r>
      <w:r w:rsidR="00B42C9E"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е представено на</w:t>
      </w:r>
      <w:r w:rsidR="00425BC2">
        <w:rPr>
          <w:rFonts w:ascii="Times New Roman" w:eastAsia="Calibri" w:hAnsi="Times New Roman" w:cs="Times New Roman"/>
          <w:sz w:val="24"/>
          <w:szCs w:val="24"/>
        </w:rPr>
        <w:t>растването на броя на жалбите, които постъпват</w:t>
      </w:r>
      <w:r w:rsidRPr="00FD4C39">
        <w:rPr>
          <w:rFonts w:ascii="Times New Roman" w:eastAsia="Calibri" w:hAnsi="Times New Roman" w:cs="Times New Roman"/>
          <w:sz w:val="24"/>
          <w:szCs w:val="24"/>
        </w:rPr>
        <w:t xml:space="preserve"> в КЗЛД през последните четири години:</w:t>
      </w:r>
    </w:p>
    <w:p w:rsidR="00B42C9E" w:rsidRPr="00FD4C39" w:rsidRDefault="00EE7799" w:rsidP="00384216">
      <w:pPr>
        <w:spacing w:after="0" w:line="360" w:lineRule="auto"/>
        <w:ind w:firstLine="426"/>
        <w:jc w:val="both"/>
        <w:rPr>
          <w:rFonts w:ascii="Times New Roman" w:eastAsia="Calibri" w:hAnsi="Times New Roman" w:cs="Times New Roman"/>
          <w:sz w:val="24"/>
          <w:szCs w:val="24"/>
        </w:rPr>
      </w:pPr>
      <w:r w:rsidRPr="00FD4C39">
        <w:rPr>
          <w:rFonts w:ascii="Times New Roman" w:eastAsia="Calibri" w:hAnsi="Times New Roman" w:cs="Times New Roman"/>
          <w:noProof/>
          <w:sz w:val="24"/>
          <w:szCs w:val="24"/>
        </w:rPr>
        <w:lastRenderedPageBreak/>
        <w:drawing>
          <wp:inline distT="0" distB="0" distL="0" distR="0" wp14:anchorId="79B4B74D" wp14:editId="24E8EE06">
            <wp:extent cx="5486400" cy="3200400"/>
            <wp:effectExtent l="0" t="0" r="19050" b="1905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2C9E" w:rsidRPr="00FD4C39" w:rsidRDefault="000A1260"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Фиг. 5</w:t>
      </w:r>
    </w:p>
    <w:p w:rsidR="00AD3B37" w:rsidRPr="00FD4C39" w:rsidRDefault="00AD3B37" w:rsidP="007B189E">
      <w:pPr>
        <w:spacing w:after="0" w:line="360" w:lineRule="auto"/>
        <w:ind w:firstLine="709"/>
        <w:jc w:val="center"/>
        <w:rPr>
          <w:rFonts w:ascii="Times New Roman" w:eastAsia="Calibri" w:hAnsi="Times New Roman" w:cs="Times New Roman"/>
          <w:b/>
          <w:sz w:val="24"/>
          <w:szCs w:val="24"/>
        </w:rPr>
      </w:pP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 отчетния период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като колегиален орган в развиващите се пред него административни производств</w:t>
      </w:r>
      <w:r w:rsidR="000A1260" w:rsidRPr="00FD4C39">
        <w:rPr>
          <w:rFonts w:ascii="Times New Roman" w:eastAsia="Calibri" w:hAnsi="Times New Roman" w:cs="Times New Roman"/>
          <w:sz w:val="24"/>
          <w:szCs w:val="24"/>
        </w:rPr>
        <w:t>а</w:t>
      </w:r>
      <w:r w:rsidRPr="00FD4C39">
        <w:rPr>
          <w:rFonts w:ascii="Times New Roman" w:eastAsia="Calibri" w:hAnsi="Times New Roman" w:cs="Times New Roman"/>
          <w:sz w:val="24"/>
          <w:szCs w:val="24"/>
        </w:rPr>
        <w:t xml:space="preserve"> по реда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38,</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ЗЗЛД, </w:t>
      </w:r>
      <w:r w:rsidR="00425BC2">
        <w:rPr>
          <w:rFonts w:ascii="Times New Roman" w:eastAsia="Calibri" w:hAnsi="Times New Roman" w:cs="Times New Roman"/>
          <w:sz w:val="24"/>
          <w:szCs w:val="24"/>
        </w:rPr>
        <w:t>постановява</w:t>
      </w:r>
      <w:r w:rsidRPr="00FD4C39">
        <w:rPr>
          <w:rFonts w:ascii="Times New Roman" w:eastAsia="Calibri" w:hAnsi="Times New Roman" w:cs="Times New Roman"/>
          <w:sz w:val="24"/>
          <w:szCs w:val="24"/>
        </w:rPr>
        <w:t xml:space="preserve">  161 решения, които могат да бъдат разделени по следните критерии:</w:t>
      </w:r>
    </w:p>
    <w:p w:rsidR="00EE7799"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1. </w:t>
      </w:r>
      <w:r w:rsidR="00EE7799" w:rsidRPr="00FD4C39">
        <w:rPr>
          <w:rFonts w:ascii="Times New Roman" w:eastAsia="Calibri" w:hAnsi="Times New Roman" w:cs="Times New Roman"/>
          <w:sz w:val="24"/>
          <w:szCs w:val="24"/>
        </w:rPr>
        <w:t>Основателни, с които е уважена жалбата и е наложено административно наказание</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 xml:space="preserve">45 решения, с </w:t>
      </w:r>
      <w:r w:rsidR="000A1260" w:rsidRPr="00FD4C39">
        <w:rPr>
          <w:rFonts w:ascii="Times New Roman" w:eastAsia="Calibri" w:hAnsi="Times New Roman" w:cs="Times New Roman"/>
          <w:sz w:val="24"/>
          <w:szCs w:val="24"/>
        </w:rPr>
        <w:t>6</w:t>
      </w:r>
      <w:r w:rsidR="00EE7799" w:rsidRPr="00FD4C39">
        <w:rPr>
          <w:rFonts w:ascii="Times New Roman" w:eastAsia="Calibri" w:hAnsi="Times New Roman" w:cs="Times New Roman"/>
          <w:sz w:val="24"/>
          <w:szCs w:val="24"/>
        </w:rPr>
        <w:t xml:space="preserve"> от решенията са издадени</w:t>
      </w:r>
      <w:r w:rsidR="000A1260" w:rsidRPr="00FD4C39">
        <w:rPr>
          <w:rFonts w:ascii="Times New Roman" w:eastAsia="Calibri" w:hAnsi="Times New Roman" w:cs="Times New Roman"/>
          <w:sz w:val="24"/>
          <w:szCs w:val="24"/>
        </w:rPr>
        <w:t xml:space="preserve"> и </w:t>
      </w:r>
      <w:r w:rsidR="00EE7799" w:rsidRPr="00FD4C39">
        <w:rPr>
          <w:rFonts w:ascii="Times New Roman" w:eastAsia="Calibri" w:hAnsi="Times New Roman" w:cs="Times New Roman"/>
          <w:sz w:val="24"/>
          <w:szCs w:val="24"/>
        </w:rPr>
        <w:t>задължителни предписания</w:t>
      </w:r>
      <w:r w:rsidR="00393C33" w:rsidRPr="00FD4C39">
        <w:rPr>
          <w:rFonts w:ascii="Times New Roman" w:eastAsia="Calibri" w:hAnsi="Times New Roman" w:cs="Times New Roman"/>
          <w:sz w:val="24"/>
          <w:szCs w:val="24"/>
        </w:rPr>
        <w:t xml:space="preserve"> (ЗП) </w:t>
      </w:r>
      <w:r w:rsidR="00EE7799" w:rsidRPr="00FD4C39">
        <w:rPr>
          <w:rFonts w:ascii="Times New Roman" w:eastAsia="Calibri" w:hAnsi="Times New Roman" w:cs="Times New Roman"/>
          <w:sz w:val="24"/>
          <w:szCs w:val="24"/>
        </w:rPr>
        <w:t xml:space="preserve">на </w:t>
      </w:r>
      <w:r w:rsidR="000A1260" w:rsidRPr="00FD4C39">
        <w:rPr>
          <w:rFonts w:ascii="Times New Roman" w:eastAsia="Calibri" w:hAnsi="Times New Roman" w:cs="Times New Roman"/>
          <w:sz w:val="24"/>
          <w:szCs w:val="24"/>
        </w:rPr>
        <w:t>АЛД</w:t>
      </w:r>
      <w:r w:rsidR="00EE7799" w:rsidRPr="00FD4C39">
        <w:rPr>
          <w:rFonts w:ascii="Times New Roman" w:eastAsia="Calibri" w:hAnsi="Times New Roman" w:cs="Times New Roman"/>
          <w:sz w:val="24"/>
          <w:szCs w:val="24"/>
        </w:rPr>
        <w:t>;</w:t>
      </w:r>
    </w:p>
    <w:p w:rsidR="00EE7799"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2. </w:t>
      </w:r>
      <w:r w:rsidR="00EE7799" w:rsidRPr="00FD4C39">
        <w:rPr>
          <w:rFonts w:ascii="Times New Roman" w:eastAsia="Calibri" w:hAnsi="Times New Roman" w:cs="Times New Roman"/>
          <w:sz w:val="24"/>
          <w:szCs w:val="24"/>
        </w:rPr>
        <w:t>За спиране на административното производство поради наличие на друго производство, образувано пред органите на МВР или прокуратурата</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18 решения;</w:t>
      </w:r>
    </w:p>
    <w:p w:rsidR="00EE7799"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3. </w:t>
      </w:r>
      <w:r w:rsidR="00EE7799" w:rsidRPr="00FD4C39">
        <w:rPr>
          <w:rFonts w:ascii="Times New Roman" w:eastAsia="Calibri" w:hAnsi="Times New Roman" w:cs="Times New Roman"/>
          <w:sz w:val="24"/>
          <w:szCs w:val="24"/>
        </w:rPr>
        <w:t>За обявяване на жалбата за недопустима</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25 решения;</w:t>
      </w:r>
    </w:p>
    <w:p w:rsidR="00EE7799"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4. </w:t>
      </w:r>
      <w:r w:rsidR="00EE7799" w:rsidRPr="00FD4C39">
        <w:rPr>
          <w:rFonts w:ascii="Times New Roman" w:eastAsia="Calibri" w:hAnsi="Times New Roman" w:cs="Times New Roman"/>
          <w:sz w:val="24"/>
          <w:szCs w:val="24"/>
        </w:rPr>
        <w:t>За обявяване жалбата за нередовна</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18 решения;</w:t>
      </w:r>
    </w:p>
    <w:p w:rsidR="00EE7799"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5. </w:t>
      </w:r>
      <w:r w:rsidR="00EE7799" w:rsidRPr="00FD4C39">
        <w:rPr>
          <w:rFonts w:ascii="Times New Roman" w:eastAsia="Calibri" w:hAnsi="Times New Roman" w:cs="Times New Roman"/>
          <w:sz w:val="24"/>
          <w:szCs w:val="24"/>
        </w:rPr>
        <w:t>Решения, с които се одобряват сключени споразумения между страните в административното производство</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2 решения.</w:t>
      </w:r>
    </w:p>
    <w:p w:rsidR="00EE7799" w:rsidRPr="00FD4C39" w:rsidRDefault="00FE701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КЗЛД</w:t>
      </w:r>
      <w:r w:rsidR="00425BC2">
        <w:rPr>
          <w:rFonts w:ascii="Times New Roman" w:eastAsia="Calibri" w:hAnsi="Times New Roman" w:cs="Times New Roman"/>
          <w:sz w:val="24"/>
          <w:szCs w:val="24"/>
        </w:rPr>
        <w:t xml:space="preserve"> приема</w:t>
      </w:r>
      <w:r w:rsidR="00EE7799" w:rsidRPr="00FD4C39">
        <w:rPr>
          <w:rFonts w:ascii="Times New Roman" w:eastAsia="Calibri" w:hAnsi="Times New Roman" w:cs="Times New Roman"/>
          <w:sz w:val="24"/>
          <w:szCs w:val="24"/>
        </w:rPr>
        <w:t xml:space="preserve"> за неоснователни 53 жалби поради неустановяване на нарушение на правилата за обработване на личните данни и липса на нарушени права на жалбоподателите.</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От административните производства, които </w:t>
      </w:r>
      <w:r w:rsidR="00425BC2">
        <w:rPr>
          <w:rFonts w:ascii="Times New Roman" w:eastAsia="Calibri" w:hAnsi="Times New Roman" w:cs="Times New Roman"/>
          <w:sz w:val="24"/>
          <w:szCs w:val="24"/>
        </w:rPr>
        <w:t>приключват</w:t>
      </w:r>
      <w:r w:rsidRPr="00FD4C39">
        <w:rPr>
          <w:rFonts w:ascii="Times New Roman" w:eastAsia="Calibri" w:hAnsi="Times New Roman" w:cs="Times New Roman"/>
          <w:sz w:val="24"/>
          <w:szCs w:val="24"/>
        </w:rPr>
        <w:t xml:space="preserve"> поради недопустимост на жалбите, при 9 </w:t>
      </w:r>
      <w:r w:rsidR="00425BC2">
        <w:rPr>
          <w:rFonts w:ascii="Times New Roman" w:eastAsia="Calibri" w:hAnsi="Times New Roman" w:cs="Times New Roman"/>
          <w:sz w:val="24"/>
          <w:szCs w:val="24"/>
        </w:rPr>
        <w:t>постъпва</w:t>
      </w:r>
      <w:r w:rsidRPr="00FD4C39">
        <w:rPr>
          <w:rFonts w:ascii="Times New Roman" w:eastAsia="Calibri" w:hAnsi="Times New Roman" w:cs="Times New Roman"/>
          <w:sz w:val="24"/>
          <w:szCs w:val="24"/>
        </w:rPr>
        <w:t xml:space="preserve"> отказ от жалбоподателя, с което </w:t>
      </w:r>
      <w:r w:rsidR="00FE7018" w:rsidRPr="00FD4C39">
        <w:rPr>
          <w:rFonts w:ascii="Times New Roman" w:eastAsia="Calibri" w:hAnsi="Times New Roman" w:cs="Times New Roman"/>
          <w:sz w:val="24"/>
          <w:szCs w:val="24"/>
        </w:rPr>
        <w:t>КЗЛД</w:t>
      </w:r>
      <w:r w:rsidR="00425BC2">
        <w:rPr>
          <w:rFonts w:ascii="Times New Roman" w:eastAsia="Calibri" w:hAnsi="Times New Roman" w:cs="Times New Roman"/>
          <w:sz w:val="24"/>
          <w:szCs w:val="24"/>
        </w:rPr>
        <w:t xml:space="preserve"> на практика е</w:t>
      </w:r>
      <w:r w:rsidRPr="00FD4C39">
        <w:rPr>
          <w:rFonts w:ascii="Times New Roman" w:eastAsia="Calibri" w:hAnsi="Times New Roman" w:cs="Times New Roman"/>
          <w:sz w:val="24"/>
          <w:szCs w:val="24"/>
        </w:rPr>
        <w:t xml:space="preserve"> </w:t>
      </w:r>
      <w:proofErr w:type="spellStart"/>
      <w:r w:rsidRPr="00FD4C39">
        <w:rPr>
          <w:rFonts w:ascii="Times New Roman" w:eastAsia="Calibri" w:hAnsi="Times New Roman" w:cs="Times New Roman"/>
          <w:sz w:val="24"/>
          <w:szCs w:val="24"/>
        </w:rPr>
        <w:t>десезирана</w:t>
      </w:r>
      <w:proofErr w:type="spellEnd"/>
      <w:r w:rsidRPr="00FD4C39">
        <w:rPr>
          <w:rFonts w:ascii="Times New Roman" w:eastAsia="Calibri" w:hAnsi="Times New Roman" w:cs="Times New Roman"/>
          <w:sz w:val="24"/>
          <w:szCs w:val="24"/>
        </w:rPr>
        <w:t>.</w:t>
      </w:r>
    </w:p>
    <w:p w:rsidR="003776A9" w:rsidRDefault="003776A9" w:rsidP="007B189E">
      <w:pPr>
        <w:spacing w:after="0" w:line="360" w:lineRule="auto"/>
        <w:ind w:firstLine="709"/>
        <w:jc w:val="both"/>
        <w:rPr>
          <w:rFonts w:ascii="Times New Roman" w:eastAsia="Calibri" w:hAnsi="Times New Roman" w:cs="Times New Roman"/>
          <w:sz w:val="24"/>
          <w:szCs w:val="24"/>
          <w:lang w:val="en-US"/>
        </w:rPr>
      </w:pP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 xml:space="preserve">Установените нарушения, извършени от </w:t>
      </w:r>
      <w:r w:rsidR="00D21C02"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могат да се причислят към следните групи нарушения:</w:t>
      </w:r>
    </w:p>
    <w:p w:rsidR="00EE7799" w:rsidRPr="00FD4C39" w:rsidRDefault="00EE7799" w:rsidP="00B901DE">
      <w:pPr>
        <w:pStyle w:val="ListParagraph"/>
        <w:numPr>
          <w:ilvl w:val="0"/>
          <w:numId w:val="1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обработване на лични данни в нарушение на принципите за законосъобразност, пропорционалност на обработваните лични данни, принципа за обработване на лични данни за конкретни, точно определени и законни цели (чл. 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 от ЗЗЛД)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наложени санкции в размер на 88 000 лв.</w:t>
      </w:r>
    </w:p>
    <w:p w:rsidR="00EE7799" w:rsidRPr="00FD4C39" w:rsidRDefault="00EE7799" w:rsidP="00B901DE">
      <w:pPr>
        <w:pStyle w:val="ListParagraph"/>
        <w:numPr>
          <w:ilvl w:val="0"/>
          <w:numId w:val="1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обработване на лични данни, без да е налице </w:t>
      </w:r>
      <w:proofErr w:type="spellStart"/>
      <w:r w:rsidRPr="00FD4C39">
        <w:rPr>
          <w:rFonts w:ascii="Times New Roman" w:eastAsia="Calibri" w:hAnsi="Times New Roman" w:cs="Times New Roman"/>
          <w:sz w:val="24"/>
          <w:szCs w:val="24"/>
        </w:rPr>
        <w:t>законоустановено</w:t>
      </w:r>
      <w:proofErr w:type="spellEnd"/>
      <w:r w:rsidRPr="00FD4C39">
        <w:rPr>
          <w:rFonts w:ascii="Times New Roman" w:eastAsia="Calibri" w:hAnsi="Times New Roman" w:cs="Times New Roman"/>
          <w:sz w:val="24"/>
          <w:szCs w:val="24"/>
        </w:rPr>
        <w:t xml:space="preserve"> условие за допустимост на обработването на личните данни (чл. 4 от ЗЗЛД)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н</w:t>
      </w:r>
      <w:r w:rsidR="000A1260" w:rsidRPr="00FD4C39">
        <w:rPr>
          <w:rFonts w:ascii="Times New Roman" w:eastAsia="Calibri" w:hAnsi="Times New Roman" w:cs="Times New Roman"/>
          <w:sz w:val="24"/>
          <w:szCs w:val="24"/>
        </w:rPr>
        <w:t>аложени санкции в размер на 181 </w:t>
      </w:r>
      <w:r w:rsidRPr="00FD4C39">
        <w:rPr>
          <w:rFonts w:ascii="Times New Roman" w:eastAsia="Calibri" w:hAnsi="Times New Roman" w:cs="Times New Roman"/>
          <w:sz w:val="24"/>
          <w:szCs w:val="24"/>
        </w:rPr>
        <w:t>000 лв.</w:t>
      </w:r>
    </w:p>
    <w:p w:rsidR="00EE7799" w:rsidRPr="00FD4C39" w:rsidRDefault="00EE7799" w:rsidP="00B901DE">
      <w:pPr>
        <w:pStyle w:val="ListParagraph"/>
        <w:numPr>
          <w:ilvl w:val="0"/>
          <w:numId w:val="1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обработване на лични данни, без да са предприети от </w:t>
      </w:r>
      <w:r w:rsidR="00FE7018" w:rsidRPr="00FD4C39">
        <w:rPr>
          <w:rFonts w:ascii="Times New Roman" w:eastAsia="Calibri" w:hAnsi="Times New Roman" w:cs="Times New Roman"/>
          <w:sz w:val="24"/>
          <w:szCs w:val="24"/>
        </w:rPr>
        <w:t xml:space="preserve">АЛД </w:t>
      </w:r>
      <w:r w:rsidRPr="00FD4C39">
        <w:rPr>
          <w:rFonts w:ascii="Times New Roman" w:eastAsia="Calibri" w:hAnsi="Times New Roman" w:cs="Times New Roman"/>
          <w:sz w:val="24"/>
          <w:szCs w:val="24"/>
        </w:rPr>
        <w:t>технически и организационни мерки за защита на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(чл. 23 от ЗЗЛД)</w:t>
      </w:r>
      <w:r w:rsidR="004D42A2">
        <w:rPr>
          <w:rFonts w:ascii="Times New Roman" w:eastAsia="Calibri" w:hAnsi="Times New Roman" w:cs="Times New Roman"/>
          <w:sz w:val="24"/>
          <w:szCs w:val="24"/>
        </w:rPr>
        <w:t xml:space="preserve"> – </w:t>
      </w:r>
      <w:r w:rsidR="000A1260" w:rsidRPr="00FD4C39">
        <w:rPr>
          <w:rFonts w:ascii="Times New Roman" w:eastAsia="Calibri" w:hAnsi="Times New Roman" w:cs="Times New Roman"/>
          <w:sz w:val="24"/>
          <w:szCs w:val="24"/>
        </w:rPr>
        <w:t>наложени санкции в размер на 28 </w:t>
      </w:r>
      <w:r w:rsidRPr="00FD4C39">
        <w:rPr>
          <w:rFonts w:ascii="Times New Roman" w:eastAsia="Calibri" w:hAnsi="Times New Roman" w:cs="Times New Roman"/>
          <w:sz w:val="24"/>
          <w:szCs w:val="24"/>
        </w:rPr>
        <w:t>000 лв.</w:t>
      </w:r>
    </w:p>
    <w:p w:rsidR="00EE7799" w:rsidRPr="00FD4C39" w:rsidRDefault="00EE7799" w:rsidP="00B901DE">
      <w:pPr>
        <w:pStyle w:val="ListParagraph"/>
        <w:numPr>
          <w:ilvl w:val="0"/>
          <w:numId w:val="1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 отказ на </w:t>
      </w:r>
      <w:r w:rsidR="00580030" w:rsidRPr="00FD4C39">
        <w:rPr>
          <w:rFonts w:ascii="Times New Roman" w:eastAsia="Calibri" w:hAnsi="Times New Roman" w:cs="Times New Roman"/>
          <w:sz w:val="24"/>
          <w:szCs w:val="24"/>
        </w:rPr>
        <w:t>АЛД</w:t>
      </w:r>
      <w:r w:rsidR="000A1260"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да окаже съдействие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при упражняване на контролните й правомощия (чл. 22,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5 от ЗЗЛД)</w:t>
      </w:r>
      <w:r w:rsidR="004D42A2">
        <w:rPr>
          <w:rFonts w:ascii="Times New Roman" w:eastAsia="Calibri" w:hAnsi="Times New Roman" w:cs="Times New Roman"/>
          <w:sz w:val="24"/>
          <w:szCs w:val="24"/>
        </w:rPr>
        <w:t xml:space="preserve"> – </w:t>
      </w:r>
      <w:r w:rsidR="000A1260" w:rsidRPr="00FD4C39">
        <w:rPr>
          <w:rFonts w:ascii="Times New Roman" w:eastAsia="Calibri" w:hAnsi="Times New Roman" w:cs="Times New Roman"/>
          <w:sz w:val="24"/>
          <w:szCs w:val="24"/>
        </w:rPr>
        <w:t xml:space="preserve">наложени санкции </w:t>
      </w:r>
      <w:r w:rsidR="00393C33" w:rsidRPr="00FD4C39">
        <w:rPr>
          <w:rFonts w:ascii="Times New Roman" w:eastAsia="Calibri" w:hAnsi="Times New Roman" w:cs="Times New Roman"/>
          <w:sz w:val="24"/>
          <w:szCs w:val="24"/>
        </w:rPr>
        <w:t xml:space="preserve">в размер на </w:t>
      </w:r>
      <w:r w:rsidR="00425BC2">
        <w:rPr>
          <w:rFonts w:ascii="Times New Roman" w:eastAsia="Calibri" w:hAnsi="Times New Roman" w:cs="Times New Roman"/>
          <w:sz w:val="24"/>
          <w:szCs w:val="24"/>
        </w:rPr>
        <w:t>1</w:t>
      </w:r>
      <w:r w:rsidRPr="00FD4C39">
        <w:rPr>
          <w:rFonts w:ascii="Times New Roman" w:eastAsia="Calibri" w:hAnsi="Times New Roman" w:cs="Times New Roman"/>
          <w:sz w:val="24"/>
          <w:szCs w:val="24"/>
        </w:rPr>
        <w:t>300 лв.</w:t>
      </w:r>
    </w:p>
    <w:p w:rsidR="00EE7799" w:rsidRPr="00FD4C39" w:rsidRDefault="00EE7799" w:rsidP="00B901DE">
      <w:pPr>
        <w:pStyle w:val="ListParagraph"/>
        <w:numPr>
          <w:ilvl w:val="0"/>
          <w:numId w:val="1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нарушение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5 от ЗЗЛД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обработване на чувствителни лични данни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 наложени санкции в размер на 15</w:t>
      </w:r>
      <w:r w:rsidR="000A1260"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000 лв.;</w:t>
      </w:r>
    </w:p>
    <w:p w:rsidR="00EE7799" w:rsidRPr="00FD4C39" w:rsidRDefault="00EE7799" w:rsidP="00B901DE">
      <w:pPr>
        <w:pStyle w:val="ListParagraph"/>
        <w:numPr>
          <w:ilvl w:val="0"/>
          <w:numId w:val="1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нарушение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20 от ЗЗЛД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непредоставяне на информация на физическото лице от </w:t>
      </w:r>
      <w:r w:rsidR="000A1260" w:rsidRPr="00FD4C39">
        <w:rPr>
          <w:rFonts w:ascii="Times New Roman" w:eastAsia="Calibri" w:hAnsi="Times New Roman" w:cs="Times New Roman"/>
          <w:sz w:val="24"/>
          <w:szCs w:val="24"/>
        </w:rPr>
        <w:t>АЛД</w:t>
      </w:r>
      <w:r w:rsidR="004D42A2">
        <w:rPr>
          <w:rFonts w:ascii="Times New Roman" w:eastAsia="Calibri" w:hAnsi="Times New Roman" w:cs="Times New Roman"/>
          <w:sz w:val="24"/>
          <w:szCs w:val="24"/>
        </w:rPr>
        <w:t xml:space="preserve"> – </w:t>
      </w:r>
      <w:r w:rsidR="000A1260" w:rsidRPr="00FD4C39">
        <w:rPr>
          <w:rFonts w:ascii="Times New Roman" w:eastAsia="Calibri" w:hAnsi="Times New Roman" w:cs="Times New Roman"/>
          <w:sz w:val="24"/>
          <w:szCs w:val="24"/>
        </w:rPr>
        <w:t>наложени санкции в размер на 11</w:t>
      </w:r>
      <w:r w:rsidR="00393C33"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000</w:t>
      </w:r>
      <w:r w:rsidR="00393C33"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лв.</w:t>
      </w:r>
    </w:p>
    <w:p w:rsidR="003776A9" w:rsidRDefault="003776A9" w:rsidP="007B189E">
      <w:pPr>
        <w:spacing w:after="0" w:line="360" w:lineRule="auto"/>
        <w:ind w:firstLine="709"/>
        <w:jc w:val="both"/>
        <w:rPr>
          <w:rFonts w:ascii="Times New Roman" w:eastAsia="Calibri" w:hAnsi="Times New Roman" w:cs="Times New Roman"/>
          <w:sz w:val="24"/>
          <w:szCs w:val="24"/>
          <w:lang w:val="en-US"/>
        </w:rPr>
      </w:pPr>
    </w:p>
    <w:p w:rsidR="00EE7799" w:rsidRPr="00FD4C39" w:rsidRDefault="00425BC2"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полза на КЗЛД се присъждат 5</w:t>
      </w:r>
      <w:r w:rsidR="00EE7799" w:rsidRPr="00FD4C39">
        <w:rPr>
          <w:rFonts w:ascii="Times New Roman" w:eastAsia="Calibri" w:hAnsi="Times New Roman" w:cs="Times New Roman"/>
          <w:sz w:val="24"/>
          <w:szCs w:val="24"/>
        </w:rPr>
        <w:t>135</w:t>
      </w:r>
      <w:r w:rsidR="000A1260" w:rsidRPr="00FD4C39">
        <w:rPr>
          <w:rFonts w:ascii="Times New Roman" w:eastAsia="Calibri" w:hAnsi="Times New Roman" w:cs="Times New Roman"/>
          <w:sz w:val="24"/>
          <w:szCs w:val="24"/>
        </w:rPr>
        <w:t xml:space="preserve"> лв. </w:t>
      </w:r>
      <w:proofErr w:type="spellStart"/>
      <w:r w:rsidR="00EE7799" w:rsidRPr="00FD4C39">
        <w:rPr>
          <w:rFonts w:ascii="Times New Roman" w:eastAsia="Calibri" w:hAnsi="Times New Roman" w:cs="Times New Roman"/>
          <w:sz w:val="24"/>
          <w:szCs w:val="24"/>
        </w:rPr>
        <w:t>юрисконсултско</w:t>
      </w:r>
      <w:proofErr w:type="spellEnd"/>
      <w:r w:rsidR="00EE7799" w:rsidRPr="00FD4C39">
        <w:rPr>
          <w:rFonts w:ascii="Times New Roman" w:eastAsia="Calibri" w:hAnsi="Times New Roman" w:cs="Times New Roman"/>
          <w:sz w:val="24"/>
          <w:szCs w:val="24"/>
        </w:rPr>
        <w:t xml:space="preserve"> възнаграждение, като от тези присъдени възнагр</w:t>
      </w:r>
      <w:r w:rsidR="000A1260" w:rsidRPr="00FD4C39">
        <w:rPr>
          <w:rFonts w:ascii="Times New Roman" w:eastAsia="Calibri" w:hAnsi="Times New Roman" w:cs="Times New Roman"/>
          <w:sz w:val="24"/>
          <w:szCs w:val="24"/>
        </w:rPr>
        <w:t xml:space="preserve">аждения </w:t>
      </w:r>
      <w:r>
        <w:rPr>
          <w:rFonts w:ascii="Times New Roman" w:eastAsia="Calibri" w:hAnsi="Times New Roman" w:cs="Times New Roman"/>
          <w:sz w:val="24"/>
          <w:szCs w:val="24"/>
        </w:rPr>
        <w:t>се плащат доброволно 2</w:t>
      </w:r>
      <w:r w:rsidR="00EE7799" w:rsidRPr="00FD4C39">
        <w:rPr>
          <w:rFonts w:ascii="Times New Roman" w:eastAsia="Calibri" w:hAnsi="Times New Roman" w:cs="Times New Roman"/>
          <w:sz w:val="24"/>
          <w:szCs w:val="24"/>
        </w:rPr>
        <w:t>825 лв.</w:t>
      </w:r>
    </w:p>
    <w:p w:rsidR="003776A9" w:rsidRDefault="003776A9" w:rsidP="0020461C">
      <w:pPr>
        <w:tabs>
          <w:tab w:val="left" w:pos="993"/>
        </w:tabs>
        <w:spacing w:after="0" w:line="360" w:lineRule="auto"/>
        <w:ind w:firstLine="709"/>
        <w:jc w:val="both"/>
        <w:rPr>
          <w:rFonts w:ascii="Times New Roman" w:eastAsia="Calibri" w:hAnsi="Times New Roman" w:cs="Times New Roman"/>
          <w:sz w:val="24"/>
          <w:szCs w:val="24"/>
          <w:lang w:val="en-US"/>
        </w:rPr>
      </w:pPr>
    </w:p>
    <w:p w:rsidR="0020461C" w:rsidRPr="0032580E" w:rsidRDefault="0020461C" w:rsidP="0020461C">
      <w:pPr>
        <w:tabs>
          <w:tab w:val="left" w:pos="993"/>
        </w:tabs>
        <w:spacing w:after="0" w:line="360" w:lineRule="auto"/>
        <w:ind w:firstLine="709"/>
        <w:jc w:val="both"/>
        <w:rPr>
          <w:rFonts w:ascii="Times New Roman" w:eastAsia="Calibri" w:hAnsi="Times New Roman" w:cs="Times New Roman"/>
          <w:sz w:val="24"/>
          <w:szCs w:val="24"/>
        </w:rPr>
      </w:pPr>
      <w:r w:rsidRPr="00FD210F">
        <w:rPr>
          <w:rFonts w:ascii="Times New Roman" w:eastAsia="Calibri" w:hAnsi="Times New Roman" w:cs="Times New Roman"/>
          <w:sz w:val="24"/>
          <w:szCs w:val="24"/>
        </w:rPr>
        <w:t>Размерът на наложените наказания от КЗЛД с постановените от нея за 2014</w:t>
      </w:r>
      <w:r w:rsidR="004D42A2">
        <w:rPr>
          <w:rFonts w:ascii="Times New Roman" w:eastAsia="Calibri" w:hAnsi="Times New Roman" w:cs="Times New Roman"/>
          <w:sz w:val="24"/>
          <w:szCs w:val="24"/>
        </w:rPr>
        <w:t> г.</w:t>
      </w:r>
      <w:r w:rsidRPr="00FD210F">
        <w:rPr>
          <w:rFonts w:ascii="Times New Roman" w:eastAsia="Calibri" w:hAnsi="Times New Roman" w:cs="Times New Roman"/>
          <w:sz w:val="24"/>
          <w:szCs w:val="24"/>
        </w:rPr>
        <w:t xml:space="preserve"> административни актове са в размер на 476 400 лв.</w:t>
      </w:r>
      <w:r w:rsidRPr="00FD210F">
        <w:rPr>
          <w:rFonts w:ascii="Times New Roman" w:eastAsia="Calibri" w:hAnsi="Times New Roman" w:cs="Times New Roman"/>
          <w:sz w:val="24"/>
          <w:szCs w:val="24"/>
          <w:lang w:val="en-US"/>
        </w:rPr>
        <w:t xml:space="preserve"> </w:t>
      </w:r>
      <w:r w:rsidRPr="00FD210F">
        <w:rPr>
          <w:rFonts w:ascii="Times New Roman" w:eastAsia="Calibri" w:hAnsi="Times New Roman" w:cs="Times New Roman"/>
          <w:sz w:val="24"/>
          <w:szCs w:val="24"/>
        </w:rPr>
        <w:t>Събраните през 2014</w:t>
      </w:r>
      <w:r w:rsidR="004D42A2">
        <w:rPr>
          <w:rFonts w:ascii="Times New Roman" w:eastAsia="Calibri" w:hAnsi="Times New Roman" w:cs="Times New Roman"/>
          <w:sz w:val="24"/>
          <w:szCs w:val="24"/>
        </w:rPr>
        <w:t> г.</w:t>
      </w:r>
      <w:r w:rsidRPr="00FD210F">
        <w:rPr>
          <w:rFonts w:ascii="Times New Roman" w:eastAsia="Calibri" w:hAnsi="Times New Roman" w:cs="Times New Roman"/>
          <w:sz w:val="24"/>
          <w:szCs w:val="24"/>
        </w:rPr>
        <w:t xml:space="preserve"> суми по постановени решения на КЗЛД са в размер на 206 205 лв. (37 672 лв. от тях са събрани принудително от НАП).</w:t>
      </w:r>
      <w:r>
        <w:rPr>
          <w:rFonts w:ascii="Times New Roman" w:eastAsia="Calibri" w:hAnsi="Times New Roman" w:cs="Times New Roman"/>
          <w:sz w:val="24"/>
          <w:szCs w:val="24"/>
        </w:rPr>
        <w:t xml:space="preserve"> </w:t>
      </w:r>
    </w:p>
    <w:p w:rsidR="00695EBF" w:rsidRPr="00FD4C39" w:rsidRDefault="00695EBF" w:rsidP="007B189E">
      <w:pPr>
        <w:spacing w:after="0" w:line="360" w:lineRule="auto"/>
        <w:ind w:firstLine="709"/>
        <w:jc w:val="both"/>
        <w:rPr>
          <w:rFonts w:ascii="Times New Roman" w:eastAsia="Calibri" w:hAnsi="Times New Roman" w:cs="Times New Roman"/>
          <w:i/>
          <w:sz w:val="24"/>
          <w:szCs w:val="24"/>
        </w:rPr>
      </w:pPr>
    </w:p>
    <w:p w:rsidR="00EE7799" w:rsidRPr="00FD4C39" w:rsidRDefault="00353091"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1.2.</w:t>
      </w:r>
      <w:r w:rsidR="00EE7799" w:rsidRPr="00FD4C39">
        <w:rPr>
          <w:rFonts w:ascii="Times New Roman" w:eastAsia="Calibri" w:hAnsi="Times New Roman" w:cs="Times New Roman"/>
          <w:i/>
          <w:sz w:val="24"/>
          <w:szCs w:val="24"/>
        </w:rPr>
        <w:t xml:space="preserve"> Специфични казуси и практика на </w:t>
      </w:r>
      <w:r w:rsidR="00FE7018" w:rsidRPr="00FD4C39">
        <w:rPr>
          <w:rFonts w:ascii="Times New Roman" w:eastAsia="Calibri" w:hAnsi="Times New Roman" w:cs="Times New Roman"/>
          <w:i/>
          <w:sz w:val="24"/>
          <w:szCs w:val="24"/>
        </w:rPr>
        <w:t>КЗЛД</w:t>
      </w:r>
      <w:r w:rsidR="00EE7799" w:rsidRPr="00FD4C39">
        <w:rPr>
          <w:rFonts w:ascii="Times New Roman" w:eastAsia="Calibri" w:hAnsi="Times New Roman" w:cs="Times New Roman"/>
          <w:i/>
          <w:sz w:val="24"/>
          <w:szCs w:val="24"/>
        </w:rPr>
        <w:t xml:space="preserve"> през 2014</w:t>
      </w:r>
      <w:r w:rsidR="004D42A2">
        <w:rPr>
          <w:rFonts w:ascii="Times New Roman" w:eastAsia="Calibri" w:hAnsi="Times New Roman" w:cs="Times New Roman"/>
          <w:i/>
          <w:sz w:val="24"/>
          <w:szCs w:val="24"/>
        </w:rPr>
        <w:t> г.</w:t>
      </w:r>
      <w:r w:rsidR="00EE7799" w:rsidRPr="00FD4C39">
        <w:rPr>
          <w:rFonts w:ascii="Times New Roman" w:eastAsia="Calibri" w:hAnsi="Times New Roman" w:cs="Times New Roman"/>
          <w:i/>
          <w:sz w:val="24"/>
          <w:szCs w:val="24"/>
        </w:rPr>
        <w:t>:</w:t>
      </w:r>
    </w:p>
    <w:p w:rsidR="00EE7799" w:rsidRPr="00FD4C39" w:rsidRDefault="00FE701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КЗЛД </w:t>
      </w:r>
      <w:r w:rsidR="00425BC2">
        <w:rPr>
          <w:rFonts w:ascii="Times New Roman" w:eastAsia="Calibri" w:hAnsi="Times New Roman" w:cs="Times New Roman"/>
          <w:sz w:val="24"/>
          <w:szCs w:val="24"/>
        </w:rPr>
        <w:t>се сезира</w:t>
      </w:r>
      <w:r w:rsidR="00EE7799" w:rsidRPr="00FD4C39">
        <w:rPr>
          <w:rFonts w:ascii="Times New Roman" w:eastAsia="Calibri" w:hAnsi="Times New Roman" w:cs="Times New Roman"/>
          <w:sz w:val="24"/>
          <w:szCs w:val="24"/>
        </w:rPr>
        <w:t xml:space="preserve"> с жалби, свързани с обработване на лични данни в различни сфери на обществения живот</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 xml:space="preserve">достъп до услуги (телекомуникационни, банкови, кредитни, комунални), образование, здравеопазване, местно самоуправление, съдебна </w:t>
      </w:r>
      <w:r w:rsidR="00EE7799" w:rsidRPr="00FD4C39">
        <w:rPr>
          <w:rFonts w:ascii="Times New Roman" w:eastAsia="Calibri" w:hAnsi="Times New Roman" w:cs="Times New Roman"/>
          <w:sz w:val="24"/>
          <w:szCs w:val="24"/>
        </w:rPr>
        <w:lastRenderedPageBreak/>
        <w:t>власт, събиране на кредити, достъп и разпространение на информация и др. В тази връзка и практиката на КЗЛД е изключително широка с оглед разнообразността на постъпилите жалби. Решенията на КЗЛД по различните казуси са</w:t>
      </w:r>
      <w:r w:rsidR="00393C33" w:rsidRPr="00FD4C39">
        <w:rPr>
          <w:rFonts w:ascii="Times New Roman" w:eastAsia="Calibri" w:hAnsi="Times New Roman" w:cs="Times New Roman"/>
          <w:sz w:val="24"/>
          <w:szCs w:val="24"/>
        </w:rPr>
        <w:t xml:space="preserve"> </w:t>
      </w:r>
      <w:r w:rsidR="00EE7799" w:rsidRPr="00FD4C39">
        <w:rPr>
          <w:rFonts w:ascii="Times New Roman" w:eastAsia="Calibri" w:hAnsi="Times New Roman" w:cs="Times New Roman"/>
          <w:sz w:val="24"/>
          <w:szCs w:val="24"/>
        </w:rPr>
        <w:t xml:space="preserve">достъпни на нейния интернет адрес в секция </w:t>
      </w:r>
      <w:r w:rsidR="004931E5"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Практика по жалби</w:t>
      </w:r>
      <w:r w:rsidR="00425BC2">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По-долу са представени няколко специфични казус</w:t>
      </w:r>
      <w:r w:rsidR="00425BC2">
        <w:rPr>
          <w:rFonts w:ascii="Times New Roman" w:eastAsia="Calibri" w:hAnsi="Times New Roman" w:cs="Times New Roman"/>
          <w:sz w:val="24"/>
          <w:szCs w:val="24"/>
        </w:rPr>
        <w:t>а, с които е</w:t>
      </w:r>
      <w:r w:rsidR="00EE7799" w:rsidRPr="00FD4C39">
        <w:rPr>
          <w:rFonts w:ascii="Times New Roman" w:eastAsia="Calibri" w:hAnsi="Times New Roman" w:cs="Times New Roman"/>
          <w:sz w:val="24"/>
          <w:szCs w:val="24"/>
        </w:rPr>
        <w:t xml:space="preserve"> сезирана КЗЛД през 2014</w:t>
      </w:r>
      <w:r w:rsidR="004D42A2">
        <w:rPr>
          <w:rFonts w:ascii="Times New Roman" w:eastAsia="Calibri" w:hAnsi="Times New Roman" w:cs="Times New Roman"/>
          <w:sz w:val="24"/>
          <w:szCs w:val="24"/>
        </w:rPr>
        <w:t> г.</w:t>
      </w:r>
      <w:r w:rsidR="00EE7799" w:rsidRPr="00FD4C39">
        <w:rPr>
          <w:rFonts w:ascii="Times New Roman" w:eastAsia="Calibri" w:hAnsi="Times New Roman" w:cs="Times New Roman"/>
          <w:sz w:val="24"/>
          <w:szCs w:val="24"/>
        </w:rPr>
        <w:t>:</w:t>
      </w:r>
    </w:p>
    <w:p w:rsidR="0069463D" w:rsidRPr="00FD4C39" w:rsidRDefault="0069463D" w:rsidP="007B189E">
      <w:pPr>
        <w:spacing w:after="0" w:line="360" w:lineRule="auto"/>
        <w:ind w:firstLine="709"/>
        <w:jc w:val="both"/>
        <w:rPr>
          <w:rFonts w:ascii="Times New Roman" w:eastAsia="Calibri" w:hAnsi="Times New Roman" w:cs="Times New Roman"/>
          <w:sz w:val="24"/>
          <w:szCs w:val="24"/>
        </w:rPr>
      </w:pP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1. В </w:t>
      </w:r>
      <w:r w:rsidR="00FE7018" w:rsidRPr="00FD4C39">
        <w:rPr>
          <w:rFonts w:ascii="Times New Roman" w:eastAsia="Calibri" w:hAnsi="Times New Roman" w:cs="Times New Roman"/>
          <w:sz w:val="24"/>
          <w:szCs w:val="24"/>
        </w:rPr>
        <w:t>КЗЛД</w:t>
      </w:r>
      <w:r w:rsidR="000A1260" w:rsidRPr="00FD4C39">
        <w:rPr>
          <w:rFonts w:ascii="Times New Roman" w:eastAsia="Calibri" w:hAnsi="Times New Roman" w:cs="Times New Roman"/>
          <w:sz w:val="24"/>
          <w:szCs w:val="24"/>
        </w:rPr>
        <w:t xml:space="preserve"> </w:t>
      </w:r>
      <w:r w:rsidR="00425BC2">
        <w:rPr>
          <w:rFonts w:ascii="Times New Roman" w:eastAsia="Calibri" w:hAnsi="Times New Roman" w:cs="Times New Roman"/>
          <w:sz w:val="24"/>
          <w:szCs w:val="24"/>
        </w:rPr>
        <w:t>постъпва</w:t>
      </w:r>
      <w:r w:rsidRPr="00FD4C39">
        <w:rPr>
          <w:rFonts w:ascii="Times New Roman" w:eastAsia="Calibri" w:hAnsi="Times New Roman" w:cs="Times New Roman"/>
          <w:sz w:val="24"/>
          <w:szCs w:val="24"/>
        </w:rPr>
        <w:t xml:space="preserve"> жалба за неправомерно обработване на лични данни, а именно копиране на лична карта и свидетелство за управление на </w:t>
      </w:r>
      <w:r w:rsidR="00C06D01" w:rsidRPr="00FD4C39">
        <w:rPr>
          <w:rFonts w:ascii="Times New Roman" w:eastAsia="Calibri" w:hAnsi="Times New Roman" w:cs="Times New Roman"/>
          <w:sz w:val="24"/>
          <w:szCs w:val="24"/>
        </w:rPr>
        <w:t>моторно превозно средство (</w:t>
      </w:r>
      <w:r w:rsidR="000A1260" w:rsidRPr="00FD4C39">
        <w:rPr>
          <w:rFonts w:ascii="Times New Roman" w:eastAsia="Calibri" w:hAnsi="Times New Roman" w:cs="Times New Roman"/>
          <w:sz w:val="24"/>
          <w:szCs w:val="24"/>
        </w:rPr>
        <w:t>МПС</w:t>
      </w:r>
      <w:r w:rsidR="00C06D01" w:rsidRPr="00FD4C39">
        <w:rPr>
          <w:rFonts w:ascii="Times New Roman" w:eastAsia="Calibri" w:hAnsi="Times New Roman" w:cs="Times New Roman"/>
          <w:sz w:val="24"/>
          <w:szCs w:val="24"/>
        </w:rPr>
        <w:t>)</w:t>
      </w:r>
      <w:r w:rsidR="000A1260"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и съхранение на копия от документите във връзка с ползвана от жалбоподателя  услуга </w:t>
      </w:r>
      <w:r w:rsidR="004931E5" w:rsidRPr="00FD4C39">
        <w:rPr>
          <w:rFonts w:ascii="Times New Roman" w:eastAsia="Calibri" w:hAnsi="Times New Roman" w:cs="Times New Roman"/>
          <w:sz w:val="24"/>
          <w:szCs w:val="24"/>
        </w:rPr>
        <w:t>„</w:t>
      </w:r>
      <w:proofErr w:type="spellStart"/>
      <w:r w:rsidRPr="00FD4C39">
        <w:rPr>
          <w:rFonts w:ascii="Times New Roman" w:eastAsia="Calibri" w:hAnsi="Times New Roman" w:cs="Times New Roman"/>
          <w:sz w:val="24"/>
          <w:szCs w:val="24"/>
        </w:rPr>
        <w:t>тест-драйв</w:t>
      </w:r>
      <w:proofErr w:type="spellEnd"/>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В хода на производството </w:t>
      </w:r>
      <w:r w:rsidR="00425BC2">
        <w:rPr>
          <w:rFonts w:ascii="Times New Roman" w:eastAsia="Calibri" w:hAnsi="Times New Roman" w:cs="Times New Roman"/>
          <w:sz w:val="24"/>
          <w:szCs w:val="24"/>
        </w:rPr>
        <w:t>се установява</w:t>
      </w:r>
      <w:r w:rsidRPr="00FD4C39">
        <w:rPr>
          <w:rFonts w:ascii="Times New Roman" w:eastAsia="Calibri" w:hAnsi="Times New Roman" w:cs="Times New Roman"/>
          <w:sz w:val="24"/>
          <w:szCs w:val="24"/>
        </w:rPr>
        <w:t>, че за целите на изпробван</w:t>
      </w:r>
      <w:r w:rsidR="00425BC2">
        <w:rPr>
          <w:rFonts w:ascii="Times New Roman" w:eastAsia="Calibri" w:hAnsi="Times New Roman" w:cs="Times New Roman"/>
          <w:sz w:val="24"/>
          <w:szCs w:val="24"/>
        </w:rPr>
        <w:t>е качествата на нов автомобил се копират</w:t>
      </w:r>
      <w:r w:rsidRPr="00FD4C39">
        <w:rPr>
          <w:rFonts w:ascii="Times New Roman" w:eastAsia="Calibri" w:hAnsi="Times New Roman" w:cs="Times New Roman"/>
          <w:sz w:val="24"/>
          <w:szCs w:val="24"/>
        </w:rPr>
        <w:t xml:space="preserve"> личната карта и свидетелството за управление на МПС </w:t>
      </w:r>
      <w:r w:rsidR="00D10359" w:rsidRPr="00FD4C39">
        <w:rPr>
          <w:rFonts w:ascii="Times New Roman" w:eastAsia="Calibri" w:hAnsi="Times New Roman" w:cs="Times New Roman"/>
          <w:sz w:val="24"/>
          <w:szCs w:val="24"/>
        </w:rPr>
        <w:t xml:space="preserve">(СУМПС) </w:t>
      </w:r>
      <w:r w:rsidRPr="00FD4C39">
        <w:rPr>
          <w:rFonts w:ascii="Times New Roman" w:eastAsia="Calibri" w:hAnsi="Times New Roman" w:cs="Times New Roman"/>
          <w:sz w:val="24"/>
          <w:szCs w:val="24"/>
        </w:rPr>
        <w:t>на жалбоподателя, както и че копия от документите се съхраняват в дружеството.</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От събраните по административната преписка доказателства се констатира, че обработването на лични данни на жалбоподателя, чрез действия по копиране на </w:t>
      </w:r>
      <w:r w:rsidR="00393C33" w:rsidRPr="00FD4C39">
        <w:rPr>
          <w:rFonts w:ascii="Times New Roman" w:eastAsia="Calibri" w:hAnsi="Times New Roman" w:cs="Times New Roman"/>
          <w:sz w:val="24"/>
          <w:szCs w:val="24"/>
        </w:rPr>
        <w:t>свидетелството му за упр</w:t>
      </w:r>
      <w:r w:rsidR="00425BC2">
        <w:rPr>
          <w:rFonts w:ascii="Times New Roman" w:eastAsia="Calibri" w:hAnsi="Times New Roman" w:cs="Times New Roman"/>
          <w:sz w:val="24"/>
          <w:szCs w:val="24"/>
        </w:rPr>
        <w:t>а</w:t>
      </w:r>
      <w:r w:rsidR="00393C33" w:rsidRPr="00FD4C39">
        <w:rPr>
          <w:rFonts w:ascii="Times New Roman" w:eastAsia="Calibri" w:hAnsi="Times New Roman" w:cs="Times New Roman"/>
          <w:sz w:val="24"/>
          <w:szCs w:val="24"/>
        </w:rPr>
        <w:t>вление на моторно превозно средство</w:t>
      </w:r>
      <w:r w:rsidR="00425BC2">
        <w:rPr>
          <w:rFonts w:ascii="Times New Roman" w:eastAsia="Calibri" w:hAnsi="Times New Roman" w:cs="Times New Roman"/>
          <w:sz w:val="24"/>
          <w:szCs w:val="24"/>
        </w:rPr>
        <w:t>,</w:t>
      </w:r>
      <w:r w:rsidR="00393C33"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е законосъобразно, с оглед което </w:t>
      </w:r>
      <w:r w:rsidR="00FE7018" w:rsidRPr="00FD4C39">
        <w:rPr>
          <w:rFonts w:ascii="Times New Roman" w:eastAsia="Calibri" w:hAnsi="Times New Roman" w:cs="Times New Roman"/>
          <w:sz w:val="24"/>
          <w:szCs w:val="24"/>
        </w:rPr>
        <w:t>КЗЛД</w:t>
      </w:r>
      <w:r w:rsidR="00425BC2">
        <w:rPr>
          <w:rFonts w:ascii="Times New Roman" w:eastAsia="Calibri" w:hAnsi="Times New Roman" w:cs="Times New Roman"/>
          <w:sz w:val="24"/>
          <w:szCs w:val="24"/>
        </w:rPr>
        <w:t xml:space="preserve"> приема</w:t>
      </w:r>
      <w:r w:rsidRPr="00FD4C39">
        <w:rPr>
          <w:rFonts w:ascii="Times New Roman" w:eastAsia="Calibri" w:hAnsi="Times New Roman" w:cs="Times New Roman"/>
          <w:sz w:val="24"/>
          <w:szCs w:val="24"/>
        </w:rPr>
        <w:t xml:space="preserve"> за неоснователна жалбата в тази й част. Налице е нормативно установено задължение (чл. 189,</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5 от </w:t>
      </w:r>
      <w:r w:rsidR="00731B9D" w:rsidRPr="00FD4C39">
        <w:rPr>
          <w:rFonts w:ascii="Times New Roman" w:eastAsia="Calibri" w:hAnsi="Times New Roman" w:cs="Times New Roman"/>
          <w:sz w:val="24"/>
          <w:szCs w:val="24"/>
        </w:rPr>
        <w:t>Закона за движение по пътищата (</w:t>
      </w:r>
      <w:r w:rsidRPr="00FD4C39">
        <w:rPr>
          <w:rFonts w:ascii="Times New Roman" w:eastAsia="Calibri" w:hAnsi="Times New Roman" w:cs="Times New Roman"/>
          <w:sz w:val="24"/>
          <w:szCs w:val="24"/>
        </w:rPr>
        <w:t>ЗДвП)</w:t>
      </w:r>
      <w:r w:rsidR="00731B9D"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на </w:t>
      </w:r>
      <w:r w:rsidR="003F2D0F"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в качеството му на собственик на моторното превозно средство, в случай на нарушение на ЗДвП, установено и заснето с техническо средство, в отсъствието на контролен орган и на нарушител, да предоставя в съответната териториална структура на </w:t>
      </w:r>
      <w:r w:rsidR="003F2D0F" w:rsidRPr="00FD4C39">
        <w:rPr>
          <w:rFonts w:ascii="Times New Roman" w:eastAsia="Calibri" w:hAnsi="Times New Roman" w:cs="Times New Roman"/>
          <w:sz w:val="24"/>
          <w:szCs w:val="24"/>
        </w:rPr>
        <w:t>МВР</w:t>
      </w:r>
      <w:r w:rsidRPr="00FD4C39">
        <w:rPr>
          <w:rFonts w:ascii="Times New Roman" w:eastAsia="Calibri" w:hAnsi="Times New Roman" w:cs="Times New Roman"/>
          <w:sz w:val="24"/>
          <w:szCs w:val="24"/>
        </w:rPr>
        <w:t xml:space="preserve"> писмена декларация с данни за лицето, извършило нарушението, и копие на </w:t>
      </w:r>
      <w:r w:rsidR="003F2D0F" w:rsidRPr="00FD4C39">
        <w:rPr>
          <w:rFonts w:ascii="Times New Roman" w:eastAsia="Calibri" w:hAnsi="Times New Roman" w:cs="Times New Roman"/>
          <w:sz w:val="24"/>
          <w:szCs w:val="24"/>
        </w:rPr>
        <w:t>СУМПС</w:t>
      </w:r>
      <w:r w:rsidRPr="00FD4C39">
        <w:rPr>
          <w:rFonts w:ascii="Times New Roman" w:eastAsia="Calibri" w:hAnsi="Times New Roman" w:cs="Times New Roman"/>
          <w:sz w:val="24"/>
          <w:szCs w:val="24"/>
        </w:rPr>
        <w:t>.</w:t>
      </w:r>
    </w:p>
    <w:p w:rsidR="00EE7799" w:rsidRPr="00FD4C39" w:rsidRDefault="00FE701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КЗЛД</w:t>
      </w:r>
      <w:r w:rsidR="00425BC2">
        <w:rPr>
          <w:rFonts w:ascii="Times New Roman" w:eastAsia="Calibri" w:hAnsi="Times New Roman" w:cs="Times New Roman"/>
          <w:sz w:val="24"/>
          <w:szCs w:val="24"/>
        </w:rPr>
        <w:t xml:space="preserve"> приема </w:t>
      </w:r>
      <w:r w:rsidR="00EE7799" w:rsidRPr="00FD4C39">
        <w:rPr>
          <w:rFonts w:ascii="Times New Roman" w:eastAsia="Calibri" w:hAnsi="Times New Roman" w:cs="Times New Roman"/>
          <w:sz w:val="24"/>
          <w:szCs w:val="24"/>
        </w:rPr>
        <w:t xml:space="preserve">жалбата за основателна в частта й, </w:t>
      </w:r>
      <w:proofErr w:type="spellStart"/>
      <w:r w:rsidR="00EE7799" w:rsidRPr="00FD4C39">
        <w:rPr>
          <w:rFonts w:ascii="Times New Roman" w:eastAsia="Calibri" w:hAnsi="Times New Roman" w:cs="Times New Roman"/>
          <w:sz w:val="24"/>
          <w:szCs w:val="24"/>
        </w:rPr>
        <w:t>касаеща</w:t>
      </w:r>
      <w:proofErr w:type="spellEnd"/>
      <w:r w:rsidR="00EE7799" w:rsidRPr="00FD4C39">
        <w:rPr>
          <w:rFonts w:ascii="Times New Roman" w:eastAsia="Calibri" w:hAnsi="Times New Roman" w:cs="Times New Roman"/>
          <w:sz w:val="24"/>
          <w:szCs w:val="24"/>
        </w:rPr>
        <w:t xml:space="preserve"> обработване на личните данни на жалбоподателя, чрез действия по копиране на личната му карта за целите на ползваната от него услуга </w:t>
      </w:r>
      <w:r w:rsidR="004931E5" w:rsidRPr="00FD4C39">
        <w:rPr>
          <w:rFonts w:ascii="Times New Roman" w:eastAsia="Calibri" w:hAnsi="Times New Roman" w:cs="Times New Roman"/>
          <w:sz w:val="24"/>
          <w:szCs w:val="24"/>
        </w:rPr>
        <w:t>„</w:t>
      </w:r>
      <w:proofErr w:type="spellStart"/>
      <w:r w:rsidR="00EE7799" w:rsidRPr="00FD4C39">
        <w:rPr>
          <w:rFonts w:ascii="Times New Roman" w:eastAsia="Calibri" w:hAnsi="Times New Roman" w:cs="Times New Roman"/>
          <w:sz w:val="24"/>
          <w:szCs w:val="24"/>
        </w:rPr>
        <w:t>тест</w:t>
      </w:r>
      <w:r w:rsidR="00425BC2">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драйв</w:t>
      </w:r>
      <w:proofErr w:type="spellEnd"/>
      <w:r w:rsidR="00CF0F1F"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xml:space="preserve">. Събрани по административната преписка доказателства навеждат на извода, че обработването на личните данни на жалбоподателя е неправомерно, същото не е съобразено с изискванията за допустимост на обработването на лични данни, </w:t>
      </w:r>
      <w:proofErr w:type="spellStart"/>
      <w:r w:rsidR="00EE7799" w:rsidRPr="00FD4C39">
        <w:rPr>
          <w:rFonts w:ascii="Times New Roman" w:eastAsia="Calibri" w:hAnsi="Times New Roman" w:cs="Times New Roman"/>
          <w:sz w:val="24"/>
          <w:szCs w:val="24"/>
        </w:rPr>
        <w:t>обективирани</w:t>
      </w:r>
      <w:proofErr w:type="spellEnd"/>
      <w:r w:rsidR="00EE7799" w:rsidRPr="00FD4C39">
        <w:rPr>
          <w:rFonts w:ascii="Times New Roman" w:eastAsia="Calibri" w:hAnsi="Times New Roman" w:cs="Times New Roman"/>
          <w:sz w:val="24"/>
          <w:szCs w:val="24"/>
        </w:rPr>
        <w:t xml:space="preserve"> в</w:t>
      </w:r>
      <w:r w:rsidR="00884B97">
        <w:rPr>
          <w:rFonts w:ascii="Times New Roman" w:eastAsia="Calibri" w:hAnsi="Times New Roman" w:cs="Times New Roman"/>
          <w:sz w:val="24"/>
          <w:szCs w:val="24"/>
        </w:rPr>
        <w:t xml:space="preserve"> чл. </w:t>
      </w:r>
      <w:r w:rsidR="00EE7799" w:rsidRPr="00FD4C39">
        <w:rPr>
          <w:rFonts w:ascii="Times New Roman" w:eastAsia="Calibri" w:hAnsi="Times New Roman" w:cs="Times New Roman"/>
          <w:sz w:val="24"/>
          <w:szCs w:val="24"/>
        </w:rPr>
        <w:t xml:space="preserve">4 от ЗЗЛД. Действията на дружеството по копиране на личната карта на жалбоподателя за целите на ползваната от него услуга </w:t>
      </w:r>
      <w:r w:rsidR="004931E5" w:rsidRPr="00FD4C39">
        <w:rPr>
          <w:rFonts w:ascii="Times New Roman" w:eastAsia="Calibri" w:hAnsi="Times New Roman" w:cs="Times New Roman"/>
          <w:sz w:val="24"/>
          <w:szCs w:val="24"/>
        </w:rPr>
        <w:t>„</w:t>
      </w:r>
      <w:proofErr w:type="spellStart"/>
      <w:r w:rsidR="00425BC2">
        <w:rPr>
          <w:rFonts w:ascii="Times New Roman" w:eastAsia="Calibri" w:hAnsi="Times New Roman" w:cs="Times New Roman"/>
          <w:sz w:val="24"/>
          <w:szCs w:val="24"/>
        </w:rPr>
        <w:t>тест-</w:t>
      </w:r>
      <w:r w:rsidR="00EE7799" w:rsidRPr="00FD4C39">
        <w:rPr>
          <w:rFonts w:ascii="Times New Roman" w:eastAsia="Calibri" w:hAnsi="Times New Roman" w:cs="Times New Roman"/>
          <w:sz w:val="24"/>
          <w:szCs w:val="24"/>
        </w:rPr>
        <w:t>драйв</w:t>
      </w:r>
      <w:proofErr w:type="spellEnd"/>
      <w:r w:rsidR="00CF0F1F"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xml:space="preserve"> са в нарушение и на разпоредбата на</w:t>
      </w:r>
      <w:r w:rsidR="00884B97">
        <w:rPr>
          <w:rFonts w:ascii="Times New Roman" w:eastAsia="Calibri" w:hAnsi="Times New Roman" w:cs="Times New Roman"/>
          <w:sz w:val="24"/>
          <w:szCs w:val="24"/>
        </w:rPr>
        <w:t xml:space="preserve"> чл. </w:t>
      </w:r>
      <w:r w:rsidR="00EE7799"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00EE7799"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00EE7799" w:rsidRPr="00FD4C39">
        <w:rPr>
          <w:rFonts w:ascii="Times New Roman" w:eastAsia="Calibri" w:hAnsi="Times New Roman" w:cs="Times New Roman"/>
          <w:sz w:val="24"/>
          <w:szCs w:val="24"/>
        </w:rPr>
        <w:t>3 от ЗЗЛД</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 xml:space="preserve">събраните лични данни са </w:t>
      </w:r>
      <w:proofErr w:type="spellStart"/>
      <w:r w:rsidR="00EE7799" w:rsidRPr="00FD4C39">
        <w:rPr>
          <w:rFonts w:ascii="Times New Roman" w:eastAsia="Calibri" w:hAnsi="Times New Roman" w:cs="Times New Roman"/>
          <w:sz w:val="24"/>
          <w:szCs w:val="24"/>
        </w:rPr>
        <w:t>несъотносими</w:t>
      </w:r>
      <w:proofErr w:type="spellEnd"/>
      <w:r w:rsidR="00EE7799" w:rsidRPr="00FD4C39">
        <w:rPr>
          <w:rFonts w:ascii="Times New Roman" w:eastAsia="Calibri" w:hAnsi="Times New Roman" w:cs="Times New Roman"/>
          <w:sz w:val="24"/>
          <w:szCs w:val="24"/>
        </w:rPr>
        <w:t xml:space="preserve"> и надхвърлят целите, за които се обработват същите. В личната карта се съдържат данни за физическото лице в обем</w:t>
      </w:r>
      <w:r w:rsidR="007D508C">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xml:space="preserve"> по-голям от необхо</w:t>
      </w:r>
      <w:r w:rsidR="007D508C">
        <w:rPr>
          <w:rFonts w:ascii="Times New Roman" w:eastAsia="Calibri" w:hAnsi="Times New Roman" w:cs="Times New Roman"/>
          <w:sz w:val="24"/>
          <w:szCs w:val="24"/>
        </w:rPr>
        <w:t>димия за индивидуализирането му</w:t>
      </w:r>
      <w:r w:rsidR="00EE7799" w:rsidRPr="00FD4C39">
        <w:rPr>
          <w:rFonts w:ascii="Times New Roman" w:eastAsia="Calibri" w:hAnsi="Times New Roman" w:cs="Times New Roman"/>
          <w:sz w:val="24"/>
          <w:szCs w:val="24"/>
        </w:rPr>
        <w:t xml:space="preserve"> като ползвател на </w:t>
      </w:r>
      <w:r w:rsidR="007D508C">
        <w:rPr>
          <w:rFonts w:ascii="Times New Roman" w:eastAsia="Calibri" w:hAnsi="Times New Roman" w:cs="Times New Roman"/>
          <w:sz w:val="24"/>
          <w:szCs w:val="24"/>
        </w:rPr>
        <w:t xml:space="preserve">предлаганата </w:t>
      </w:r>
      <w:r w:rsidR="007D508C">
        <w:rPr>
          <w:rFonts w:ascii="Times New Roman" w:eastAsia="Calibri" w:hAnsi="Times New Roman" w:cs="Times New Roman"/>
          <w:sz w:val="24"/>
          <w:szCs w:val="24"/>
        </w:rPr>
        <w:lastRenderedPageBreak/>
        <w:t>услуга. Още повече</w:t>
      </w:r>
      <w:r w:rsidR="00EE7799" w:rsidRPr="00FD4C39">
        <w:rPr>
          <w:rFonts w:ascii="Times New Roman" w:eastAsia="Calibri" w:hAnsi="Times New Roman" w:cs="Times New Roman"/>
          <w:sz w:val="24"/>
          <w:szCs w:val="24"/>
        </w:rPr>
        <w:t xml:space="preserve"> че в представения бланков договор за </w:t>
      </w:r>
      <w:r w:rsidR="004931E5" w:rsidRPr="00FD4C39">
        <w:rPr>
          <w:rFonts w:ascii="Times New Roman" w:eastAsia="Calibri" w:hAnsi="Times New Roman" w:cs="Times New Roman"/>
          <w:sz w:val="24"/>
          <w:szCs w:val="24"/>
        </w:rPr>
        <w:t>„</w:t>
      </w:r>
      <w:proofErr w:type="spellStart"/>
      <w:r w:rsidR="00EE7799" w:rsidRPr="00FD4C39">
        <w:rPr>
          <w:rFonts w:ascii="Times New Roman" w:eastAsia="Calibri" w:hAnsi="Times New Roman" w:cs="Times New Roman"/>
          <w:sz w:val="24"/>
          <w:szCs w:val="24"/>
        </w:rPr>
        <w:t>тест</w:t>
      </w:r>
      <w:r w:rsidR="007D508C">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драйв</w:t>
      </w:r>
      <w:proofErr w:type="spellEnd"/>
      <w:r w:rsidR="00CF0F1F"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xml:space="preserve"> и приложенията към него, в това число и подписания от жалбоподателя документ, ползвателят следва да се индивидуализира с три имена, единен граждански номер, </w:t>
      </w:r>
      <w:proofErr w:type="spellStart"/>
      <w:r w:rsidR="00EE7799" w:rsidRPr="00FD4C39">
        <w:rPr>
          <w:rFonts w:ascii="Times New Roman" w:eastAsia="Calibri" w:hAnsi="Times New Roman" w:cs="Times New Roman"/>
          <w:sz w:val="24"/>
          <w:szCs w:val="24"/>
        </w:rPr>
        <w:t>номер</w:t>
      </w:r>
      <w:proofErr w:type="spellEnd"/>
      <w:r w:rsidR="00EE7799" w:rsidRPr="00FD4C39">
        <w:rPr>
          <w:rFonts w:ascii="Times New Roman" w:eastAsia="Calibri" w:hAnsi="Times New Roman" w:cs="Times New Roman"/>
          <w:sz w:val="24"/>
          <w:szCs w:val="24"/>
        </w:rPr>
        <w:t xml:space="preserve"> и дата на личната карта</w:t>
      </w:r>
      <w:r w:rsidR="003F2D0F" w:rsidRPr="00FD4C39">
        <w:rPr>
          <w:rFonts w:ascii="Times New Roman" w:eastAsia="Calibri" w:hAnsi="Times New Roman" w:cs="Times New Roman"/>
          <w:sz w:val="24"/>
          <w:szCs w:val="24"/>
        </w:rPr>
        <w:t xml:space="preserve">, както и номер и дата за СУМПС. В този случай </w:t>
      </w:r>
      <w:r w:rsidR="00EE7799" w:rsidRPr="00FD4C39">
        <w:rPr>
          <w:rFonts w:ascii="Times New Roman" w:eastAsia="Calibri" w:hAnsi="Times New Roman" w:cs="Times New Roman"/>
          <w:sz w:val="24"/>
          <w:szCs w:val="24"/>
        </w:rPr>
        <w:t>личната карта се ползва само за справка, проверява се от дружеството и се връща незабавно на ползвателя.</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Във връзка с жалбата </w:t>
      </w:r>
      <w:r w:rsidR="007D508C">
        <w:rPr>
          <w:rFonts w:ascii="Times New Roman" w:eastAsia="Calibri" w:hAnsi="Times New Roman" w:cs="Times New Roman"/>
          <w:sz w:val="24"/>
          <w:szCs w:val="24"/>
        </w:rPr>
        <w:t>се постановява</w:t>
      </w:r>
      <w:r w:rsidRPr="00FD4C39">
        <w:rPr>
          <w:rFonts w:ascii="Times New Roman" w:eastAsia="Calibri" w:hAnsi="Times New Roman" w:cs="Times New Roman"/>
          <w:sz w:val="24"/>
          <w:szCs w:val="24"/>
        </w:rPr>
        <w:t xml:space="preserve"> решение на КЗЛД и на дружеството </w:t>
      </w:r>
      <w:r w:rsidR="007D508C">
        <w:rPr>
          <w:rFonts w:ascii="Times New Roman" w:eastAsia="Calibri" w:hAnsi="Times New Roman" w:cs="Times New Roman"/>
          <w:sz w:val="24"/>
          <w:szCs w:val="24"/>
        </w:rPr>
        <w:t>се налага</w:t>
      </w:r>
      <w:r w:rsidRPr="00FD4C39">
        <w:rPr>
          <w:rFonts w:ascii="Times New Roman" w:eastAsia="Calibri" w:hAnsi="Times New Roman" w:cs="Times New Roman"/>
          <w:sz w:val="24"/>
          <w:szCs w:val="24"/>
        </w:rPr>
        <w:t xml:space="preserve"> административно наказание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иму</w:t>
      </w:r>
      <w:r w:rsidR="003F2D0F" w:rsidRPr="00FD4C39">
        <w:rPr>
          <w:rFonts w:ascii="Times New Roman" w:eastAsia="Calibri" w:hAnsi="Times New Roman" w:cs="Times New Roman"/>
          <w:sz w:val="24"/>
          <w:szCs w:val="24"/>
        </w:rPr>
        <w:t>ществена санкция в размер на 12</w:t>
      </w:r>
      <w:r w:rsidR="007D508C">
        <w:rPr>
          <w:rFonts w:ascii="Times New Roman" w:eastAsia="Calibri" w:hAnsi="Times New Roman" w:cs="Times New Roman"/>
          <w:sz w:val="24"/>
          <w:szCs w:val="24"/>
        </w:rPr>
        <w:t> </w:t>
      </w:r>
      <w:r w:rsidRPr="00FD4C39">
        <w:rPr>
          <w:rFonts w:ascii="Times New Roman" w:eastAsia="Calibri" w:hAnsi="Times New Roman" w:cs="Times New Roman"/>
          <w:sz w:val="24"/>
          <w:szCs w:val="24"/>
        </w:rPr>
        <w:t>000</w:t>
      </w:r>
      <w:r w:rsidR="007D508C">
        <w:rPr>
          <w:rFonts w:ascii="Times New Roman" w:eastAsia="Calibri" w:hAnsi="Times New Roman" w:cs="Times New Roman"/>
          <w:sz w:val="24"/>
          <w:szCs w:val="24"/>
        </w:rPr>
        <w:t xml:space="preserve"> </w:t>
      </w:r>
      <w:r w:rsidR="000A1260" w:rsidRPr="00FD4C39">
        <w:rPr>
          <w:rFonts w:ascii="Times New Roman" w:eastAsia="Calibri" w:hAnsi="Times New Roman" w:cs="Times New Roman"/>
          <w:sz w:val="24"/>
          <w:szCs w:val="24"/>
        </w:rPr>
        <w:t>лв.</w:t>
      </w:r>
      <w:r w:rsidRPr="00FD4C39">
        <w:rPr>
          <w:rFonts w:ascii="Times New Roman" w:eastAsia="Calibri" w:hAnsi="Times New Roman" w:cs="Times New Roman"/>
          <w:sz w:val="24"/>
          <w:szCs w:val="24"/>
        </w:rPr>
        <w:t xml:space="preserve"> за нарушение на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ЗЗЛД. Решението не </w:t>
      </w:r>
      <w:r w:rsidR="007D508C">
        <w:rPr>
          <w:rFonts w:ascii="Times New Roman" w:eastAsia="Calibri" w:hAnsi="Times New Roman" w:cs="Times New Roman"/>
          <w:sz w:val="24"/>
          <w:szCs w:val="24"/>
        </w:rPr>
        <w:t>се обжалва, влиза</w:t>
      </w:r>
      <w:r w:rsidRPr="00FD4C39">
        <w:rPr>
          <w:rFonts w:ascii="Times New Roman" w:eastAsia="Calibri" w:hAnsi="Times New Roman" w:cs="Times New Roman"/>
          <w:sz w:val="24"/>
          <w:szCs w:val="24"/>
        </w:rPr>
        <w:t xml:space="preserve"> в законна сила и санкцията </w:t>
      </w:r>
      <w:r w:rsidR="007D508C">
        <w:rPr>
          <w:rFonts w:ascii="Times New Roman" w:eastAsia="Calibri" w:hAnsi="Times New Roman" w:cs="Times New Roman"/>
          <w:sz w:val="24"/>
          <w:szCs w:val="24"/>
        </w:rPr>
        <w:t>се заплаща</w:t>
      </w:r>
      <w:r w:rsidRPr="00FD4C39">
        <w:rPr>
          <w:rFonts w:ascii="Times New Roman" w:eastAsia="Calibri" w:hAnsi="Times New Roman" w:cs="Times New Roman"/>
          <w:sz w:val="24"/>
          <w:szCs w:val="24"/>
        </w:rPr>
        <w:t xml:space="preserve"> от дружеството. </w:t>
      </w:r>
    </w:p>
    <w:p w:rsidR="00955C09" w:rsidRPr="00FD4C39" w:rsidRDefault="00955C09" w:rsidP="007B189E">
      <w:pPr>
        <w:spacing w:after="0" w:line="360" w:lineRule="auto"/>
        <w:ind w:firstLine="709"/>
        <w:jc w:val="both"/>
        <w:rPr>
          <w:rFonts w:ascii="Times New Roman" w:eastAsia="Calibri" w:hAnsi="Times New Roman" w:cs="Times New Roman"/>
          <w:sz w:val="24"/>
          <w:szCs w:val="24"/>
        </w:rPr>
      </w:pP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2. </w:t>
      </w:r>
      <w:r w:rsidR="00FE7018" w:rsidRPr="00FD4C39">
        <w:rPr>
          <w:rFonts w:ascii="Times New Roman" w:eastAsia="Calibri" w:hAnsi="Times New Roman" w:cs="Times New Roman"/>
          <w:sz w:val="24"/>
          <w:szCs w:val="24"/>
        </w:rPr>
        <w:t>КЗЛД</w:t>
      </w:r>
      <w:r w:rsidR="000109FB" w:rsidRPr="00FD4C39">
        <w:rPr>
          <w:rFonts w:ascii="Times New Roman" w:eastAsia="Calibri" w:hAnsi="Times New Roman" w:cs="Times New Roman"/>
          <w:sz w:val="24"/>
          <w:szCs w:val="24"/>
        </w:rPr>
        <w:t xml:space="preserve"> </w:t>
      </w:r>
      <w:r w:rsidR="007D508C">
        <w:rPr>
          <w:rFonts w:ascii="Times New Roman" w:eastAsia="Calibri" w:hAnsi="Times New Roman" w:cs="Times New Roman"/>
          <w:sz w:val="24"/>
          <w:szCs w:val="24"/>
        </w:rPr>
        <w:t>се сезира</w:t>
      </w:r>
      <w:r w:rsidRPr="00FD4C39">
        <w:rPr>
          <w:rFonts w:ascii="Times New Roman" w:eastAsia="Calibri" w:hAnsi="Times New Roman" w:cs="Times New Roman"/>
          <w:sz w:val="24"/>
          <w:szCs w:val="24"/>
        </w:rPr>
        <w:t xml:space="preserve"> с жалба, в </w:t>
      </w:r>
      <w:r w:rsidR="007D508C">
        <w:rPr>
          <w:rFonts w:ascii="Times New Roman" w:eastAsia="Calibri" w:hAnsi="Times New Roman" w:cs="Times New Roman"/>
          <w:sz w:val="24"/>
          <w:szCs w:val="24"/>
        </w:rPr>
        <w:t>която жалбоподателят сочи, че новинарски сайт публикува</w:t>
      </w:r>
      <w:r w:rsidRPr="00FD4C39">
        <w:rPr>
          <w:rFonts w:ascii="Times New Roman" w:eastAsia="Calibri" w:hAnsi="Times New Roman" w:cs="Times New Roman"/>
          <w:sz w:val="24"/>
          <w:szCs w:val="24"/>
        </w:rPr>
        <w:t xml:space="preserve"> статия, към която е приложен документ, съдържащ личните данни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имена, ЕГН, адрес, номер на лична карта. Публикуваният документ представлява погасителен план към договор за кредит.</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От събраните по административната преписка доказателства </w:t>
      </w:r>
      <w:r w:rsidR="007D508C">
        <w:rPr>
          <w:rFonts w:ascii="Times New Roman" w:eastAsia="Calibri" w:hAnsi="Times New Roman" w:cs="Times New Roman"/>
          <w:sz w:val="24"/>
          <w:szCs w:val="24"/>
        </w:rPr>
        <w:t>се установява, че личните данни се обработват</w:t>
      </w:r>
      <w:r w:rsidRPr="00FD4C39">
        <w:rPr>
          <w:rFonts w:ascii="Times New Roman" w:eastAsia="Calibri" w:hAnsi="Times New Roman" w:cs="Times New Roman"/>
          <w:sz w:val="24"/>
          <w:szCs w:val="24"/>
        </w:rPr>
        <w:t xml:space="preserve"> за целите на журналистическата дейност, което е и условие за допустимост и законосъобразност при обработването на данните.</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Съгласно изискванията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23,</w:t>
      </w:r>
      <w:r w:rsidR="00884B97">
        <w:rPr>
          <w:rFonts w:ascii="Times New Roman" w:eastAsia="Calibri" w:hAnsi="Times New Roman" w:cs="Times New Roman"/>
          <w:sz w:val="24"/>
          <w:szCs w:val="24"/>
        </w:rPr>
        <w:t xml:space="preserve"> ал. </w:t>
      </w:r>
      <w:r w:rsidR="007D508C">
        <w:rPr>
          <w:rFonts w:ascii="Times New Roman" w:eastAsia="Calibri" w:hAnsi="Times New Roman" w:cs="Times New Roman"/>
          <w:sz w:val="24"/>
          <w:szCs w:val="24"/>
        </w:rPr>
        <w:t>1 от ЗЗЛД обаче</w:t>
      </w:r>
      <w:r w:rsidRPr="00FD4C39">
        <w:rPr>
          <w:rFonts w:ascii="Times New Roman" w:eastAsia="Calibri" w:hAnsi="Times New Roman" w:cs="Times New Roman"/>
          <w:sz w:val="24"/>
          <w:szCs w:val="24"/>
        </w:rPr>
        <w:t xml:space="preserve"> </w:t>
      </w:r>
      <w:r w:rsidR="000109FB" w:rsidRPr="00FD4C39">
        <w:rPr>
          <w:rFonts w:ascii="Times New Roman" w:eastAsia="Calibri" w:hAnsi="Times New Roman" w:cs="Times New Roman"/>
          <w:sz w:val="24"/>
          <w:szCs w:val="24"/>
        </w:rPr>
        <w:t>АЛД е</w:t>
      </w:r>
      <w:r w:rsidRPr="00FD4C39">
        <w:rPr>
          <w:rFonts w:ascii="Times New Roman" w:eastAsia="Calibri" w:hAnsi="Times New Roman" w:cs="Times New Roman"/>
          <w:sz w:val="24"/>
          <w:szCs w:val="24"/>
        </w:rPr>
        <w:t xml:space="preserve"> задължен да предприеме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В п</w:t>
      </w:r>
      <w:r w:rsidR="007D508C">
        <w:rPr>
          <w:rFonts w:ascii="Times New Roman" w:eastAsia="Calibri" w:hAnsi="Times New Roman" w:cs="Times New Roman"/>
          <w:sz w:val="24"/>
          <w:szCs w:val="24"/>
        </w:rPr>
        <w:t>остановения административен акт</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7D508C">
        <w:rPr>
          <w:rFonts w:ascii="Times New Roman" w:eastAsia="Calibri" w:hAnsi="Times New Roman" w:cs="Times New Roman"/>
          <w:sz w:val="24"/>
          <w:szCs w:val="24"/>
        </w:rPr>
        <w:t xml:space="preserve"> приема</w:t>
      </w:r>
      <w:r w:rsidRPr="00FD4C39">
        <w:rPr>
          <w:rFonts w:ascii="Times New Roman" w:eastAsia="Calibri" w:hAnsi="Times New Roman" w:cs="Times New Roman"/>
          <w:sz w:val="24"/>
          <w:szCs w:val="24"/>
        </w:rPr>
        <w:t xml:space="preserve">, че </w:t>
      </w:r>
      <w:r w:rsidR="00580030" w:rsidRPr="00FD4C39">
        <w:rPr>
          <w:rFonts w:ascii="Times New Roman" w:eastAsia="Calibri" w:hAnsi="Times New Roman" w:cs="Times New Roman"/>
          <w:sz w:val="24"/>
          <w:szCs w:val="24"/>
        </w:rPr>
        <w:t>АЛД</w:t>
      </w:r>
      <w:r w:rsidR="000109FB"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не е предприел необходимите мерки за защита на данните от неправомерен достъп до тях. </w:t>
      </w:r>
    </w:p>
    <w:p w:rsidR="00955C09" w:rsidRPr="00FD4C39" w:rsidRDefault="00955C09" w:rsidP="007B189E">
      <w:pPr>
        <w:spacing w:after="0" w:line="360" w:lineRule="auto"/>
        <w:ind w:firstLine="709"/>
        <w:jc w:val="both"/>
        <w:rPr>
          <w:rFonts w:ascii="Times New Roman" w:eastAsia="Calibri" w:hAnsi="Times New Roman" w:cs="Times New Roman"/>
          <w:sz w:val="24"/>
          <w:szCs w:val="24"/>
        </w:rPr>
      </w:pP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3. Жалбоподател сезира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с жалба, в която твърди, че свързаните с него лични данни са обработвани от дадена община чрез трикратното изписване на ЕГН в </w:t>
      </w:r>
      <w:r w:rsidR="00D13251" w:rsidRPr="00FD4C39">
        <w:rPr>
          <w:rFonts w:ascii="Times New Roman" w:eastAsia="Calibri" w:hAnsi="Times New Roman" w:cs="Times New Roman"/>
          <w:sz w:val="24"/>
          <w:szCs w:val="24"/>
        </w:rPr>
        <w:t>констативен акт (</w:t>
      </w:r>
      <w:r w:rsidR="000109FB" w:rsidRPr="00FD4C39">
        <w:rPr>
          <w:rFonts w:ascii="Times New Roman" w:eastAsia="Calibri" w:hAnsi="Times New Roman" w:cs="Times New Roman"/>
          <w:sz w:val="24"/>
          <w:szCs w:val="24"/>
        </w:rPr>
        <w:t>КА</w:t>
      </w:r>
      <w:r w:rsidR="00D13251"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К</w:t>
      </w:r>
      <w:r w:rsidR="000109FB" w:rsidRPr="00FD4C39">
        <w:rPr>
          <w:rFonts w:ascii="Times New Roman" w:eastAsia="Calibri" w:hAnsi="Times New Roman" w:cs="Times New Roman"/>
          <w:sz w:val="24"/>
          <w:szCs w:val="24"/>
        </w:rPr>
        <w:t xml:space="preserve">А </w:t>
      </w:r>
      <w:r w:rsidR="007D508C">
        <w:rPr>
          <w:rFonts w:ascii="Times New Roman" w:eastAsia="Calibri" w:hAnsi="Times New Roman" w:cs="Times New Roman"/>
          <w:sz w:val="24"/>
          <w:szCs w:val="24"/>
        </w:rPr>
        <w:t xml:space="preserve">е </w:t>
      </w:r>
      <w:r w:rsidRPr="00FD4C39">
        <w:rPr>
          <w:rFonts w:ascii="Times New Roman" w:eastAsia="Calibri" w:hAnsi="Times New Roman" w:cs="Times New Roman"/>
          <w:sz w:val="24"/>
          <w:szCs w:val="24"/>
        </w:rPr>
        <w:t xml:space="preserve">залепен на имота на жалбоподателя </w:t>
      </w:r>
      <w:r w:rsidR="000109FB" w:rsidRPr="00FD4C39">
        <w:rPr>
          <w:rFonts w:ascii="Times New Roman" w:eastAsia="Calibri" w:hAnsi="Times New Roman" w:cs="Times New Roman"/>
          <w:sz w:val="24"/>
          <w:szCs w:val="24"/>
        </w:rPr>
        <w:t>и</w:t>
      </w:r>
      <w:r w:rsidRPr="00FD4C39">
        <w:rPr>
          <w:rFonts w:ascii="Times New Roman" w:eastAsia="Calibri" w:hAnsi="Times New Roman" w:cs="Times New Roman"/>
          <w:sz w:val="24"/>
          <w:szCs w:val="24"/>
        </w:rPr>
        <w:t xml:space="preserve"> е поставен и на специално табло за съобщения в населеното място. Жалбоподателят е известен от сво</w:t>
      </w:r>
      <w:r w:rsidR="00D13251" w:rsidRPr="00FD4C39">
        <w:rPr>
          <w:rFonts w:ascii="Times New Roman" w:eastAsia="Calibri" w:hAnsi="Times New Roman" w:cs="Times New Roman"/>
          <w:sz w:val="24"/>
          <w:szCs w:val="24"/>
        </w:rPr>
        <w:t>и</w:t>
      </w:r>
      <w:r w:rsidRPr="00FD4C39">
        <w:rPr>
          <w:rFonts w:ascii="Times New Roman" w:eastAsia="Calibri" w:hAnsi="Times New Roman" w:cs="Times New Roman"/>
          <w:sz w:val="24"/>
          <w:szCs w:val="24"/>
        </w:rPr>
        <w:t xml:space="preserve"> познати, че е търсен чрез </w:t>
      </w:r>
      <w:r w:rsidR="000109FB" w:rsidRPr="00FD4C39">
        <w:rPr>
          <w:rFonts w:ascii="Times New Roman" w:eastAsia="Calibri" w:hAnsi="Times New Roman" w:cs="Times New Roman"/>
          <w:sz w:val="24"/>
          <w:szCs w:val="24"/>
        </w:rPr>
        <w:t>органите</w:t>
      </w:r>
      <w:r w:rsidRPr="00FD4C39">
        <w:rPr>
          <w:rFonts w:ascii="Times New Roman" w:eastAsia="Calibri" w:hAnsi="Times New Roman" w:cs="Times New Roman"/>
          <w:sz w:val="24"/>
          <w:szCs w:val="24"/>
        </w:rPr>
        <w:t xml:space="preserve"> на полицията, а личните му </w:t>
      </w:r>
      <w:r w:rsidR="007D508C">
        <w:rPr>
          <w:rFonts w:ascii="Times New Roman" w:eastAsia="Calibri" w:hAnsi="Times New Roman" w:cs="Times New Roman"/>
          <w:sz w:val="24"/>
          <w:szCs w:val="24"/>
        </w:rPr>
        <w:t>данни са разлепени из града и върху</w:t>
      </w:r>
      <w:r w:rsidRPr="00FD4C39">
        <w:rPr>
          <w:rFonts w:ascii="Times New Roman" w:eastAsia="Calibri" w:hAnsi="Times New Roman" w:cs="Times New Roman"/>
          <w:sz w:val="24"/>
          <w:szCs w:val="24"/>
        </w:rPr>
        <w:t xml:space="preserve"> имота, който притежава.</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От събраните по администр</w:t>
      </w:r>
      <w:r w:rsidR="007D508C">
        <w:rPr>
          <w:rFonts w:ascii="Times New Roman" w:eastAsia="Calibri" w:hAnsi="Times New Roman" w:cs="Times New Roman"/>
          <w:sz w:val="24"/>
          <w:szCs w:val="24"/>
        </w:rPr>
        <w:t>ативната преписка доказателства</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7D508C">
        <w:rPr>
          <w:rFonts w:ascii="Times New Roman" w:eastAsia="Calibri" w:hAnsi="Times New Roman" w:cs="Times New Roman"/>
          <w:sz w:val="24"/>
          <w:szCs w:val="24"/>
        </w:rPr>
        <w:t xml:space="preserve"> приема</w:t>
      </w:r>
      <w:r w:rsidRPr="00FD4C39">
        <w:rPr>
          <w:rFonts w:ascii="Times New Roman" w:eastAsia="Calibri" w:hAnsi="Times New Roman" w:cs="Times New Roman"/>
          <w:sz w:val="24"/>
          <w:szCs w:val="24"/>
        </w:rPr>
        <w:t xml:space="preserve">, че </w:t>
      </w:r>
      <w:r w:rsidR="000109FB" w:rsidRPr="00FD4C39">
        <w:rPr>
          <w:rFonts w:ascii="Times New Roman" w:eastAsia="Calibri" w:hAnsi="Times New Roman" w:cs="Times New Roman"/>
          <w:sz w:val="24"/>
          <w:szCs w:val="24"/>
        </w:rPr>
        <w:t>АЛД е</w:t>
      </w:r>
      <w:r w:rsidR="007D508C">
        <w:rPr>
          <w:rFonts w:ascii="Times New Roman" w:eastAsia="Calibri" w:hAnsi="Times New Roman" w:cs="Times New Roman"/>
          <w:sz w:val="24"/>
          <w:szCs w:val="24"/>
        </w:rPr>
        <w:t xml:space="preserve"> в нарушение на</w:t>
      </w:r>
      <w:r w:rsidRPr="00FD4C39">
        <w:rPr>
          <w:rFonts w:ascii="Times New Roman" w:eastAsia="Calibri" w:hAnsi="Times New Roman" w:cs="Times New Roman"/>
          <w:sz w:val="24"/>
          <w:szCs w:val="24"/>
        </w:rPr>
        <w:t xml:space="preserve">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3 от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а именно принципа на добросъвестност и законосъобразност и пропорционалност.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не споделя твърдението на ответната страна, че съставеният </w:t>
      </w:r>
      <w:r w:rsidR="000109FB" w:rsidRPr="00FD4C39">
        <w:rPr>
          <w:rFonts w:ascii="Times New Roman" w:eastAsia="Calibri" w:hAnsi="Times New Roman" w:cs="Times New Roman"/>
          <w:sz w:val="24"/>
          <w:szCs w:val="24"/>
        </w:rPr>
        <w:t>КА</w:t>
      </w:r>
      <w:r w:rsidR="007D508C">
        <w:rPr>
          <w:rFonts w:ascii="Times New Roman" w:eastAsia="Calibri" w:hAnsi="Times New Roman" w:cs="Times New Roman"/>
          <w:sz w:val="24"/>
          <w:szCs w:val="24"/>
        </w:rPr>
        <w:t xml:space="preserve"> е съобщен на лицето </w:t>
      </w:r>
      <w:r w:rsidRPr="00FD4C39">
        <w:rPr>
          <w:rFonts w:ascii="Times New Roman" w:eastAsia="Calibri" w:hAnsi="Times New Roman" w:cs="Times New Roman"/>
          <w:sz w:val="24"/>
          <w:szCs w:val="24"/>
        </w:rPr>
        <w:lastRenderedPageBreak/>
        <w:t xml:space="preserve">съгласно изискванията на </w:t>
      </w:r>
      <w:r w:rsidR="000109F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Допълнителните разпоредби на </w:t>
      </w:r>
      <w:r w:rsidR="00E05775" w:rsidRPr="00FD4C39">
        <w:rPr>
          <w:rFonts w:ascii="Times New Roman" w:eastAsia="Calibri" w:hAnsi="Times New Roman" w:cs="Times New Roman"/>
          <w:sz w:val="24"/>
          <w:szCs w:val="24"/>
        </w:rPr>
        <w:t>Закона за устройство на територията (</w:t>
      </w:r>
      <w:r w:rsidR="000109FB" w:rsidRPr="00FD4C39">
        <w:rPr>
          <w:rFonts w:ascii="Times New Roman" w:eastAsia="Calibri" w:hAnsi="Times New Roman" w:cs="Times New Roman"/>
          <w:sz w:val="24"/>
          <w:szCs w:val="24"/>
        </w:rPr>
        <w:t>ЗУТ</w:t>
      </w:r>
      <w:r w:rsidR="00E0577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За </w:t>
      </w:r>
      <w:r w:rsidR="00E05775" w:rsidRPr="00FD4C39">
        <w:rPr>
          <w:rFonts w:ascii="Times New Roman" w:eastAsia="Calibri" w:hAnsi="Times New Roman" w:cs="Times New Roman"/>
          <w:sz w:val="24"/>
          <w:szCs w:val="24"/>
        </w:rPr>
        <w:t>АЛД</w:t>
      </w:r>
      <w:r w:rsidR="007D508C">
        <w:rPr>
          <w:rFonts w:ascii="Times New Roman" w:eastAsia="Calibri" w:hAnsi="Times New Roman" w:cs="Times New Roman"/>
          <w:sz w:val="24"/>
          <w:szCs w:val="24"/>
        </w:rPr>
        <w:t xml:space="preserve"> е </w:t>
      </w:r>
      <w:r w:rsidRPr="00FD4C39">
        <w:rPr>
          <w:rFonts w:ascii="Times New Roman" w:eastAsia="Calibri" w:hAnsi="Times New Roman" w:cs="Times New Roman"/>
          <w:sz w:val="24"/>
          <w:szCs w:val="24"/>
        </w:rPr>
        <w:t xml:space="preserve">известен актуален адрес </w:t>
      </w:r>
      <w:r w:rsidR="007D508C">
        <w:rPr>
          <w:rFonts w:ascii="Times New Roman" w:eastAsia="Calibri" w:hAnsi="Times New Roman" w:cs="Times New Roman"/>
          <w:sz w:val="24"/>
          <w:szCs w:val="24"/>
        </w:rPr>
        <w:t>на лицето, поради което не се налага</w:t>
      </w:r>
      <w:r w:rsidRPr="00FD4C39">
        <w:rPr>
          <w:rFonts w:ascii="Times New Roman" w:eastAsia="Calibri" w:hAnsi="Times New Roman" w:cs="Times New Roman"/>
          <w:sz w:val="24"/>
          <w:szCs w:val="24"/>
        </w:rPr>
        <w:t xml:space="preserve"> съобщаването да се извърши по този начин.</w:t>
      </w:r>
    </w:p>
    <w:p w:rsidR="00955C09" w:rsidRPr="00FD4C39" w:rsidRDefault="00955C09" w:rsidP="007B189E">
      <w:pPr>
        <w:spacing w:after="0" w:line="360" w:lineRule="auto"/>
        <w:ind w:firstLine="709"/>
        <w:jc w:val="both"/>
        <w:rPr>
          <w:rFonts w:ascii="Times New Roman" w:hAnsi="Times New Roman" w:cs="Times New Roman"/>
          <w:sz w:val="24"/>
          <w:szCs w:val="24"/>
        </w:rPr>
      </w:pP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4. Жалбоподател уведомява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че на 31.01.2014</w:t>
      </w:r>
      <w:r w:rsidR="004D42A2">
        <w:rPr>
          <w:rFonts w:ascii="Times New Roman" w:hAnsi="Times New Roman" w:cs="Times New Roman"/>
          <w:sz w:val="24"/>
          <w:szCs w:val="24"/>
        </w:rPr>
        <w:t> г.</w:t>
      </w:r>
      <w:r w:rsidR="007D508C">
        <w:rPr>
          <w:rFonts w:ascii="Times New Roman" w:hAnsi="Times New Roman" w:cs="Times New Roman"/>
          <w:sz w:val="24"/>
          <w:szCs w:val="24"/>
        </w:rPr>
        <w:t>, получава</w:t>
      </w:r>
      <w:r w:rsidRPr="00FD4C39">
        <w:rPr>
          <w:rFonts w:ascii="Times New Roman" w:hAnsi="Times New Roman" w:cs="Times New Roman"/>
          <w:sz w:val="24"/>
          <w:szCs w:val="24"/>
        </w:rPr>
        <w:t xml:space="preserve"> ревизионен доклад, заедно </w:t>
      </w:r>
      <w:r w:rsidR="007D508C">
        <w:rPr>
          <w:rFonts w:ascii="Times New Roman" w:hAnsi="Times New Roman" w:cs="Times New Roman"/>
          <w:sz w:val="24"/>
          <w:szCs w:val="24"/>
        </w:rPr>
        <w:t>с приложенията към него,</w:t>
      </w:r>
      <w:r w:rsidRPr="00FD4C39">
        <w:rPr>
          <w:rFonts w:ascii="Times New Roman" w:hAnsi="Times New Roman" w:cs="Times New Roman"/>
          <w:sz w:val="24"/>
          <w:szCs w:val="24"/>
        </w:rPr>
        <w:t xml:space="preserve"> от Териториална дирекция на Националната агенция за приходите (ТД на НАП). Спрямо жалбоподателя, в качеството му на физическо лице</w:t>
      </w:r>
      <w:r w:rsidR="007D508C">
        <w:rPr>
          <w:rFonts w:ascii="Times New Roman" w:hAnsi="Times New Roman" w:cs="Times New Roman"/>
          <w:sz w:val="24"/>
          <w:szCs w:val="24"/>
        </w:rPr>
        <w:t>,</w:t>
      </w:r>
      <w:r w:rsidRPr="00FD4C39">
        <w:rPr>
          <w:rFonts w:ascii="Times New Roman" w:hAnsi="Times New Roman" w:cs="Times New Roman"/>
          <w:sz w:val="24"/>
          <w:szCs w:val="24"/>
        </w:rPr>
        <w:t xml:space="preserve"> </w:t>
      </w:r>
      <w:r w:rsidR="007D508C">
        <w:rPr>
          <w:rFonts w:ascii="Times New Roman" w:hAnsi="Times New Roman" w:cs="Times New Roman"/>
          <w:sz w:val="24"/>
          <w:szCs w:val="24"/>
        </w:rPr>
        <w:t>се извършва</w:t>
      </w:r>
      <w:r w:rsidRPr="00FD4C39">
        <w:rPr>
          <w:rFonts w:ascii="Times New Roman" w:hAnsi="Times New Roman" w:cs="Times New Roman"/>
          <w:sz w:val="24"/>
          <w:szCs w:val="24"/>
        </w:rPr>
        <w:t xml:space="preserve"> ревизия и в хода на ревизионното производство данъчните служител</w:t>
      </w:r>
      <w:r w:rsidR="007D508C">
        <w:rPr>
          <w:rFonts w:ascii="Times New Roman" w:hAnsi="Times New Roman" w:cs="Times New Roman"/>
          <w:sz w:val="24"/>
          <w:szCs w:val="24"/>
        </w:rPr>
        <w:t>и изискват</w:t>
      </w:r>
      <w:r w:rsidRPr="00FD4C39">
        <w:rPr>
          <w:rFonts w:ascii="Times New Roman" w:hAnsi="Times New Roman" w:cs="Times New Roman"/>
          <w:sz w:val="24"/>
          <w:szCs w:val="24"/>
        </w:rPr>
        <w:t xml:space="preserve"> предоставяне на документи и писмени обяснения от три счетоводни кантори, упражняващи дейност, сходна с предмета на дейност на жалбоподателя. От приложените копия на въпросните искания е видно, че същите съдържат неговите имена, ЕГН, адрес за кореспонденция, адрес по местоживеене, както и имейл адрес. </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Разгледана по същество, жалбата </w:t>
      </w:r>
      <w:r w:rsidR="007D508C">
        <w:rPr>
          <w:rFonts w:ascii="Times New Roman" w:hAnsi="Times New Roman" w:cs="Times New Roman"/>
          <w:sz w:val="24"/>
          <w:szCs w:val="24"/>
        </w:rPr>
        <w:t>се приема</w:t>
      </w:r>
      <w:r w:rsidRPr="00FD4C39">
        <w:rPr>
          <w:rFonts w:ascii="Times New Roman" w:hAnsi="Times New Roman" w:cs="Times New Roman"/>
          <w:sz w:val="24"/>
          <w:szCs w:val="24"/>
        </w:rPr>
        <w:t xml:space="preserve"> за основателна, тъй като събраните по административната преписка доказателства сочат, че личните данни на жалбоподателя са обработени от </w:t>
      </w:r>
      <w:r w:rsidR="00580030" w:rsidRPr="00FD4C39">
        <w:rPr>
          <w:rFonts w:ascii="Times New Roman" w:hAnsi="Times New Roman" w:cs="Times New Roman"/>
          <w:sz w:val="24"/>
          <w:szCs w:val="24"/>
        </w:rPr>
        <w:t>АЛД</w:t>
      </w:r>
      <w:r w:rsidRPr="00FD4C39">
        <w:rPr>
          <w:rFonts w:ascii="Times New Roman" w:hAnsi="Times New Roman" w:cs="Times New Roman"/>
          <w:sz w:val="24"/>
          <w:szCs w:val="24"/>
        </w:rPr>
        <w:t xml:space="preserve"> в нарушение на принципа за пропорционалност при обработването, изразяващо се в разпространяването им при изискване на информация от трети лица</w:t>
      </w:r>
      <w:r w:rsidR="00654C6A" w:rsidRPr="00FD4C39">
        <w:rPr>
          <w:rFonts w:ascii="Times New Roman" w:hAnsi="Times New Roman" w:cs="Times New Roman"/>
          <w:sz w:val="24"/>
          <w:szCs w:val="24"/>
        </w:rPr>
        <w:t xml:space="preserve">, а именно </w:t>
      </w:r>
      <w:r w:rsidRPr="00FD4C39">
        <w:rPr>
          <w:rFonts w:ascii="Times New Roman" w:hAnsi="Times New Roman" w:cs="Times New Roman"/>
          <w:sz w:val="24"/>
          <w:szCs w:val="24"/>
        </w:rPr>
        <w:t>три</w:t>
      </w:r>
      <w:r w:rsidR="00654C6A" w:rsidRPr="00FD4C39">
        <w:rPr>
          <w:rFonts w:ascii="Times New Roman" w:hAnsi="Times New Roman" w:cs="Times New Roman"/>
          <w:sz w:val="24"/>
          <w:szCs w:val="24"/>
        </w:rPr>
        <w:t>те</w:t>
      </w:r>
      <w:r w:rsidRPr="00FD4C39">
        <w:rPr>
          <w:rFonts w:ascii="Times New Roman" w:hAnsi="Times New Roman" w:cs="Times New Roman"/>
          <w:sz w:val="24"/>
          <w:szCs w:val="24"/>
        </w:rPr>
        <w:t xml:space="preserve"> счетоводни кантори. Обемът на разпространените лични данни дава възможност за пряко индивидуализиране на жалб</w:t>
      </w:r>
      <w:r w:rsidR="007D508C">
        <w:rPr>
          <w:rFonts w:ascii="Times New Roman" w:hAnsi="Times New Roman" w:cs="Times New Roman"/>
          <w:sz w:val="24"/>
          <w:szCs w:val="24"/>
        </w:rPr>
        <w:t>оподателя. Нещо повече</w:t>
      </w:r>
      <w:r w:rsidR="004D42A2">
        <w:rPr>
          <w:rFonts w:ascii="Times New Roman" w:hAnsi="Times New Roman" w:cs="Times New Roman"/>
          <w:sz w:val="24"/>
          <w:szCs w:val="24"/>
        </w:rPr>
        <w:t xml:space="preserve"> – </w:t>
      </w:r>
      <w:r w:rsidR="00C33ED5">
        <w:rPr>
          <w:rFonts w:ascii="Times New Roman" w:hAnsi="Times New Roman" w:cs="Times New Roman"/>
          <w:sz w:val="24"/>
          <w:szCs w:val="24"/>
        </w:rPr>
        <w:t>запитването, отправяно</w:t>
      </w:r>
      <w:r w:rsidRPr="00FD4C39">
        <w:rPr>
          <w:rFonts w:ascii="Times New Roman" w:hAnsi="Times New Roman" w:cs="Times New Roman"/>
          <w:sz w:val="24"/>
          <w:szCs w:val="24"/>
        </w:rPr>
        <w:t xml:space="preserve"> до посочените дружества, съдържа и информация, свързана с извършваната ревизия, която сама по себе си не представлява лични данни, но която, обвързана с трите имена и еди</w:t>
      </w:r>
      <w:r w:rsidR="00C33ED5">
        <w:rPr>
          <w:rFonts w:ascii="Times New Roman" w:hAnsi="Times New Roman" w:cs="Times New Roman"/>
          <w:sz w:val="24"/>
          <w:szCs w:val="24"/>
        </w:rPr>
        <w:t>н</w:t>
      </w:r>
      <w:r w:rsidRPr="00FD4C39">
        <w:rPr>
          <w:rFonts w:ascii="Times New Roman" w:hAnsi="Times New Roman" w:cs="Times New Roman"/>
          <w:sz w:val="24"/>
          <w:szCs w:val="24"/>
        </w:rPr>
        <w:t xml:space="preserve">ния граждански номер на физическото лице, дава възможност за идентифицирането му по безспорен начин. </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Разпространяването на лични данни представ</w:t>
      </w:r>
      <w:r w:rsidR="00C33ED5">
        <w:rPr>
          <w:rFonts w:ascii="Times New Roman" w:hAnsi="Times New Roman" w:cs="Times New Roman"/>
          <w:sz w:val="24"/>
          <w:szCs w:val="24"/>
        </w:rPr>
        <w:t>лява обработване на лични данни</w:t>
      </w:r>
      <w:r w:rsidRPr="00FD4C39">
        <w:rPr>
          <w:rFonts w:ascii="Times New Roman" w:hAnsi="Times New Roman" w:cs="Times New Roman"/>
          <w:sz w:val="24"/>
          <w:szCs w:val="24"/>
        </w:rPr>
        <w:t xml:space="preserve"> съгласно легалната дефиниция, дадена в </w:t>
      </w:r>
      <w:r w:rsidR="000109FB" w:rsidRPr="00FD4C39">
        <w:rPr>
          <w:rFonts w:ascii="Times New Roman" w:hAnsi="Times New Roman" w:cs="Times New Roman"/>
          <w:sz w:val="24"/>
          <w:szCs w:val="24"/>
        </w:rPr>
        <w:t>§ </w:t>
      </w:r>
      <w:r w:rsidRPr="00FD4C39">
        <w:rPr>
          <w:rFonts w:ascii="Times New Roman" w:hAnsi="Times New Roman" w:cs="Times New Roman"/>
          <w:sz w:val="24"/>
          <w:szCs w:val="24"/>
        </w:rPr>
        <w:t>1 от Допълнителните разпоредби (ДР) на ЗЗЛД. Разпространявайки личните данни на жалбоподателя, при търсене на информация за размера на обичайните такси за дейността по счетоводното обслужване, на юридически лица</w:t>
      </w:r>
      <w:r w:rsidR="00CC4655" w:rsidRPr="00FD4C39">
        <w:rPr>
          <w:rFonts w:ascii="Times New Roman" w:hAnsi="Times New Roman" w:cs="Times New Roman"/>
          <w:sz w:val="24"/>
          <w:szCs w:val="24"/>
        </w:rPr>
        <w:t xml:space="preserve"> (ЮЛ)</w:t>
      </w:r>
      <w:r w:rsidRPr="00FD4C39">
        <w:rPr>
          <w:rFonts w:ascii="Times New Roman" w:hAnsi="Times New Roman" w:cs="Times New Roman"/>
          <w:sz w:val="24"/>
          <w:szCs w:val="24"/>
        </w:rPr>
        <w:t xml:space="preserve"> и еднолични търговци</w:t>
      </w:r>
      <w:r w:rsidR="00CC4655" w:rsidRPr="00FD4C39">
        <w:rPr>
          <w:rFonts w:ascii="Times New Roman" w:hAnsi="Times New Roman" w:cs="Times New Roman"/>
          <w:sz w:val="24"/>
          <w:szCs w:val="24"/>
        </w:rPr>
        <w:t xml:space="preserve"> (ЕТ)</w:t>
      </w:r>
      <w:r w:rsidRPr="00FD4C39">
        <w:rPr>
          <w:rFonts w:ascii="Times New Roman" w:hAnsi="Times New Roman" w:cs="Times New Roman"/>
          <w:sz w:val="24"/>
          <w:szCs w:val="24"/>
        </w:rPr>
        <w:t xml:space="preserve">, регистрирани и нерегистрирани по </w:t>
      </w:r>
      <w:r w:rsidR="00FE7018" w:rsidRPr="00FD4C39">
        <w:rPr>
          <w:rFonts w:ascii="Times New Roman" w:hAnsi="Times New Roman" w:cs="Times New Roman"/>
          <w:sz w:val="24"/>
          <w:szCs w:val="24"/>
        </w:rPr>
        <w:t>З</w:t>
      </w:r>
      <w:r w:rsidR="00117CA5" w:rsidRPr="00FD4C39">
        <w:rPr>
          <w:rFonts w:ascii="Times New Roman" w:hAnsi="Times New Roman" w:cs="Times New Roman"/>
          <w:sz w:val="24"/>
          <w:szCs w:val="24"/>
        </w:rPr>
        <w:t>акона</w:t>
      </w:r>
      <w:r w:rsidRPr="00FD4C39">
        <w:rPr>
          <w:rFonts w:ascii="Times New Roman" w:hAnsi="Times New Roman" w:cs="Times New Roman"/>
          <w:sz w:val="24"/>
          <w:szCs w:val="24"/>
        </w:rPr>
        <w:t xml:space="preserve"> за д</w:t>
      </w:r>
      <w:r w:rsidR="00C33ED5">
        <w:rPr>
          <w:rFonts w:ascii="Times New Roman" w:hAnsi="Times New Roman" w:cs="Times New Roman"/>
          <w:sz w:val="24"/>
          <w:szCs w:val="24"/>
        </w:rPr>
        <w:t>анък върху добавената стойност</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за периода 2009</w:t>
      </w:r>
      <w:r w:rsidR="00C33ED5">
        <w:rPr>
          <w:rFonts w:ascii="Times New Roman" w:hAnsi="Times New Roman" w:cs="Times New Roman"/>
          <w:sz w:val="24"/>
          <w:szCs w:val="24"/>
        </w:rPr>
        <w:t>–</w:t>
      </w:r>
      <w:r w:rsidRPr="00FD4C39">
        <w:rPr>
          <w:rFonts w:ascii="Times New Roman" w:hAnsi="Times New Roman" w:cs="Times New Roman"/>
          <w:sz w:val="24"/>
          <w:szCs w:val="24"/>
        </w:rPr>
        <w:t>2011</w:t>
      </w:r>
      <w:r w:rsidR="004D42A2">
        <w:rPr>
          <w:rFonts w:ascii="Times New Roman" w:hAnsi="Times New Roman" w:cs="Times New Roman"/>
          <w:sz w:val="24"/>
          <w:szCs w:val="24"/>
        </w:rPr>
        <w:t> г.</w:t>
      </w:r>
      <w:r w:rsidRPr="00FD4C39">
        <w:rPr>
          <w:rFonts w:ascii="Times New Roman" w:hAnsi="Times New Roman" w:cs="Times New Roman"/>
          <w:sz w:val="24"/>
          <w:szCs w:val="24"/>
        </w:rPr>
        <w:t>, ТД на НАП</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 xml:space="preserve">поделение на Националната </w:t>
      </w:r>
      <w:r w:rsidR="00C33ED5">
        <w:rPr>
          <w:rFonts w:ascii="Times New Roman" w:hAnsi="Times New Roman" w:cs="Times New Roman"/>
          <w:sz w:val="24"/>
          <w:szCs w:val="24"/>
        </w:rPr>
        <w:t>агенция за приходите, нарушава</w:t>
      </w:r>
      <w:r w:rsidRPr="00FD4C39">
        <w:rPr>
          <w:rFonts w:ascii="Times New Roman" w:hAnsi="Times New Roman" w:cs="Times New Roman"/>
          <w:sz w:val="24"/>
          <w:szCs w:val="24"/>
        </w:rPr>
        <w:t xml:space="preserve"> принципа на пропорционалност, посочен в</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2,</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2,</w:t>
      </w:r>
      <w:r w:rsidR="00884B97">
        <w:rPr>
          <w:rFonts w:ascii="Times New Roman" w:hAnsi="Times New Roman" w:cs="Times New Roman"/>
          <w:sz w:val="24"/>
          <w:szCs w:val="24"/>
        </w:rPr>
        <w:t xml:space="preserve"> т. </w:t>
      </w:r>
      <w:r w:rsidRPr="00FD4C39">
        <w:rPr>
          <w:rFonts w:ascii="Times New Roman" w:hAnsi="Times New Roman" w:cs="Times New Roman"/>
          <w:sz w:val="24"/>
          <w:szCs w:val="24"/>
        </w:rPr>
        <w:t>2 от ЗЗЛД.</w:t>
      </w:r>
    </w:p>
    <w:p w:rsidR="00EE7799" w:rsidRPr="00FD4C39" w:rsidRDefault="00FE7018"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КЗЛД</w:t>
      </w:r>
      <w:r w:rsidR="00EE7799" w:rsidRPr="00FD4C39">
        <w:rPr>
          <w:rFonts w:ascii="Times New Roman" w:hAnsi="Times New Roman" w:cs="Times New Roman"/>
          <w:sz w:val="24"/>
          <w:szCs w:val="24"/>
        </w:rPr>
        <w:t>, на основание</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38,</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2 и</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42,</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 xml:space="preserve">1 от ЗЗЛД, взема решение за налагане на ТД на НАП, поделение на Националната агенция за приходите, </w:t>
      </w:r>
      <w:r w:rsidR="00EE7799" w:rsidRPr="00FD4C39">
        <w:rPr>
          <w:rFonts w:ascii="Times New Roman" w:hAnsi="Times New Roman" w:cs="Times New Roman"/>
          <w:sz w:val="24"/>
          <w:szCs w:val="24"/>
        </w:rPr>
        <w:lastRenderedPageBreak/>
        <w:t>административно наказание</w:t>
      </w:r>
      <w:r w:rsidR="004D42A2">
        <w:rPr>
          <w:rFonts w:ascii="Times New Roman" w:hAnsi="Times New Roman" w:cs="Times New Roman"/>
          <w:sz w:val="24"/>
          <w:szCs w:val="24"/>
        </w:rPr>
        <w:t xml:space="preserve"> – </w:t>
      </w:r>
      <w:r w:rsidR="00EE7799" w:rsidRPr="00FD4C39">
        <w:rPr>
          <w:rFonts w:ascii="Times New Roman" w:hAnsi="Times New Roman" w:cs="Times New Roman"/>
          <w:sz w:val="24"/>
          <w:szCs w:val="24"/>
        </w:rPr>
        <w:t>имущ</w:t>
      </w:r>
      <w:r w:rsidR="002C2CFE" w:rsidRPr="00FD4C39">
        <w:rPr>
          <w:rFonts w:ascii="Times New Roman" w:hAnsi="Times New Roman" w:cs="Times New Roman"/>
          <w:sz w:val="24"/>
          <w:szCs w:val="24"/>
        </w:rPr>
        <w:t>ествена санкция, в размер на 21 </w:t>
      </w:r>
      <w:r w:rsidR="00EE7799" w:rsidRPr="00FD4C39">
        <w:rPr>
          <w:rFonts w:ascii="Times New Roman" w:hAnsi="Times New Roman" w:cs="Times New Roman"/>
          <w:sz w:val="24"/>
          <w:szCs w:val="24"/>
        </w:rPr>
        <w:t>000 (двадесет и една хиляди) лева, за това</w:t>
      </w:r>
      <w:r w:rsidR="00C33ED5">
        <w:rPr>
          <w:rFonts w:ascii="Times New Roman" w:hAnsi="Times New Roman" w:cs="Times New Roman"/>
          <w:sz w:val="24"/>
          <w:szCs w:val="24"/>
        </w:rPr>
        <w:t>,</w:t>
      </w:r>
      <w:r w:rsidR="00EE7799" w:rsidRPr="00FD4C39">
        <w:rPr>
          <w:rFonts w:ascii="Times New Roman" w:hAnsi="Times New Roman" w:cs="Times New Roman"/>
          <w:sz w:val="24"/>
          <w:szCs w:val="24"/>
        </w:rPr>
        <w:t xml:space="preserve"> че в качеството си на </w:t>
      </w:r>
      <w:r w:rsidR="00C33ED5">
        <w:rPr>
          <w:rFonts w:ascii="Times New Roman" w:hAnsi="Times New Roman" w:cs="Times New Roman"/>
          <w:sz w:val="24"/>
          <w:szCs w:val="24"/>
        </w:rPr>
        <w:t>АЛД обработва</w:t>
      </w:r>
      <w:r w:rsidR="00EE7799" w:rsidRPr="00FD4C39">
        <w:rPr>
          <w:rFonts w:ascii="Times New Roman" w:hAnsi="Times New Roman" w:cs="Times New Roman"/>
          <w:sz w:val="24"/>
          <w:szCs w:val="24"/>
        </w:rPr>
        <w:t xml:space="preserve"> личните данни на жалбоподателя в нарушение на</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2,</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2,</w:t>
      </w:r>
      <w:r w:rsidR="00884B97">
        <w:rPr>
          <w:rFonts w:ascii="Times New Roman" w:hAnsi="Times New Roman" w:cs="Times New Roman"/>
          <w:sz w:val="24"/>
          <w:szCs w:val="24"/>
        </w:rPr>
        <w:t xml:space="preserve"> т. </w:t>
      </w:r>
      <w:r w:rsidR="00EE7799" w:rsidRPr="00FD4C39">
        <w:rPr>
          <w:rFonts w:ascii="Times New Roman" w:hAnsi="Times New Roman" w:cs="Times New Roman"/>
          <w:sz w:val="24"/>
          <w:szCs w:val="24"/>
        </w:rPr>
        <w:t xml:space="preserve">2 от ЗЗЛД. </w:t>
      </w:r>
    </w:p>
    <w:p w:rsidR="0068204A" w:rsidRPr="00FD4C39" w:rsidRDefault="0068204A" w:rsidP="007B189E">
      <w:pPr>
        <w:spacing w:after="0" w:line="360" w:lineRule="auto"/>
        <w:ind w:firstLine="709"/>
        <w:jc w:val="both"/>
        <w:rPr>
          <w:rFonts w:ascii="Times New Roman" w:hAnsi="Times New Roman" w:cs="Times New Roman"/>
          <w:sz w:val="24"/>
          <w:szCs w:val="24"/>
        </w:rPr>
      </w:pP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5. След сключване на брак </w:t>
      </w:r>
      <w:proofErr w:type="spellStart"/>
      <w:r w:rsidRPr="00FD4C39">
        <w:rPr>
          <w:rFonts w:ascii="Times New Roman" w:hAnsi="Times New Roman" w:cs="Times New Roman"/>
          <w:sz w:val="24"/>
          <w:szCs w:val="24"/>
        </w:rPr>
        <w:t>жалбоподателка</w:t>
      </w:r>
      <w:proofErr w:type="spellEnd"/>
      <w:r w:rsidRPr="00FD4C39">
        <w:rPr>
          <w:rFonts w:ascii="Times New Roman" w:hAnsi="Times New Roman" w:cs="Times New Roman"/>
          <w:sz w:val="24"/>
          <w:szCs w:val="24"/>
        </w:rPr>
        <w:t xml:space="preserve"> </w:t>
      </w:r>
      <w:r w:rsidR="00C33ED5">
        <w:rPr>
          <w:rFonts w:ascii="Times New Roman" w:hAnsi="Times New Roman" w:cs="Times New Roman"/>
          <w:sz w:val="24"/>
          <w:szCs w:val="24"/>
        </w:rPr>
        <w:t>сменя фамилията си, което налага</w:t>
      </w:r>
      <w:r w:rsidRPr="00FD4C39">
        <w:rPr>
          <w:rFonts w:ascii="Times New Roman" w:hAnsi="Times New Roman" w:cs="Times New Roman"/>
          <w:sz w:val="24"/>
          <w:szCs w:val="24"/>
        </w:rPr>
        <w:t xml:space="preserve"> издаване на нова лична карта. При смяна на ф</w:t>
      </w:r>
      <w:r w:rsidR="00C33ED5">
        <w:rPr>
          <w:rFonts w:ascii="Times New Roman" w:hAnsi="Times New Roman" w:cs="Times New Roman"/>
          <w:sz w:val="24"/>
          <w:szCs w:val="24"/>
        </w:rPr>
        <w:t>амилията й в системата на банка</w:t>
      </w:r>
      <w:r w:rsidRPr="00FD4C39">
        <w:rPr>
          <w:rFonts w:ascii="Times New Roman" w:hAnsi="Times New Roman" w:cs="Times New Roman"/>
          <w:sz w:val="24"/>
          <w:szCs w:val="24"/>
        </w:rPr>
        <w:t xml:space="preserve"> от жалбоподателката </w:t>
      </w:r>
      <w:r w:rsidR="00C33ED5">
        <w:rPr>
          <w:rFonts w:ascii="Times New Roman" w:hAnsi="Times New Roman" w:cs="Times New Roman"/>
          <w:sz w:val="24"/>
          <w:szCs w:val="24"/>
        </w:rPr>
        <w:t>се изисква</w:t>
      </w:r>
      <w:r w:rsidRPr="00FD4C39">
        <w:rPr>
          <w:rFonts w:ascii="Times New Roman" w:hAnsi="Times New Roman" w:cs="Times New Roman"/>
          <w:sz w:val="24"/>
          <w:szCs w:val="24"/>
        </w:rPr>
        <w:t xml:space="preserve">, заедно с представяне на новата й лична карта, да се предостави и документ за сключен граждански брак, което жалбоподателката счита за нарушение на правата й по ЗЗЛД. </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До жалбоподателката </w:t>
      </w:r>
      <w:r w:rsidR="00C33ED5">
        <w:rPr>
          <w:rFonts w:ascii="Times New Roman" w:hAnsi="Times New Roman" w:cs="Times New Roman"/>
          <w:sz w:val="24"/>
          <w:szCs w:val="24"/>
        </w:rPr>
        <w:t>се изпраща</w:t>
      </w:r>
      <w:r w:rsidRPr="00FD4C39">
        <w:rPr>
          <w:rFonts w:ascii="Times New Roman" w:hAnsi="Times New Roman" w:cs="Times New Roman"/>
          <w:sz w:val="24"/>
          <w:szCs w:val="24"/>
        </w:rPr>
        <w:t xml:space="preserve"> писмо на председателя на КЗЛД, с което </w:t>
      </w:r>
      <w:r w:rsidR="00C33ED5">
        <w:rPr>
          <w:rFonts w:ascii="Times New Roman" w:hAnsi="Times New Roman" w:cs="Times New Roman"/>
          <w:sz w:val="24"/>
          <w:szCs w:val="24"/>
        </w:rPr>
        <w:t>се информира</w:t>
      </w:r>
      <w:r w:rsidRPr="00FD4C39">
        <w:rPr>
          <w:rFonts w:ascii="Times New Roman" w:hAnsi="Times New Roman" w:cs="Times New Roman"/>
          <w:sz w:val="24"/>
          <w:szCs w:val="24"/>
        </w:rPr>
        <w:t xml:space="preserve"> за превенцията при използване на финансовата система за целите на изпирането на пари, която се постига чрез мерки, установени в </w:t>
      </w:r>
      <w:r w:rsidR="00FE7018" w:rsidRPr="00FD4C39">
        <w:rPr>
          <w:rFonts w:ascii="Times New Roman" w:hAnsi="Times New Roman" w:cs="Times New Roman"/>
          <w:sz w:val="24"/>
          <w:szCs w:val="24"/>
        </w:rPr>
        <w:t>З</w:t>
      </w:r>
      <w:r w:rsidR="002C2CFE" w:rsidRPr="00FD4C39">
        <w:rPr>
          <w:rFonts w:ascii="Times New Roman" w:hAnsi="Times New Roman" w:cs="Times New Roman"/>
          <w:sz w:val="24"/>
          <w:szCs w:val="24"/>
        </w:rPr>
        <w:t>акона</w:t>
      </w:r>
      <w:r w:rsidRPr="00FD4C39">
        <w:rPr>
          <w:rFonts w:ascii="Times New Roman" w:hAnsi="Times New Roman" w:cs="Times New Roman"/>
          <w:sz w:val="24"/>
          <w:szCs w:val="24"/>
        </w:rPr>
        <w:t xml:space="preserve"> за мерките срещу изпирането на пари (ЗМИП) и задължителни за неговите адресати</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кредитните институции.</w:t>
      </w:r>
    </w:p>
    <w:p w:rsidR="00EE7799" w:rsidRPr="00FD4C39" w:rsidRDefault="00C33ED5"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Разяснява се</w:t>
      </w:r>
      <w:r w:rsidR="00EE7799" w:rsidRPr="00FD4C39">
        <w:rPr>
          <w:rFonts w:ascii="Times New Roman" w:hAnsi="Times New Roman" w:cs="Times New Roman"/>
          <w:sz w:val="24"/>
          <w:szCs w:val="24"/>
        </w:rPr>
        <w:t>, че с</w:t>
      </w:r>
      <w:r w:rsidR="002C2CFE" w:rsidRPr="00FD4C39">
        <w:rPr>
          <w:rFonts w:ascii="Times New Roman" w:hAnsi="Times New Roman" w:cs="Times New Roman"/>
          <w:sz w:val="24"/>
          <w:szCs w:val="24"/>
        </w:rPr>
        <w:t>ъгласно</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4,</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1 от ЗМИП, при установяване на търговски отношения банките, в качеството им на кредитни институции, са задължени да идентифицират клиентите си чрез представяне на официален документ за самоличност. С оглед избягван</w:t>
      </w:r>
      <w:r>
        <w:rPr>
          <w:rFonts w:ascii="Times New Roman" w:hAnsi="Times New Roman" w:cs="Times New Roman"/>
          <w:sz w:val="24"/>
          <w:szCs w:val="24"/>
        </w:rPr>
        <w:t>е на грешки при идентификацията</w:t>
      </w:r>
      <w:r w:rsidR="00EE7799" w:rsidRPr="00FD4C39">
        <w:rPr>
          <w:rFonts w:ascii="Times New Roman" w:hAnsi="Times New Roman" w:cs="Times New Roman"/>
          <w:sz w:val="24"/>
          <w:szCs w:val="24"/>
        </w:rPr>
        <w:t xml:space="preserve"> ЗМИП допуска и възможност за проверка въз основа на допълнителни документи (чл. 3,</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1,</w:t>
      </w:r>
      <w:r w:rsidR="00884B97">
        <w:rPr>
          <w:rFonts w:ascii="Times New Roman" w:hAnsi="Times New Roman" w:cs="Times New Roman"/>
          <w:sz w:val="24"/>
          <w:szCs w:val="24"/>
        </w:rPr>
        <w:t xml:space="preserve"> т. </w:t>
      </w:r>
      <w:r w:rsidR="00EE7799" w:rsidRPr="00FD4C39">
        <w:rPr>
          <w:rFonts w:ascii="Times New Roman" w:hAnsi="Times New Roman" w:cs="Times New Roman"/>
          <w:sz w:val="24"/>
          <w:szCs w:val="24"/>
        </w:rPr>
        <w:t>1 от ЗМИП, във връзка с</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1,</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 xml:space="preserve">2 от </w:t>
      </w:r>
      <w:r w:rsidR="00536D94" w:rsidRPr="00FD4C39">
        <w:rPr>
          <w:rFonts w:ascii="Times New Roman" w:hAnsi="Times New Roman" w:cs="Times New Roman"/>
          <w:sz w:val="24"/>
          <w:szCs w:val="24"/>
        </w:rPr>
        <w:t>Правилник</w:t>
      </w:r>
      <w:r>
        <w:rPr>
          <w:rFonts w:ascii="Times New Roman" w:hAnsi="Times New Roman" w:cs="Times New Roman"/>
          <w:sz w:val="24"/>
          <w:szCs w:val="24"/>
        </w:rPr>
        <w:t>а</w:t>
      </w:r>
      <w:r w:rsidR="00536D94" w:rsidRPr="00FD4C39">
        <w:rPr>
          <w:rFonts w:ascii="Times New Roman" w:hAnsi="Times New Roman" w:cs="Times New Roman"/>
          <w:sz w:val="24"/>
          <w:szCs w:val="24"/>
        </w:rPr>
        <w:t xml:space="preserve"> за прилагане на Закона за мерките срещу изпирането на пари (</w:t>
      </w:r>
      <w:r w:rsidR="00EE7799" w:rsidRPr="00FD4C39">
        <w:rPr>
          <w:rFonts w:ascii="Times New Roman" w:hAnsi="Times New Roman" w:cs="Times New Roman"/>
          <w:sz w:val="24"/>
          <w:szCs w:val="24"/>
        </w:rPr>
        <w:t>П</w:t>
      </w:r>
      <w:r w:rsidR="00F0506F" w:rsidRPr="00FD4C39">
        <w:rPr>
          <w:rFonts w:ascii="Times New Roman" w:hAnsi="Times New Roman" w:cs="Times New Roman"/>
          <w:sz w:val="24"/>
          <w:szCs w:val="24"/>
        </w:rPr>
        <w:t>П</w:t>
      </w:r>
      <w:r w:rsidR="00EE7799" w:rsidRPr="00FD4C39">
        <w:rPr>
          <w:rFonts w:ascii="Times New Roman" w:hAnsi="Times New Roman" w:cs="Times New Roman"/>
          <w:sz w:val="24"/>
          <w:szCs w:val="24"/>
        </w:rPr>
        <w:t>ЗМИП)</w:t>
      </w:r>
      <w:r w:rsidR="00536D94" w:rsidRPr="00FD4C39">
        <w:rPr>
          <w:rFonts w:ascii="Times New Roman" w:hAnsi="Times New Roman" w:cs="Times New Roman"/>
          <w:sz w:val="24"/>
          <w:szCs w:val="24"/>
        </w:rPr>
        <w:t>)</w:t>
      </w:r>
      <w:r w:rsidR="00EE7799" w:rsidRPr="00FD4C39">
        <w:rPr>
          <w:rFonts w:ascii="Times New Roman" w:hAnsi="Times New Roman" w:cs="Times New Roman"/>
          <w:sz w:val="24"/>
          <w:szCs w:val="24"/>
        </w:rPr>
        <w:t>. Съгласно</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9,</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 xml:space="preserve">2 от </w:t>
      </w:r>
      <w:r w:rsidR="00F74AFA" w:rsidRPr="00FD4C39">
        <w:rPr>
          <w:rFonts w:ascii="Times New Roman" w:hAnsi="Times New Roman" w:cs="Times New Roman"/>
          <w:sz w:val="24"/>
          <w:szCs w:val="24"/>
        </w:rPr>
        <w:t>П</w:t>
      </w:r>
      <w:r w:rsidR="00EE7799" w:rsidRPr="00FD4C39">
        <w:rPr>
          <w:rFonts w:ascii="Times New Roman" w:hAnsi="Times New Roman" w:cs="Times New Roman"/>
          <w:sz w:val="24"/>
          <w:szCs w:val="24"/>
        </w:rPr>
        <w:t>ПЗМИП, при промяна на обстоятелствата, свързани с идентификацията, физическите лица уведомяват за това лицата по</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3,</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2 и</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3 от ЗМИП</w:t>
      </w:r>
      <w:r>
        <w:rPr>
          <w:rFonts w:ascii="Times New Roman" w:hAnsi="Times New Roman" w:cs="Times New Roman"/>
          <w:sz w:val="24"/>
          <w:szCs w:val="24"/>
        </w:rPr>
        <w:t>,</w:t>
      </w:r>
      <w:r w:rsidR="00EE7799" w:rsidRPr="00FD4C39">
        <w:rPr>
          <w:rFonts w:ascii="Times New Roman" w:hAnsi="Times New Roman" w:cs="Times New Roman"/>
          <w:sz w:val="24"/>
          <w:szCs w:val="24"/>
        </w:rPr>
        <w:t xml:space="preserve"> като представят съответните удостоверителни документи.</w:t>
      </w:r>
    </w:p>
    <w:p w:rsidR="00EE7799" w:rsidRPr="00FD4C39" w:rsidRDefault="00C33ED5"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Посочва се</w:t>
      </w:r>
      <w:r w:rsidR="00EE7799" w:rsidRPr="00FD4C39">
        <w:rPr>
          <w:rFonts w:ascii="Times New Roman" w:hAnsi="Times New Roman" w:cs="Times New Roman"/>
          <w:sz w:val="24"/>
          <w:szCs w:val="24"/>
        </w:rPr>
        <w:t>, че съгласно</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3,</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1, във връзка с</w:t>
      </w:r>
      <w:r w:rsidR="00884B97">
        <w:rPr>
          <w:rFonts w:ascii="Times New Roman" w:hAnsi="Times New Roman" w:cs="Times New Roman"/>
          <w:sz w:val="24"/>
          <w:szCs w:val="24"/>
        </w:rPr>
        <w:t xml:space="preserve"> чл. </w:t>
      </w:r>
      <w:r w:rsidR="00EE7799" w:rsidRPr="00FD4C39">
        <w:rPr>
          <w:rFonts w:ascii="Times New Roman" w:hAnsi="Times New Roman" w:cs="Times New Roman"/>
          <w:sz w:val="24"/>
          <w:szCs w:val="24"/>
        </w:rPr>
        <w:t>13,</w:t>
      </w:r>
      <w:r w:rsidR="00884B97">
        <w:rPr>
          <w:rFonts w:ascii="Times New Roman" w:hAnsi="Times New Roman" w:cs="Times New Roman"/>
          <w:sz w:val="24"/>
          <w:szCs w:val="24"/>
        </w:rPr>
        <w:t xml:space="preserve"> ал. </w:t>
      </w:r>
      <w:r w:rsidR="00EE7799" w:rsidRPr="00FD4C39">
        <w:rPr>
          <w:rFonts w:ascii="Times New Roman" w:hAnsi="Times New Roman" w:cs="Times New Roman"/>
          <w:sz w:val="24"/>
          <w:szCs w:val="24"/>
        </w:rPr>
        <w:t xml:space="preserve">1 от </w:t>
      </w:r>
      <w:r w:rsidR="00FE7018" w:rsidRPr="00FD4C39">
        <w:rPr>
          <w:rFonts w:ascii="Times New Roman" w:hAnsi="Times New Roman" w:cs="Times New Roman"/>
          <w:sz w:val="24"/>
          <w:szCs w:val="24"/>
        </w:rPr>
        <w:t>З</w:t>
      </w:r>
      <w:r w:rsidR="00D36766" w:rsidRPr="00FD4C39">
        <w:rPr>
          <w:rFonts w:ascii="Times New Roman" w:hAnsi="Times New Roman" w:cs="Times New Roman"/>
          <w:sz w:val="24"/>
          <w:szCs w:val="24"/>
        </w:rPr>
        <w:t>акона</w:t>
      </w:r>
      <w:r w:rsidR="00EE7799" w:rsidRPr="00FD4C39">
        <w:rPr>
          <w:rFonts w:ascii="Times New Roman" w:hAnsi="Times New Roman" w:cs="Times New Roman"/>
          <w:sz w:val="24"/>
          <w:szCs w:val="24"/>
        </w:rPr>
        <w:t xml:space="preserve"> за българските лични документи, чрез съдържащите се в нея данни, личната карта удостоверява самоличността, а при необходимост</w:t>
      </w:r>
      <w:r w:rsidR="004D42A2">
        <w:rPr>
          <w:rFonts w:ascii="Times New Roman" w:hAnsi="Times New Roman" w:cs="Times New Roman"/>
          <w:sz w:val="24"/>
          <w:szCs w:val="24"/>
        </w:rPr>
        <w:t xml:space="preserve"> – </w:t>
      </w:r>
      <w:r w:rsidR="00EE7799" w:rsidRPr="00FD4C39">
        <w:rPr>
          <w:rFonts w:ascii="Times New Roman" w:hAnsi="Times New Roman" w:cs="Times New Roman"/>
          <w:sz w:val="24"/>
          <w:szCs w:val="24"/>
        </w:rPr>
        <w:t xml:space="preserve">и гражданството на лицето. Личната карта не е документ, удостоверяващ промяната в имената на физическото лице, тъй като в нея фигурира новото, но не и старото му име, за да се удостовери промяната. </w:t>
      </w:r>
    </w:p>
    <w:p w:rsidR="00EE7799" w:rsidRPr="00FD4C39" w:rsidRDefault="00C33ED5"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описания случай </w:t>
      </w:r>
      <w:r w:rsidR="00EE7799" w:rsidRPr="00FD4C39">
        <w:rPr>
          <w:rFonts w:ascii="Times New Roman" w:hAnsi="Times New Roman" w:cs="Times New Roman"/>
          <w:sz w:val="24"/>
          <w:szCs w:val="24"/>
        </w:rPr>
        <w:t>такъв документ е актът за сключен граждански брак или удостоверението за идентичност на имената, издадено от съответната община.</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Вътрешните правила на банката за работа с клиенти са разписани в съответствие със ЗМИП и ППЗМИП. Според тях в системата на банката се вписват видът, датата и </w:t>
      </w:r>
      <w:r w:rsidRPr="00FD4C39">
        <w:rPr>
          <w:rFonts w:ascii="Times New Roman" w:hAnsi="Times New Roman" w:cs="Times New Roman"/>
          <w:sz w:val="24"/>
          <w:szCs w:val="24"/>
        </w:rPr>
        <w:lastRenderedPageBreak/>
        <w:t>номерът на акта за сключен граждански брак, които не са лични данни по смисъла на ЗЗЛД.</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Предвид промяната, настъпила в името на жалбоподателката, </w:t>
      </w:r>
      <w:r w:rsidR="00C33ED5">
        <w:rPr>
          <w:rFonts w:ascii="Times New Roman" w:hAnsi="Times New Roman" w:cs="Times New Roman"/>
          <w:sz w:val="24"/>
          <w:szCs w:val="24"/>
        </w:rPr>
        <w:t>АЛД поисква</w:t>
      </w:r>
      <w:r w:rsidRPr="00FD4C39">
        <w:rPr>
          <w:rFonts w:ascii="Times New Roman" w:hAnsi="Times New Roman" w:cs="Times New Roman"/>
          <w:sz w:val="24"/>
          <w:szCs w:val="24"/>
        </w:rPr>
        <w:t xml:space="preserve"> от нея да удостовери с надлежни документи, че е лице, идентично с лицето, идентифицирано с различни имена по лична карта. Действията на банката са съобразени с изискванията на</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2,</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2 от ЗЗЛД, тъй като изисканите документи за идентификация на лицето, безспорно съдържат лични данни, но тези данни са изискани за конкретни, точно определени и законни цели</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мерките, предвидени в ЗМИП.</w:t>
      </w:r>
    </w:p>
    <w:p w:rsidR="00EE7799" w:rsidRPr="00FD4C39" w:rsidRDefault="00EE7799" w:rsidP="007B189E">
      <w:pPr>
        <w:spacing w:after="0" w:line="360" w:lineRule="auto"/>
        <w:ind w:firstLine="709"/>
        <w:jc w:val="both"/>
        <w:rPr>
          <w:rFonts w:ascii="Times New Roman" w:hAnsi="Times New Roman" w:cs="Times New Roman"/>
          <w:sz w:val="24"/>
          <w:szCs w:val="24"/>
        </w:rPr>
      </w:pP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6. Жалбоподател сезира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xml:space="preserve"> с твърдения за незаконосъобразно обработване на личните му данни от страна на потребителска кооперация.</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 жалбата се посочва, че всяка го</w:t>
      </w:r>
      <w:r w:rsidR="00C33ED5">
        <w:rPr>
          <w:rFonts w:ascii="Times New Roman" w:hAnsi="Times New Roman" w:cs="Times New Roman"/>
          <w:sz w:val="24"/>
          <w:szCs w:val="24"/>
        </w:rPr>
        <w:t>дина потребителската кооперация</w:t>
      </w:r>
      <w:r w:rsidRPr="00FD4C39">
        <w:rPr>
          <w:rFonts w:ascii="Times New Roman" w:hAnsi="Times New Roman" w:cs="Times New Roman"/>
          <w:sz w:val="24"/>
          <w:szCs w:val="24"/>
        </w:rPr>
        <w:t xml:space="preserve"> изпраща поканите за годишното си събрание към своите членове с изписани ЕГН и адрес, без да ги постави в пликове, и по този начин излага на показ личните им данни.</w:t>
      </w:r>
    </w:p>
    <w:p w:rsidR="00EE7799" w:rsidRPr="00FD4C39" w:rsidRDefault="00EE779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На база установената фактическа обстановка п</w:t>
      </w:r>
      <w:r w:rsidR="00C33ED5">
        <w:rPr>
          <w:rFonts w:ascii="Times New Roman" w:hAnsi="Times New Roman" w:cs="Times New Roman"/>
          <w:sz w:val="24"/>
          <w:szCs w:val="24"/>
        </w:rPr>
        <w:t>о жалбата</w:t>
      </w:r>
      <w:r w:rsidRPr="00FD4C39">
        <w:rPr>
          <w:rFonts w:ascii="Times New Roman" w:hAnsi="Times New Roman" w:cs="Times New Roman"/>
          <w:sz w:val="24"/>
          <w:szCs w:val="24"/>
        </w:rPr>
        <w:t xml:space="preserve">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xml:space="preserve"> приема, че същата е основателна и налага административно наказание</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 xml:space="preserve">имуществена санкция на потребителската кооперация, която има качеството на </w:t>
      </w:r>
      <w:r w:rsidR="00580030" w:rsidRPr="00FD4C39">
        <w:rPr>
          <w:rFonts w:ascii="Times New Roman" w:hAnsi="Times New Roman" w:cs="Times New Roman"/>
          <w:sz w:val="24"/>
          <w:szCs w:val="24"/>
        </w:rPr>
        <w:t>АЛД</w:t>
      </w:r>
      <w:r w:rsidR="00D36766" w:rsidRPr="00FD4C39">
        <w:rPr>
          <w:rFonts w:ascii="Times New Roman" w:hAnsi="Times New Roman" w:cs="Times New Roman"/>
          <w:sz w:val="24"/>
          <w:szCs w:val="24"/>
        </w:rPr>
        <w:t xml:space="preserve">, </w:t>
      </w:r>
      <w:r w:rsidRPr="00FD4C39">
        <w:rPr>
          <w:rFonts w:ascii="Times New Roman" w:hAnsi="Times New Roman" w:cs="Times New Roman"/>
          <w:sz w:val="24"/>
          <w:szCs w:val="24"/>
        </w:rPr>
        <w:t>за нарушение на разпоредбата на</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23,</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1 от ЗЗЛД, а именно непредприемането на технически и организационни мерки за защита на личните данни от случаен и неправомерен достъп до тях.</w:t>
      </w:r>
    </w:p>
    <w:p w:rsidR="00EE7799" w:rsidRPr="00FD4C39" w:rsidRDefault="00EE7799" w:rsidP="007B189E">
      <w:pPr>
        <w:tabs>
          <w:tab w:val="left" w:pos="4815"/>
        </w:tabs>
        <w:spacing w:after="0" w:line="360" w:lineRule="auto"/>
        <w:ind w:firstLine="709"/>
        <w:jc w:val="both"/>
        <w:rPr>
          <w:rFonts w:ascii="Times New Roman" w:eastAsia="Calibri" w:hAnsi="Times New Roman" w:cs="Times New Roman"/>
          <w:sz w:val="24"/>
          <w:szCs w:val="24"/>
        </w:rPr>
      </w:pPr>
    </w:p>
    <w:p w:rsidR="00EE7799" w:rsidRPr="00FD4C39" w:rsidRDefault="00486B90"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 xml:space="preserve">1.3. </w:t>
      </w:r>
      <w:r w:rsidR="00EE7799" w:rsidRPr="00FD4C39">
        <w:rPr>
          <w:rFonts w:ascii="Times New Roman" w:eastAsia="Calibri" w:hAnsi="Times New Roman" w:cs="Times New Roman"/>
          <w:i/>
          <w:sz w:val="24"/>
          <w:szCs w:val="24"/>
        </w:rPr>
        <w:t xml:space="preserve">Сравнителен анализ на постъпилите запитвания от граждани според предмета на запитванията. </w:t>
      </w:r>
    </w:p>
    <w:p w:rsidR="00EE7799" w:rsidRPr="00FD4C39" w:rsidRDefault="006E1B8C"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Въпросите, които постъпват</w:t>
      </w:r>
      <w:r w:rsidR="00EE7799" w:rsidRPr="00FD4C39">
        <w:rPr>
          <w:rFonts w:ascii="Times New Roman" w:eastAsia="Calibri" w:hAnsi="Times New Roman" w:cs="Times New Roman"/>
          <w:sz w:val="24"/>
          <w:szCs w:val="24"/>
        </w:rPr>
        <w:t xml:space="preserve"> в КЗЛД през 2014 година, са много и разнообразни. Гражданите са активни в търсенето на съдействие и разяснение при прилагането на ЗЗЛД. За това говори и статистическия</w:t>
      </w:r>
      <w:r>
        <w:rPr>
          <w:rFonts w:ascii="Times New Roman" w:eastAsia="Calibri" w:hAnsi="Times New Roman" w:cs="Times New Roman"/>
          <w:sz w:val="24"/>
          <w:szCs w:val="24"/>
        </w:rPr>
        <w:t>т</w:t>
      </w:r>
      <w:r w:rsidR="00EE7799" w:rsidRPr="00FD4C39">
        <w:rPr>
          <w:rFonts w:ascii="Times New Roman" w:eastAsia="Calibri" w:hAnsi="Times New Roman" w:cs="Times New Roman"/>
          <w:sz w:val="24"/>
          <w:szCs w:val="24"/>
        </w:rPr>
        <w:t xml:space="preserve"> анализ на изпратените отговори</w:t>
      </w:r>
      <w:r w:rsidR="004D42A2">
        <w:rPr>
          <w:rFonts w:ascii="Times New Roman" w:eastAsia="Calibri" w:hAnsi="Times New Roman" w:cs="Times New Roman"/>
          <w:sz w:val="24"/>
          <w:szCs w:val="24"/>
        </w:rPr>
        <w:t xml:space="preserve"> – </w:t>
      </w:r>
      <w:r w:rsidR="00EE7799" w:rsidRPr="00FD4C39">
        <w:rPr>
          <w:rFonts w:ascii="Times New Roman" w:eastAsia="Calibri" w:hAnsi="Times New Roman" w:cs="Times New Roman"/>
          <w:sz w:val="24"/>
          <w:szCs w:val="24"/>
        </w:rPr>
        <w:t xml:space="preserve">374 броя.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Най-често задаваните и най-интересните казуси са предме</w:t>
      </w:r>
      <w:r w:rsidR="003D7665" w:rsidRPr="00FD4C39">
        <w:rPr>
          <w:rFonts w:ascii="Times New Roman" w:eastAsia="Calibri" w:hAnsi="Times New Roman" w:cs="Times New Roman"/>
          <w:sz w:val="24"/>
          <w:szCs w:val="24"/>
        </w:rPr>
        <w:t>т на следващия обобщен анализ:</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 xml:space="preserve">Голяма група въпроси </w:t>
      </w:r>
      <w:r w:rsidR="006E1B8C">
        <w:rPr>
          <w:rFonts w:ascii="Times New Roman" w:eastAsia="Calibri" w:hAnsi="Times New Roman" w:cs="Times New Roman"/>
          <w:b/>
          <w:sz w:val="24"/>
          <w:szCs w:val="24"/>
        </w:rPr>
        <w:t>се свързват</w:t>
      </w:r>
      <w:r w:rsidRPr="00FD4C39">
        <w:rPr>
          <w:rFonts w:ascii="Times New Roman" w:eastAsia="Calibri" w:hAnsi="Times New Roman" w:cs="Times New Roman"/>
          <w:b/>
          <w:sz w:val="24"/>
          <w:szCs w:val="24"/>
        </w:rPr>
        <w:t xml:space="preserve"> с дейността на интернет сайтове</w:t>
      </w:r>
      <w:r w:rsidR="006E1B8C">
        <w:rPr>
          <w:rFonts w:ascii="Times New Roman" w:eastAsia="Calibri" w:hAnsi="Times New Roman" w:cs="Times New Roman"/>
          <w:sz w:val="24"/>
          <w:szCs w:val="24"/>
        </w:rPr>
        <w:t xml:space="preserve"> или така наречените он</w:t>
      </w:r>
      <w:r w:rsidRPr="00FD4C39">
        <w:rPr>
          <w:rFonts w:ascii="Times New Roman" w:eastAsia="Calibri" w:hAnsi="Times New Roman" w:cs="Times New Roman"/>
          <w:sz w:val="24"/>
          <w:szCs w:val="24"/>
        </w:rPr>
        <w:t xml:space="preserve">лайн игри, на които се регистрират предварително закупени билети.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Въпросите най-често са дали е правомерно задължителното поле за попълване на лични данни, като имена, адрес и ЕГН при регистрация на потребител. При всяко отделно запитване и при наличие на достатъчн</w:t>
      </w:r>
      <w:r w:rsidR="006E1B8C">
        <w:rPr>
          <w:rFonts w:ascii="Times New Roman" w:eastAsia="Calibri" w:hAnsi="Times New Roman" w:cs="Times New Roman"/>
          <w:sz w:val="24"/>
          <w:szCs w:val="24"/>
        </w:rPr>
        <w:t>о информация в подадения сигнал</w:t>
      </w:r>
      <w:r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lastRenderedPageBreak/>
        <w:t xml:space="preserve">първоначално се извършва проверка в </w:t>
      </w:r>
      <w:proofErr w:type="spellStart"/>
      <w:r w:rsidR="0010379B" w:rsidRPr="00FD4C39">
        <w:rPr>
          <w:rFonts w:ascii="Times New Roman" w:eastAsia="Calibri" w:hAnsi="Times New Roman" w:cs="Times New Roman"/>
          <w:sz w:val="24"/>
          <w:szCs w:val="24"/>
        </w:rPr>
        <w:t>еРАЛД</w:t>
      </w:r>
      <w:proofErr w:type="spellEnd"/>
      <w:r w:rsidR="0010379B" w:rsidRPr="00FD4C39">
        <w:rPr>
          <w:rFonts w:ascii="Times New Roman" w:eastAsia="Calibri" w:hAnsi="Times New Roman" w:cs="Times New Roman"/>
          <w:sz w:val="24"/>
          <w:szCs w:val="24"/>
        </w:rPr>
        <w:t xml:space="preserve"> на </w:t>
      </w:r>
      <w:r w:rsidR="006E1B8C">
        <w:rPr>
          <w:rFonts w:ascii="Times New Roman" w:eastAsia="Calibri" w:hAnsi="Times New Roman" w:cs="Times New Roman"/>
          <w:sz w:val="24"/>
          <w:szCs w:val="24"/>
        </w:rPr>
        <w:t>търговеца, който извършва он</w:t>
      </w:r>
      <w:r w:rsidRPr="00FD4C39">
        <w:rPr>
          <w:rFonts w:ascii="Times New Roman" w:eastAsia="Calibri" w:hAnsi="Times New Roman" w:cs="Times New Roman"/>
          <w:sz w:val="24"/>
          <w:szCs w:val="24"/>
        </w:rPr>
        <w:t xml:space="preserve">лайн играта.  </w:t>
      </w:r>
    </w:p>
    <w:p w:rsidR="00EE7799" w:rsidRPr="00FD4C39" w:rsidRDefault="006E1B8C"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случай</w:t>
      </w:r>
      <w:r w:rsidR="00EE7799" w:rsidRPr="00FD4C39">
        <w:rPr>
          <w:rFonts w:ascii="Times New Roman" w:eastAsia="Calibri" w:hAnsi="Times New Roman" w:cs="Times New Roman"/>
          <w:sz w:val="24"/>
          <w:szCs w:val="24"/>
        </w:rPr>
        <w:t xml:space="preserve"> че търговецът е регистриран в </w:t>
      </w:r>
      <w:proofErr w:type="spellStart"/>
      <w:r w:rsidR="00EE7799" w:rsidRPr="00FD4C39">
        <w:rPr>
          <w:rFonts w:ascii="Times New Roman" w:eastAsia="Calibri" w:hAnsi="Times New Roman" w:cs="Times New Roman"/>
          <w:sz w:val="24"/>
          <w:szCs w:val="24"/>
        </w:rPr>
        <w:t>еРАЛД</w:t>
      </w:r>
      <w:proofErr w:type="spellEnd"/>
      <w:r w:rsidR="00EE7799" w:rsidRPr="00FD4C39">
        <w:rPr>
          <w:rFonts w:ascii="Times New Roman" w:eastAsia="Calibri" w:hAnsi="Times New Roman" w:cs="Times New Roman"/>
          <w:sz w:val="24"/>
          <w:szCs w:val="24"/>
        </w:rPr>
        <w:t>, гражданите се информират, че действията по отношение изискване за посочване на ЕГН при рег</w:t>
      </w:r>
      <w:r>
        <w:rPr>
          <w:rFonts w:ascii="Times New Roman" w:eastAsia="Calibri" w:hAnsi="Times New Roman" w:cs="Times New Roman"/>
          <w:sz w:val="24"/>
          <w:szCs w:val="24"/>
        </w:rPr>
        <w:t xml:space="preserve">истрация на потребител в сайта </w:t>
      </w:r>
      <w:r w:rsidR="00EE7799" w:rsidRPr="00FD4C39">
        <w:rPr>
          <w:rFonts w:ascii="Times New Roman" w:eastAsia="Calibri" w:hAnsi="Times New Roman" w:cs="Times New Roman"/>
          <w:sz w:val="24"/>
          <w:szCs w:val="24"/>
        </w:rPr>
        <w:t xml:space="preserve">представлява </w:t>
      </w:r>
      <w:r w:rsidR="004931E5"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Обработване на лични данни</w:t>
      </w:r>
      <w:r>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xml:space="preserve"> от страна на </w:t>
      </w:r>
      <w:r w:rsidR="00DA23C6" w:rsidRPr="00FD4C39">
        <w:rPr>
          <w:rFonts w:ascii="Times New Roman" w:eastAsia="Calibri" w:hAnsi="Times New Roman" w:cs="Times New Roman"/>
          <w:sz w:val="24"/>
          <w:szCs w:val="24"/>
        </w:rPr>
        <w:t>АЛД</w:t>
      </w:r>
      <w:r w:rsidR="00EE7799" w:rsidRPr="00FD4C39">
        <w:rPr>
          <w:rFonts w:ascii="Times New Roman" w:eastAsia="Calibri" w:hAnsi="Times New Roman" w:cs="Times New Roman"/>
          <w:sz w:val="24"/>
          <w:szCs w:val="24"/>
        </w:rPr>
        <w:t xml:space="preserve">, съгласно легалната дефиниция, посочена в </w:t>
      </w:r>
      <w:r w:rsidR="000109FB" w:rsidRPr="00FD4C39">
        <w:rPr>
          <w:rFonts w:ascii="Times New Roman" w:eastAsia="Calibri" w:hAnsi="Times New Roman" w:cs="Times New Roman"/>
          <w:sz w:val="24"/>
          <w:szCs w:val="24"/>
        </w:rPr>
        <w:t>§ </w:t>
      </w:r>
      <w:r w:rsidR="00EE7799"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EE7799" w:rsidRPr="00FD4C39">
        <w:rPr>
          <w:rFonts w:ascii="Times New Roman" w:eastAsia="Calibri" w:hAnsi="Times New Roman" w:cs="Times New Roman"/>
          <w:sz w:val="24"/>
          <w:szCs w:val="24"/>
        </w:rPr>
        <w:t>1 от Д</w:t>
      </w:r>
      <w:r w:rsidR="00DA23C6" w:rsidRPr="00FD4C39">
        <w:rPr>
          <w:rFonts w:ascii="Times New Roman" w:eastAsia="Calibri" w:hAnsi="Times New Roman" w:cs="Times New Roman"/>
          <w:sz w:val="24"/>
          <w:szCs w:val="24"/>
        </w:rPr>
        <w:t xml:space="preserve">Р </w:t>
      </w:r>
      <w:r w:rsidR="00EE7799" w:rsidRPr="00FD4C39">
        <w:rPr>
          <w:rFonts w:ascii="Times New Roman" w:eastAsia="Calibri" w:hAnsi="Times New Roman" w:cs="Times New Roman"/>
          <w:sz w:val="24"/>
          <w:szCs w:val="24"/>
        </w:rPr>
        <w:t xml:space="preserve">на ЗЗЛД. Всеки </w:t>
      </w:r>
      <w:r w:rsidR="00580030" w:rsidRPr="00FD4C39">
        <w:rPr>
          <w:rFonts w:ascii="Times New Roman" w:eastAsia="Calibri" w:hAnsi="Times New Roman" w:cs="Times New Roman"/>
          <w:sz w:val="24"/>
          <w:szCs w:val="24"/>
        </w:rPr>
        <w:t>АЛД</w:t>
      </w:r>
      <w:r w:rsidR="00EE7799" w:rsidRPr="00FD4C39">
        <w:rPr>
          <w:rFonts w:ascii="Times New Roman" w:eastAsia="Calibri" w:hAnsi="Times New Roman" w:cs="Times New Roman"/>
          <w:sz w:val="24"/>
          <w:szCs w:val="24"/>
        </w:rPr>
        <w:t xml:space="preserve"> е длъжен да обработва личните данни законосъобразно, при спазване разпоредбите на ЗЗЛД, като в</w:t>
      </w:r>
      <w:r w:rsidR="00884B97">
        <w:rPr>
          <w:rFonts w:ascii="Times New Roman" w:eastAsia="Calibri" w:hAnsi="Times New Roman" w:cs="Times New Roman"/>
          <w:sz w:val="24"/>
          <w:szCs w:val="24"/>
        </w:rPr>
        <w:t xml:space="preserve"> чл. </w:t>
      </w:r>
      <w:r w:rsidR="00EE7799"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00EE7799" w:rsidRPr="00FD4C39">
        <w:rPr>
          <w:rFonts w:ascii="Times New Roman" w:eastAsia="Calibri" w:hAnsi="Times New Roman" w:cs="Times New Roman"/>
          <w:sz w:val="24"/>
          <w:szCs w:val="24"/>
        </w:rPr>
        <w:t xml:space="preserve">1 от </w:t>
      </w:r>
      <w:r w:rsidR="00FE7018" w:rsidRPr="00FD4C39">
        <w:rPr>
          <w:rFonts w:ascii="Times New Roman" w:eastAsia="Calibri" w:hAnsi="Times New Roman" w:cs="Times New Roman"/>
          <w:sz w:val="24"/>
          <w:szCs w:val="24"/>
        </w:rPr>
        <w:t>ЗЗЛД</w:t>
      </w:r>
      <w:r w:rsidR="00EE7799" w:rsidRPr="00FD4C39">
        <w:rPr>
          <w:rFonts w:ascii="Times New Roman" w:eastAsia="Calibri" w:hAnsi="Times New Roman" w:cs="Times New Roman"/>
          <w:sz w:val="24"/>
          <w:szCs w:val="24"/>
        </w:rPr>
        <w:t xml:space="preserve"> е определено само в кои случаи е допустимо обработването на личните данни на физическите лица. Точка 2 на посочения</w:t>
      </w:r>
      <w:r w:rsidR="00884B97">
        <w:rPr>
          <w:rFonts w:ascii="Times New Roman" w:eastAsia="Calibri" w:hAnsi="Times New Roman" w:cs="Times New Roman"/>
          <w:sz w:val="24"/>
          <w:szCs w:val="24"/>
        </w:rPr>
        <w:t xml:space="preserve"> чл. </w:t>
      </w:r>
      <w:r w:rsidR="00EE7799"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00EE7799" w:rsidRPr="00FD4C39">
        <w:rPr>
          <w:rFonts w:ascii="Times New Roman" w:eastAsia="Calibri" w:hAnsi="Times New Roman" w:cs="Times New Roman"/>
          <w:sz w:val="24"/>
          <w:szCs w:val="24"/>
        </w:rPr>
        <w:t>1 от ЗЗЛД регламентира възможността личните данни да се обработват законосъобразно</w:t>
      </w:r>
      <w:r>
        <w:rPr>
          <w:rFonts w:ascii="Times New Roman" w:eastAsia="Calibri" w:hAnsi="Times New Roman" w:cs="Times New Roman"/>
          <w:sz w:val="24"/>
          <w:szCs w:val="24"/>
        </w:rPr>
        <w:t>, в случай</w:t>
      </w:r>
      <w:r w:rsidR="00EE7799" w:rsidRPr="00FD4C39">
        <w:rPr>
          <w:rFonts w:ascii="Times New Roman" w:eastAsia="Calibri" w:hAnsi="Times New Roman" w:cs="Times New Roman"/>
          <w:sz w:val="24"/>
          <w:szCs w:val="24"/>
        </w:rPr>
        <w:t xml:space="preserve"> че физическото лице, за което се отнасят данните, е дало изрично своето съгласие. Хипотезата на предоставяне от физическото лице</w:t>
      </w:r>
      <w:r w:rsidR="004D42A2">
        <w:rPr>
          <w:rFonts w:ascii="Times New Roman" w:eastAsia="Calibri" w:hAnsi="Times New Roman" w:cs="Times New Roman"/>
          <w:sz w:val="24"/>
          <w:szCs w:val="24"/>
        </w:rPr>
        <w:t xml:space="preserve"> – </w:t>
      </w:r>
      <w:r>
        <w:rPr>
          <w:rFonts w:ascii="Times New Roman" w:eastAsia="Calibri" w:hAnsi="Times New Roman" w:cs="Times New Roman"/>
          <w:sz w:val="24"/>
          <w:szCs w:val="24"/>
        </w:rPr>
        <w:t>участник в он</w:t>
      </w:r>
      <w:r w:rsidR="00EE7799" w:rsidRPr="00FD4C39">
        <w:rPr>
          <w:rFonts w:ascii="Times New Roman" w:eastAsia="Calibri" w:hAnsi="Times New Roman" w:cs="Times New Roman"/>
          <w:sz w:val="24"/>
          <w:szCs w:val="24"/>
        </w:rPr>
        <w:t>лайн игра, чрез попълване на ЕГН, предполага съгласието на лицето да предостави личните си данни. Също така е важно гражданите да знаят, че съгласно</w:t>
      </w:r>
      <w:r w:rsidR="00884B97">
        <w:rPr>
          <w:rFonts w:ascii="Times New Roman" w:eastAsia="Calibri" w:hAnsi="Times New Roman" w:cs="Times New Roman"/>
          <w:sz w:val="24"/>
          <w:szCs w:val="24"/>
        </w:rPr>
        <w:t xml:space="preserve"> чл. </w:t>
      </w:r>
      <w:r w:rsidR="00EE7799" w:rsidRPr="00FD4C39">
        <w:rPr>
          <w:rFonts w:ascii="Times New Roman" w:eastAsia="Calibri" w:hAnsi="Times New Roman" w:cs="Times New Roman"/>
          <w:sz w:val="24"/>
          <w:szCs w:val="24"/>
        </w:rPr>
        <w:t>23,</w:t>
      </w:r>
      <w:r w:rsidR="00884B97">
        <w:rPr>
          <w:rFonts w:ascii="Times New Roman" w:eastAsia="Calibri" w:hAnsi="Times New Roman" w:cs="Times New Roman"/>
          <w:sz w:val="24"/>
          <w:szCs w:val="24"/>
        </w:rPr>
        <w:t xml:space="preserve"> ал. </w:t>
      </w:r>
      <w:r w:rsidR="00EE7799" w:rsidRPr="00FD4C39">
        <w:rPr>
          <w:rFonts w:ascii="Times New Roman" w:eastAsia="Calibri" w:hAnsi="Times New Roman" w:cs="Times New Roman"/>
          <w:sz w:val="24"/>
          <w:szCs w:val="24"/>
        </w:rPr>
        <w:t>1 от ЗЗЛД</w:t>
      </w:r>
      <w:r w:rsidR="00DA23C6"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АЛД</w:t>
      </w:r>
      <w:r w:rsidR="00786BAB" w:rsidRPr="00FD4C39">
        <w:rPr>
          <w:rFonts w:ascii="Times New Roman" w:eastAsia="Calibri" w:hAnsi="Times New Roman" w:cs="Times New Roman"/>
          <w:sz w:val="24"/>
          <w:szCs w:val="24"/>
        </w:rPr>
        <w:t xml:space="preserve"> </w:t>
      </w:r>
      <w:r w:rsidR="00EE7799" w:rsidRPr="00FD4C39">
        <w:rPr>
          <w:rFonts w:ascii="Times New Roman" w:eastAsia="Calibri" w:hAnsi="Times New Roman" w:cs="Times New Roman"/>
          <w:sz w:val="24"/>
          <w:szCs w:val="24"/>
        </w:rPr>
        <w:t xml:space="preserve">са длъжни да предприемат необходимите технически и организационни мерки, за да защитят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w:t>
      </w:r>
    </w:p>
    <w:p w:rsidR="00EE7799" w:rsidRPr="00FD4C39" w:rsidRDefault="006E1B8C" w:rsidP="007B189E">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В случай</w:t>
      </w:r>
      <w:r w:rsidR="00EE7799" w:rsidRPr="00FD4C39">
        <w:rPr>
          <w:rFonts w:ascii="Times New Roman" w:eastAsia="Calibri" w:hAnsi="Times New Roman" w:cs="Times New Roman"/>
          <w:sz w:val="24"/>
          <w:szCs w:val="24"/>
        </w:rPr>
        <w:t xml:space="preserve"> че след извършване на служебна справка се установи, че търговецът не е вписан като </w:t>
      </w:r>
      <w:r w:rsidR="00B94345" w:rsidRPr="00FD4C39">
        <w:rPr>
          <w:rFonts w:ascii="Times New Roman" w:eastAsia="Calibri" w:hAnsi="Times New Roman" w:cs="Times New Roman"/>
          <w:sz w:val="24"/>
          <w:szCs w:val="24"/>
        </w:rPr>
        <w:t>АЛД и</w:t>
      </w:r>
      <w:r w:rsidR="00EE7799" w:rsidRPr="00FD4C39">
        <w:rPr>
          <w:rFonts w:ascii="Times New Roman" w:eastAsia="Calibri" w:hAnsi="Times New Roman" w:cs="Times New Roman"/>
          <w:sz w:val="24"/>
          <w:szCs w:val="24"/>
        </w:rPr>
        <w:t xml:space="preserve"> съответно няма подадено заявление от същия в КЗЛД за регистрация в </w:t>
      </w:r>
      <w:proofErr w:type="spellStart"/>
      <w:r w:rsidR="00DA23C6" w:rsidRPr="00FD4C39">
        <w:rPr>
          <w:rFonts w:ascii="Times New Roman" w:eastAsia="Calibri" w:hAnsi="Times New Roman" w:cs="Times New Roman"/>
          <w:sz w:val="24"/>
          <w:szCs w:val="24"/>
        </w:rPr>
        <w:t>еРАЛД</w:t>
      </w:r>
      <w:proofErr w:type="spellEnd"/>
      <w:r w:rsidR="00EE7799" w:rsidRPr="00FD4C39">
        <w:rPr>
          <w:rFonts w:ascii="Times New Roman" w:eastAsia="Calibri" w:hAnsi="Times New Roman" w:cs="Times New Roman"/>
          <w:sz w:val="24"/>
          <w:szCs w:val="24"/>
        </w:rPr>
        <w:t xml:space="preserve">, се предприемат действия по компетентност от дирекция </w:t>
      </w:r>
      <w:r w:rsidR="004931E5" w:rsidRPr="00FD4C39">
        <w:rPr>
          <w:rFonts w:ascii="Times New Roman" w:eastAsia="Calibri" w:hAnsi="Times New Roman" w:cs="Times New Roman"/>
          <w:sz w:val="24"/>
          <w:szCs w:val="24"/>
        </w:rPr>
        <w:t>„</w:t>
      </w:r>
      <w:r w:rsidR="00EE7799" w:rsidRPr="00FD4C39">
        <w:rPr>
          <w:rFonts w:ascii="Times New Roman" w:eastAsia="Calibri" w:hAnsi="Times New Roman" w:cs="Times New Roman"/>
          <w:sz w:val="24"/>
          <w:szCs w:val="24"/>
        </w:rPr>
        <w:t>Правни производства и надзор</w:t>
      </w:r>
      <w:r w:rsidR="00CF0F1F" w:rsidRPr="00FD4C39">
        <w:rPr>
          <w:rFonts w:ascii="Times New Roman" w:eastAsia="Calibri" w:hAnsi="Times New Roman" w:cs="Times New Roman"/>
          <w:sz w:val="24"/>
          <w:szCs w:val="24"/>
        </w:rPr>
        <w:t>“</w:t>
      </w:r>
      <w:r w:rsidR="00DA23C6" w:rsidRPr="00FD4C39">
        <w:rPr>
          <w:rFonts w:ascii="Times New Roman" w:eastAsia="Calibri" w:hAnsi="Times New Roman" w:cs="Times New Roman"/>
          <w:sz w:val="24"/>
          <w:szCs w:val="24"/>
        </w:rPr>
        <w:t xml:space="preserve">, </w:t>
      </w:r>
      <w:r w:rsidR="00580030" w:rsidRPr="00FD4C39">
        <w:rPr>
          <w:rFonts w:ascii="Times New Roman" w:eastAsia="Calibri" w:hAnsi="Times New Roman" w:cs="Times New Roman"/>
          <w:sz w:val="24"/>
          <w:szCs w:val="24"/>
        </w:rPr>
        <w:t>КЗЛД</w:t>
      </w:r>
      <w:r w:rsidR="00EE7799" w:rsidRPr="00FD4C39">
        <w:rPr>
          <w:rFonts w:ascii="Times New Roman" w:eastAsia="Calibri" w:hAnsi="Times New Roman" w:cs="Times New Roman"/>
          <w:sz w:val="24"/>
          <w:szCs w:val="24"/>
        </w:rPr>
        <w:t xml:space="preserve">.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 xml:space="preserve">Зачестяват и въпросите, </w:t>
      </w:r>
      <w:r w:rsidR="006E1B8C">
        <w:rPr>
          <w:rFonts w:ascii="Times New Roman" w:eastAsia="Calibri" w:hAnsi="Times New Roman" w:cs="Times New Roman"/>
          <w:b/>
          <w:sz w:val="24"/>
          <w:szCs w:val="24"/>
        </w:rPr>
        <w:t>които постъпват в КЗЛД</w:t>
      </w:r>
      <w:r w:rsidRPr="00FD4C39">
        <w:rPr>
          <w:rFonts w:ascii="Times New Roman" w:eastAsia="Calibri" w:hAnsi="Times New Roman" w:cs="Times New Roman"/>
          <w:b/>
          <w:sz w:val="24"/>
          <w:szCs w:val="24"/>
        </w:rPr>
        <w:t xml:space="preserve"> по повод това, че куриерските фирми изискват информация за ЕГН при изпращане/получаване на стоки с наложен платеж</w:t>
      </w:r>
      <w:r w:rsidRPr="00FD4C39">
        <w:rPr>
          <w:rFonts w:ascii="Times New Roman" w:eastAsia="Calibri" w:hAnsi="Times New Roman" w:cs="Times New Roman"/>
          <w:sz w:val="24"/>
          <w:szCs w:val="24"/>
        </w:rPr>
        <w:t xml:space="preserve">. Позицията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по тези казуси е свързана със счетоводното отчитане на посочената услуга, като основание за допустимост на обработването на личните данни. Разпоредбите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7,</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w:t>
      </w:r>
      <w:r w:rsidR="00B63ACE" w:rsidRPr="00FD4C39">
        <w:rPr>
          <w:rFonts w:ascii="Times New Roman" w:eastAsia="Calibri" w:hAnsi="Times New Roman" w:cs="Times New Roman"/>
          <w:sz w:val="24"/>
          <w:szCs w:val="24"/>
        </w:rPr>
        <w:t xml:space="preserve">Закона </w:t>
      </w:r>
      <w:r w:rsidRPr="00FD4C39">
        <w:rPr>
          <w:rFonts w:ascii="Times New Roman" w:eastAsia="Calibri" w:hAnsi="Times New Roman" w:cs="Times New Roman"/>
          <w:sz w:val="24"/>
          <w:szCs w:val="24"/>
        </w:rPr>
        <w:t>за счетоводството (ЗСч) определят необходимата информация за пъ</w:t>
      </w:r>
      <w:r w:rsidR="006E1B8C">
        <w:rPr>
          <w:rFonts w:ascii="Times New Roman" w:eastAsia="Calibri" w:hAnsi="Times New Roman" w:cs="Times New Roman"/>
          <w:sz w:val="24"/>
          <w:szCs w:val="24"/>
        </w:rPr>
        <w:t xml:space="preserve">рвичните счетоводни документи. </w:t>
      </w:r>
      <w:r w:rsidRPr="00FD4C39">
        <w:rPr>
          <w:rFonts w:ascii="Times New Roman" w:eastAsia="Calibri" w:hAnsi="Times New Roman" w:cs="Times New Roman"/>
          <w:sz w:val="24"/>
          <w:szCs w:val="24"/>
        </w:rPr>
        <w:t>В</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7,</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6E1B8C">
        <w:rPr>
          <w:rFonts w:ascii="Times New Roman" w:eastAsia="Calibri" w:hAnsi="Times New Roman" w:cs="Times New Roman"/>
          <w:sz w:val="24"/>
          <w:szCs w:val="24"/>
        </w:rPr>
        <w:t>3 от ЗСч се конкретизира</w:t>
      </w:r>
      <w:r w:rsidRPr="00FD4C39">
        <w:rPr>
          <w:rFonts w:ascii="Times New Roman" w:eastAsia="Calibri" w:hAnsi="Times New Roman" w:cs="Times New Roman"/>
          <w:sz w:val="24"/>
          <w:szCs w:val="24"/>
        </w:rPr>
        <w:t>, че първичният счетоводен документ следва да съдържа наименование, адрес и номер за идентификация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84 от Данъчно-осигурителния процесуален кодекс (ДОПК) на издателя и получателя.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84,</w:t>
      </w:r>
      <w:r w:rsidR="00884B97">
        <w:rPr>
          <w:rFonts w:ascii="Times New Roman" w:eastAsia="Calibri" w:hAnsi="Times New Roman" w:cs="Times New Roman"/>
          <w:sz w:val="24"/>
          <w:szCs w:val="24"/>
        </w:rPr>
        <w:t xml:space="preserve"> ал. </w:t>
      </w:r>
      <w:r w:rsidR="006E1B8C">
        <w:rPr>
          <w:rFonts w:ascii="Times New Roman" w:eastAsia="Calibri" w:hAnsi="Times New Roman" w:cs="Times New Roman"/>
          <w:sz w:val="24"/>
          <w:szCs w:val="24"/>
        </w:rPr>
        <w:t>2 от ДОПК</w:t>
      </w:r>
      <w:r w:rsidRPr="00FD4C39">
        <w:rPr>
          <w:rFonts w:ascii="Times New Roman" w:eastAsia="Calibri" w:hAnsi="Times New Roman" w:cs="Times New Roman"/>
          <w:sz w:val="24"/>
          <w:szCs w:val="24"/>
        </w:rPr>
        <w:t xml:space="preserve"> идентификацията на физичес</w:t>
      </w:r>
      <w:r w:rsidR="006E1B8C">
        <w:rPr>
          <w:rFonts w:ascii="Times New Roman" w:eastAsia="Calibri" w:hAnsi="Times New Roman" w:cs="Times New Roman"/>
          <w:sz w:val="24"/>
          <w:szCs w:val="24"/>
        </w:rPr>
        <w:t>ки лица, които не са вписани в Т</w:t>
      </w:r>
      <w:r w:rsidRPr="00FD4C39">
        <w:rPr>
          <w:rFonts w:ascii="Times New Roman" w:eastAsia="Calibri" w:hAnsi="Times New Roman" w:cs="Times New Roman"/>
          <w:sz w:val="24"/>
          <w:szCs w:val="24"/>
        </w:rPr>
        <w:t xml:space="preserve">ърговския регистър, съответно в регистър БУЛСТАТ се извършва чрез единния граждански номер или личния номер на чужденец.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lastRenderedPageBreak/>
        <w:t>Като</w:t>
      </w:r>
      <w:r w:rsidR="006E1B8C">
        <w:rPr>
          <w:rFonts w:ascii="Times New Roman" w:eastAsia="Calibri" w:hAnsi="Times New Roman" w:cs="Times New Roman"/>
          <w:b/>
          <w:sz w:val="24"/>
          <w:szCs w:val="24"/>
        </w:rPr>
        <w:t xml:space="preserve"> най-многобройни и през 2014</w:t>
      </w:r>
      <w:r w:rsidR="004D42A2">
        <w:rPr>
          <w:rFonts w:ascii="Times New Roman" w:eastAsia="Calibri" w:hAnsi="Times New Roman" w:cs="Times New Roman"/>
          <w:b/>
          <w:sz w:val="24"/>
          <w:szCs w:val="24"/>
        </w:rPr>
        <w:t> г.</w:t>
      </w:r>
      <w:r w:rsidRPr="00FD4C39">
        <w:rPr>
          <w:rFonts w:ascii="Times New Roman" w:eastAsia="Calibri" w:hAnsi="Times New Roman" w:cs="Times New Roman"/>
          <w:b/>
          <w:sz w:val="24"/>
          <w:szCs w:val="24"/>
        </w:rPr>
        <w:t xml:space="preserve"> се очертават въпросите, свързани с предоставяне на лични данни от дружества, предлагащ</w:t>
      </w:r>
      <w:r w:rsidR="00695EBF" w:rsidRPr="00FD4C39">
        <w:rPr>
          <w:rFonts w:ascii="Times New Roman" w:eastAsia="Calibri" w:hAnsi="Times New Roman" w:cs="Times New Roman"/>
          <w:b/>
          <w:sz w:val="24"/>
          <w:szCs w:val="24"/>
        </w:rPr>
        <w:t>и различни услуги (електро</w:t>
      </w:r>
      <w:r w:rsidR="006E1B8C">
        <w:rPr>
          <w:rFonts w:ascii="Times New Roman" w:eastAsia="Calibri" w:hAnsi="Times New Roman" w:cs="Times New Roman"/>
          <w:b/>
          <w:sz w:val="24"/>
          <w:szCs w:val="24"/>
        </w:rPr>
        <w:t>-</w:t>
      </w:r>
      <w:r w:rsidR="00695EBF" w:rsidRPr="00FD4C39">
        <w:rPr>
          <w:rFonts w:ascii="Times New Roman" w:eastAsia="Calibri" w:hAnsi="Times New Roman" w:cs="Times New Roman"/>
          <w:b/>
          <w:sz w:val="24"/>
          <w:szCs w:val="24"/>
        </w:rPr>
        <w:t>, В и </w:t>
      </w:r>
      <w:r w:rsidRPr="00FD4C39">
        <w:rPr>
          <w:rFonts w:ascii="Times New Roman" w:eastAsia="Calibri" w:hAnsi="Times New Roman" w:cs="Times New Roman"/>
          <w:b/>
          <w:sz w:val="24"/>
          <w:szCs w:val="24"/>
        </w:rPr>
        <w:t>К, телекомуникационни) на дружества с предмет на дейност събиране на вземания</w:t>
      </w:r>
      <w:r w:rsidRPr="00FD4C39">
        <w:rPr>
          <w:rFonts w:ascii="Times New Roman" w:eastAsia="Calibri" w:hAnsi="Times New Roman" w:cs="Times New Roman"/>
          <w:sz w:val="24"/>
          <w:szCs w:val="24"/>
        </w:rPr>
        <w:t>.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всеки </w:t>
      </w:r>
      <w:r w:rsidR="00580030" w:rsidRPr="00FD4C39">
        <w:rPr>
          <w:rFonts w:ascii="Times New Roman" w:eastAsia="Calibri" w:hAnsi="Times New Roman" w:cs="Times New Roman"/>
          <w:sz w:val="24"/>
          <w:szCs w:val="24"/>
        </w:rPr>
        <w:t>АЛД</w:t>
      </w:r>
      <w:r w:rsidR="00B63ACE"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(какъвто в случая се явяват посочените дружества, предоставящи услуги) може да обработва данните сам или чрез възлагане на обработващ данните (например дружества за събиране на вземания). Когато е необходимо по организационни причини, обработването може да се възложи на повече от един обработващ данните, включително с цел разграничаване на конкретните им задължения. Когато се касае за такъв случай, отношенията между администратора и обработващия лични данни се уреждат с нормативен акт, писмен договор или с друг акт на администратора, в който се определя обемът на задълженията, възложени от администратора на обработващия данните. Основание за предоставяне на лични данни от един на друг </w:t>
      </w:r>
      <w:r w:rsidR="00580030" w:rsidRPr="00FD4C39">
        <w:rPr>
          <w:rFonts w:ascii="Times New Roman" w:eastAsia="Calibri" w:hAnsi="Times New Roman" w:cs="Times New Roman"/>
          <w:sz w:val="24"/>
          <w:szCs w:val="24"/>
        </w:rPr>
        <w:t xml:space="preserve">АЛД </w:t>
      </w:r>
      <w:r w:rsidRPr="00FD4C39">
        <w:rPr>
          <w:rFonts w:ascii="Times New Roman" w:eastAsia="Calibri" w:hAnsi="Times New Roman" w:cs="Times New Roman"/>
          <w:sz w:val="24"/>
          <w:szCs w:val="24"/>
        </w:rPr>
        <w:t xml:space="preserve">може да бъде също така и съгласието на субекта на данните. Съгласието на субекта на данните по смисъла на ЗЗЛД следва да бъде всяко свободно изразено, конкретно и информирано волеизявление, с което физическото лице, за което се отнасят личните данни, недвусмислено се съгласява те да бъдат обработвани. Практиката показва, че в повечето случаи физическото лице дава съгласие за предоставяне на данни на друг </w:t>
      </w:r>
      <w:r w:rsidR="00580030" w:rsidRPr="00FD4C39">
        <w:rPr>
          <w:rFonts w:ascii="Times New Roman" w:eastAsia="Calibri" w:hAnsi="Times New Roman" w:cs="Times New Roman"/>
          <w:sz w:val="24"/>
          <w:szCs w:val="24"/>
        </w:rPr>
        <w:t>АЛД</w:t>
      </w:r>
      <w:r w:rsidR="006E1B8C">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при ск</w:t>
      </w:r>
      <w:r w:rsidR="00695EBF" w:rsidRPr="00FD4C39">
        <w:rPr>
          <w:rFonts w:ascii="Times New Roman" w:eastAsia="Calibri" w:hAnsi="Times New Roman" w:cs="Times New Roman"/>
          <w:sz w:val="24"/>
          <w:szCs w:val="24"/>
        </w:rPr>
        <w:t>лючване на договора за услуга.</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В КЗЛД често постъпват въпроси, свързани с предоставянето на лични данни (три имена и ЕГН) при внасяне и теглене на суми в банки.</w:t>
      </w:r>
      <w:r w:rsidRPr="00FD4C39">
        <w:rPr>
          <w:rFonts w:ascii="Times New Roman" w:eastAsia="Calibri" w:hAnsi="Times New Roman" w:cs="Times New Roman"/>
          <w:sz w:val="24"/>
          <w:szCs w:val="24"/>
        </w:rPr>
        <w:t xml:space="preserve"> Процедурата по идентифициране на клиента е задължителна за банковите институции по силата на </w:t>
      </w:r>
      <w:r w:rsidR="00FE5852" w:rsidRPr="00FD4C39">
        <w:rPr>
          <w:rFonts w:ascii="Times New Roman" w:eastAsia="Calibri" w:hAnsi="Times New Roman" w:cs="Times New Roman"/>
          <w:sz w:val="24"/>
          <w:szCs w:val="24"/>
        </w:rPr>
        <w:t xml:space="preserve">Закона </w:t>
      </w:r>
      <w:r w:rsidRPr="00FD4C39">
        <w:rPr>
          <w:rFonts w:ascii="Times New Roman" w:eastAsia="Calibri" w:hAnsi="Times New Roman" w:cs="Times New Roman"/>
          <w:sz w:val="24"/>
          <w:szCs w:val="24"/>
        </w:rPr>
        <w:t>за мерките срещу изпирането на пари</w:t>
      </w:r>
      <w:r w:rsidR="00FE5852" w:rsidRPr="00FD4C39">
        <w:rPr>
          <w:rFonts w:ascii="Times New Roman" w:eastAsia="Calibri" w:hAnsi="Times New Roman" w:cs="Times New Roman"/>
          <w:sz w:val="24"/>
          <w:szCs w:val="24"/>
        </w:rPr>
        <w:t xml:space="preserve"> (ЗМИП)</w:t>
      </w:r>
      <w:r w:rsidRPr="00FD4C39">
        <w:rPr>
          <w:rFonts w:ascii="Times New Roman" w:eastAsia="Calibri" w:hAnsi="Times New Roman" w:cs="Times New Roman"/>
          <w:sz w:val="24"/>
          <w:szCs w:val="24"/>
        </w:rPr>
        <w:t xml:space="preserve">. Практиката на КЗЛД в това отношение е постоянна, като се изразява в позицията, че изричното съгласие на лицето, чиито данни се обработват, е само </w:t>
      </w:r>
      <w:r w:rsidR="00FB5294">
        <w:rPr>
          <w:rFonts w:ascii="Times New Roman" w:eastAsia="Calibri" w:hAnsi="Times New Roman" w:cs="Times New Roman"/>
          <w:sz w:val="24"/>
          <w:szCs w:val="24"/>
        </w:rPr>
        <w:t>една от предпоставките, посочвана</w:t>
      </w:r>
      <w:r w:rsidRPr="00FD4C39">
        <w:rPr>
          <w:rFonts w:ascii="Times New Roman" w:eastAsia="Calibri" w:hAnsi="Times New Roman" w:cs="Times New Roman"/>
          <w:sz w:val="24"/>
          <w:szCs w:val="24"/>
        </w:rPr>
        <w:t xml:space="preserve"> в</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w:t>
      </w:r>
      <w:r w:rsidR="00FB5294">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отсъствието й не опорочава действията на администратора на лични данни (банката). Тъй като наличието само на едно от изброените в текста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до</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7 условия, е достатъчно да обоснове допустимост на обработва</w:t>
      </w:r>
      <w:r w:rsidR="00FB5294">
        <w:rPr>
          <w:rFonts w:ascii="Times New Roman" w:eastAsia="Calibri" w:hAnsi="Times New Roman" w:cs="Times New Roman"/>
          <w:sz w:val="24"/>
          <w:szCs w:val="24"/>
        </w:rPr>
        <w:t>нето на личните данни. В случая</w:t>
      </w:r>
      <w:r w:rsidRPr="00FD4C39">
        <w:rPr>
          <w:rFonts w:ascii="Times New Roman" w:eastAsia="Calibri" w:hAnsi="Times New Roman" w:cs="Times New Roman"/>
          <w:sz w:val="24"/>
          <w:szCs w:val="24"/>
        </w:rPr>
        <w:t xml:space="preserve"> изискваните данни се обработват законосъобразно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от ЗЗ</w:t>
      </w:r>
      <w:r w:rsidR="00165649" w:rsidRPr="00FD4C39">
        <w:rPr>
          <w:rFonts w:ascii="Times New Roman" w:eastAsia="Calibri" w:hAnsi="Times New Roman" w:cs="Times New Roman"/>
          <w:sz w:val="24"/>
          <w:szCs w:val="24"/>
        </w:rPr>
        <w:t>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в изпълнение на нормативно установено задължение на банката.</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Продължава тенденцията гражданите да се интересуват имат ли право касиерите в магазините да изискват представяне на личната карта при плащане с дебитна карта</w:t>
      </w:r>
      <w:r w:rsidRPr="00FD4C39">
        <w:rPr>
          <w:rFonts w:ascii="Times New Roman" w:eastAsia="Calibri" w:hAnsi="Times New Roman" w:cs="Times New Roman"/>
          <w:sz w:val="24"/>
          <w:szCs w:val="24"/>
        </w:rPr>
        <w:t>. В</w:t>
      </w:r>
      <w:r w:rsidR="00FB5294">
        <w:rPr>
          <w:rFonts w:ascii="Times New Roman" w:eastAsia="Calibri" w:hAnsi="Times New Roman" w:cs="Times New Roman"/>
          <w:sz w:val="24"/>
          <w:szCs w:val="24"/>
        </w:rPr>
        <w:t>ъв връзка с поставените въпроси</w:t>
      </w:r>
      <w:r w:rsidRPr="00FD4C39">
        <w:rPr>
          <w:rFonts w:ascii="Times New Roman" w:eastAsia="Calibri" w:hAnsi="Times New Roman" w:cs="Times New Roman"/>
          <w:sz w:val="24"/>
          <w:szCs w:val="24"/>
        </w:rPr>
        <w:t xml:space="preserve"> КЗЛД информира гражданите, че</w:t>
      </w:r>
      <w:r w:rsidR="00FB5294">
        <w:rPr>
          <w:rFonts w:ascii="Times New Roman" w:eastAsia="Calibri" w:hAnsi="Times New Roman" w:cs="Times New Roman"/>
          <w:sz w:val="24"/>
          <w:szCs w:val="24"/>
        </w:rPr>
        <w:t xml:space="preserve"> т.</w:t>
      </w:r>
      <w:r w:rsidRPr="00FD4C39">
        <w:rPr>
          <w:rFonts w:ascii="Times New Roman" w:eastAsia="Calibri" w:hAnsi="Times New Roman" w:cs="Times New Roman"/>
          <w:sz w:val="24"/>
          <w:szCs w:val="24"/>
        </w:rPr>
        <w:t>нар.</w:t>
      </w:r>
      <w:r w:rsidR="00B63ACE"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дебитна карта е платежна карта по смисъла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25 от Наредба </w:t>
      </w:r>
      <w:r w:rsidR="009A2D9F"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 xml:space="preserve">3 от 16 юли </w:t>
      </w:r>
      <w:r w:rsidRPr="00FD4C39">
        <w:rPr>
          <w:rFonts w:ascii="Times New Roman" w:eastAsia="Calibri" w:hAnsi="Times New Roman" w:cs="Times New Roman"/>
          <w:sz w:val="24"/>
          <w:szCs w:val="24"/>
        </w:rPr>
        <w:lastRenderedPageBreak/>
        <w:t>2009</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условията и реда за изпълнение на платежни операции и за използване на платежни инструменти, </w:t>
      </w:r>
      <w:r w:rsidRPr="00FD4C39">
        <w:rPr>
          <w:rFonts w:ascii="Times New Roman" w:eastAsia="Calibri" w:hAnsi="Times New Roman" w:cs="Times New Roman"/>
          <w:iCs/>
          <w:sz w:val="24"/>
          <w:szCs w:val="24"/>
        </w:rPr>
        <w:t>издадена от Българската народна банка</w:t>
      </w:r>
      <w:r w:rsidR="00FE5852" w:rsidRPr="00FD4C39">
        <w:rPr>
          <w:rFonts w:ascii="Times New Roman" w:eastAsia="Calibri" w:hAnsi="Times New Roman" w:cs="Times New Roman"/>
          <w:iCs/>
          <w:sz w:val="24"/>
          <w:szCs w:val="24"/>
        </w:rPr>
        <w:t xml:space="preserve"> (БНБ)</w:t>
      </w:r>
      <w:r w:rsidRPr="00FD4C39">
        <w:rPr>
          <w:rFonts w:ascii="Times New Roman" w:eastAsia="Calibri" w:hAnsi="Times New Roman" w:cs="Times New Roman"/>
          <w:iCs/>
          <w:sz w:val="24"/>
          <w:szCs w:val="24"/>
        </w:rPr>
        <w:t xml:space="preserve">. </w:t>
      </w:r>
      <w:r w:rsidRPr="00FD4C39">
        <w:rPr>
          <w:rFonts w:ascii="Times New Roman" w:eastAsia="Calibri" w:hAnsi="Times New Roman" w:cs="Times New Roman"/>
          <w:sz w:val="24"/>
          <w:szCs w:val="24"/>
        </w:rPr>
        <w:t xml:space="preserve">Платежната карта се използва само лично от </w:t>
      </w:r>
      <w:proofErr w:type="spellStart"/>
      <w:r w:rsidRPr="00FD4C39">
        <w:rPr>
          <w:rFonts w:ascii="Times New Roman" w:eastAsia="Calibri" w:hAnsi="Times New Roman" w:cs="Times New Roman"/>
          <w:sz w:val="24"/>
          <w:szCs w:val="24"/>
        </w:rPr>
        <w:t>оправомощения</w:t>
      </w:r>
      <w:proofErr w:type="spellEnd"/>
      <w:r w:rsidRPr="00FD4C39">
        <w:rPr>
          <w:rFonts w:ascii="Times New Roman" w:eastAsia="Calibri" w:hAnsi="Times New Roman" w:cs="Times New Roman"/>
          <w:sz w:val="24"/>
          <w:szCs w:val="24"/>
        </w:rPr>
        <w:t xml:space="preserve"> ползвател на платежни услуги.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32,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Наредба </w:t>
      </w:r>
      <w:r w:rsidR="009A2D9F"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3</w:t>
      </w:r>
      <w:r w:rsidRPr="00FD4C39">
        <w:rPr>
          <w:rFonts w:ascii="Times New Roman" w:eastAsia="Calibri" w:hAnsi="Times New Roman" w:cs="Times New Roman"/>
          <w:iCs/>
          <w:sz w:val="24"/>
          <w:szCs w:val="24"/>
        </w:rPr>
        <w:t xml:space="preserve"> </w:t>
      </w:r>
      <w:r w:rsidRPr="00FD4C39">
        <w:rPr>
          <w:rFonts w:ascii="Times New Roman" w:eastAsia="Calibri" w:hAnsi="Times New Roman" w:cs="Times New Roman"/>
          <w:sz w:val="24"/>
          <w:szCs w:val="24"/>
        </w:rPr>
        <w:t xml:space="preserve">търговецът, при който се намира терминалното устройство ПОС, чрез което се извършва плащането, може да откаже използването на платежна карта в случай на отказ от страна на държателя да представи документ, потвърждаващ неговата самоличност, или когато търговецът установи, че </w:t>
      </w:r>
      <w:proofErr w:type="spellStart"/>
      <w:r w:rsidRPr="00FD4C39">
        <w:rPr>
          <w:rFonts w:ascii="Times New Roman" w:eastAsia="Calibri" w:hAnsi="Times New Roman" w:cs="Times New Roman"/>
          <w:sz w:val="24"/>
          <w:szCs w:val="24"/>
        </w:rPr>
        <w:t>неоправомощено</w:t>
      </w:r>
      <w:proofErr w:type="spellEnd"/>
      <w:r w:rsidRPr="00FD4C39">
        <w:rPr>
          <w:rFonts w:ascii="Times New Roman" w:eastAsia="Calibri" w:hAnsi="Times New Roman" w:cs="Times New Roman"/>
          <w:sz w:val="24"/>
          <w:szCs w:val="24"/>
        </w:rPr>
        <w:t xml:space="preserve"> лице използва платежната карта. </w:t>
      </w:r>
    </w:p>
    <w:p w:rsidR="00E558EA" w:rsidRPr="00FD4C39" w:rsidRDefault="00E558EA"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Голяма група въпроси през 2014</w:t>
      </w:r>
      <w:r w:rsidR="004D42A2">
        <w:rPr>
          <w:rFonts w:ascii="Times New Roman" w:eastAsia="Calibri" w:hAnsi="Times New Roman" w:cs="Times New Roman"/>
          <w:b/>
          <w:sz w:val="24"/>
          <w:szCs w:val="24"/>
        </w:rPr>
        <w:t> г.</w:t>
      </w:r>
      <w:r w:rsidRPr="00FD4C39">
        <w:rPr>
          <w:rFonts w:ascii="Times New Roman" w:eastAsia="Calibri" w:hAnsi="Times New Roman" w:cs="Times New Roman"/>
          <w:b/>
          <w:sz w:val="24"/>
          <w:szCs w:val="24"/>
        </w:rPr>
        <w:t xml:space="preserve"> с</w:t>
      </w:r>
      <w:r w:rsidR="00FB5294">
        <w:rPr>
          <w:rFonts w:ascii="Times New Roman" w:eastAsia="Calibri" w:hAnsi="Times New Roman" w:cs="Times New Roman"/>
          <w:b/>
          <w:sz w:val="24"/>
          <w:szCs w:val="24"/>
        </w:rPr>
        <w:t>е свързват</w:t>
      </w:r>
      <w:r w:rsidRPr="00FD4C39">
        <w:rPr>
          <w:rFonts w:ascii="Times New Roman" w:eastAsia="Calibri" w:hAnsi="Times New Roman" w:cs="Times New Roman"/>
          <w:b/>
          <w:sz w:val="24"/>
          <w:szCs w:val="24"/>
        </w:rPr>
        <w:t xml:space="preserve"> със </w:t>
      </w:r>
      <w:r w:rsidRPr="00FD4C39">
        <w:rPr>
          <w:rFonts w:ascii="Times New Roman" w:eastAsia="Calibri" w:hAnsi="Times New Roman" w:cs="Times New Roman"/>
          <w:sz w:val="24"/>
          <w:szCs w:val="24"/>
        </w:rPr>
        <w:t>засилената тенденц</w:t>
      </w:r>
      <w:r w:rsidR="00FB5294">
        <w:rPr>
          <w:rFonts w:ascii="Times New Roman" w:eastAsia="Calibri" w:hAnsi="Times New Roman" w:cs="Times New Roman"/>
          <w:sz w:val="24"/>
          <w:szCs w:val="24"/>
        </w:rPr>
        <w:t xml:space="preserve">ия физически лица да извършват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с цел охрана на собствеността си. В тези случаи КЗЛД приема действията по извършване на </w:t>
      </w:r>
      <w:proofErr w:type="spellStart"/>
      <w:r w:rsidRPr="00FD4C39">
        <w:rPr>
          <w:rFonts w:ascii="Times New Roman" w:eastAsia="Calibri" w:hAnsi="Times New Roman" w:cs="Times New Roman"/>
          <w:sz w:val="24"/>
          <w:szCs w:val="24"/>
        </w:rPr>
        <w:t>видеонаблюдение</w:t>
      </w:r>
      <w:proofErr w:type="spellEnd"/>
      <w:r w:rsidR="002466F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като обработване на лични данни за домашни и лични нужди по смисъла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9 от ЗЗЛД, поради което това обработване на лични данни не попада в обхвата на ЗЗЛД.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 xml:space="preserve">Често се задават и въпроси, свързани с частната охранителна дейност </w:t>
      </w:r>
      <w:r w:rsidRPr="00FD4C39">
        <w:rPr>
          <w:rFonts w:ascii="Times New Roman" w:eastAsia="Calibri" w:hAnsi="Times New Roman" w:cs="Times New Roman"/>
          <w:sz w:val="24"/>
          <w:szCs w:val="24"/>
        </w:rPr>
        <w:t xml:space="preserve">и личните данни, </w:t>
      </w:r>
      <w:r w:rsidR="00CC7C06">
        <w:rPr>
          <w:rFonts w:ascii="Times New Roman" w:eastAsia="Calibri" w:hAnsi="Times New Roman" w:cs="Times New Roman"/>
          <w:sz w:val="24"/>
          <w:szCs w:val="24"/>
        </w:rPr>
        <w:t>които се обработват</w:t>
      </w:r>
      <w:r w:rsidRPr="00FD4C39">
        <w:rPr>
          <w:rFonts w:ascii="Times New Roman" w:eastAsia="Calibri" w:hAnsi="Times New Roman" w:cs="Times New Roman"/>
          <w:sz w:val="24"/>
          <w:szCs w:val="24"/>
        </w:rPr>
        <w:t xml:space="preserve"> от охранителите при охраняване на различни обекти.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6 от </w:t>
      </w:r>
      <w:r w:rsidR="00135D22" w:rsidRPr="00FD4C39">
        <w:rPr>
          <w:rFonts w:ascii="Times New Roman" w:eastAsia="Calibri" w:hAnsi="Times New Roman" w:cs="Times New Roman"/>
          <w:sz w:val="24"/>
          <w:szCs w:val="24"/>
        </w:rPr>
        <w:t>Закона за частната охранителна дейност (</w:t>
      </w:r>
      <w:r w:rsidR="00686232" w:rsidRPr="00FD4C39">
        <w:rPr>
          <w:rFonts w:ascii="Times New Roman" w:eastAsia="Calibri" w:hAnsi="Times New Roman" w:cs="Times New Roman"/>
          <w:sz w:val="24"/>
          <w:szCs w:val="24"/>
        </w:rPr>
        <w:t>ЗЧОД</w:t>
      </w:r>
      <w:r w:rsidR="00135D22" w:rsidRPr="00FD4C39">
        <w:rPr>
          <w:rFonts w:ascii="Times New Roman" w:eastAsia="Calibri" w:hAnsi="Times New Roman" w:cs="Times New Roman"/>
          <w:sz w:val="24"/>
          <w:szCs w:val="24"/>
        </w:rPr>
        <w:t>)</w:t>
      </w:r>
      <w:r w:rsidR="00CC7C06">
        <w:rPr>
          <w:rFonts w:ascii="Times New Roman" w:eastAsia="Calibri" w:hAnsi="Times New Roman" w:cs="Times New Roman"/>
          <w:sz w:val="24"/>
          <w:szCs w:val="24"/>
        </w:rPr>
        <w:t xml:space="preserve"> за всеки обект, поеман</w:t>
      </w:r>
      <w:r w:rsidRPr="00FD4C39">
        <w:rPr>
          <w:rFonts w:ascii="Times New Roman" w:eastAsia="Calibri" w:hAnsi="Times New Roman" w:cs="Times New Roman"/>
          <w:sz w:val="24"/>
          <w:szCs w:val="24"/>
        </w:rPr>
        <w:t xml:space="preserve"> за охрана, лицата, извършващи охранителна дейност</w:t>
      </w:r>
      <w:r w:rsidR="00CC7C06">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изготвят и съхраняват план за охраната на обекта, който включва и изготвяне на правилник за пропускателния режим, </w:t>
      </w:r>
      <w:r w:rsidR="00CC7C06">
        <w:rPr>
          <w:rFonts w:ascii="Times New Roman" w:eastAsia="Calibri" w:hAnsi="Times New Roman" w:cs="Times New Roman"/>
          <w:sz w:val="24"/>
          <w:szCs w:val="24"/>
        </w:rPr>
        <w:t>който се утвърждава</w:t>
      </w:r>
      <w:r w:rsidRPr="00FD4C39">
        <w:rPr>
          <w:rFonts w:ascii="Times New Roman" w:eastAsia="Calibri" w:hAnsi="Times New Roman" w:cs="Times New Roman"/>
          <w:sz w:val="24"/>
          <w:szCs w:val="24"/>
        </w:rPr>
        <w:t xml:space="preserve"> от възложителя по договора за охрана или от упълномощено от него лице.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30,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б.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а</w:t>
      </w:r>
      <w:r w:rsidR="00CC7C06">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б</w:t>
      </w:r>
      <w:r w:rsidR="00CC7C06">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от </w:t>
      </w:r>
      <w:r w:rsidR="007E5AE5" w:rsidRPr="00FD4C39">
        <w:rPr>
          <w:rFonts w:ascii="Times New Roman" w:eastAsia="Calibri" w:hAnsi="Times New Roman" w:cs="Times New Roman"/>
          <w:sz w:val="24"/>
          <w:szCs w:val="24"/>
        </w:rPr>
        <w:t>ЗЧОД</w:t>
      </w:r>
      <w:r w:rsidRPr="00FD4C39">
        <w:rPr>
          <w:rFonts w:ascii="Times New Roman" w:eastAsia="Calibri" w:hAnsi="Times New Roman" w:cs="Times New Roman"/>
          <w:sz w:val="24"/>
          <w:szCs w:val="24"/>
        </w:rPr>
        <w:t xml:space="preserve"> при извършване на дейността по охрана охранителите изискват спазването на установения от възложителя по договора пропускателен режим при влизане и излизане от охранявания обект и вътрешния ред в него, включително чрез даване и спазване на задължителни указания при:</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 проверка на документите за самоличност на външни лица и служебните пропуски на работещите;</w:t>
      </w:r>
    </w:p>
    <w:p w:rsidR="00EE7799" w:rsidRPr="00FD4C39" w:rsidRDefault="0068204A"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2. </w:t>
      </w:r>
      <w:r w:rsidR="00EE7799" w:rsidRPr="00FD4C39">
        <w:rPr>
          <w:rFonts w:ascii="Times New Roman" w:eastAsia="Calibri" w:hAnsi="Times New Roman" w:cs="Times New Roman"/>
          <w:sz w:val="24"/>
          <w:szCs w:val="24"/>
        </w:rPr>
        <w:t>проверка на багажа, товара и/или на моторните превозни средства и съпроводителните им документи.</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Предвид това охранителите имат право да записват лични данни на посетителите </w:t>
      </w:r>
      <w:r w:rsidR="007E5AE5" w:rsidRPr="00FD4C39">
        <w:rPr>
          <w:rFonts w:ascii="Times New Roman" w:eastAsia="Calibri" w:hAnsi="Times New Roman" w:cs="Times New Roman"/>
          <w:sz w:val="24"/>
          <w:szCs w:val="24"/>
        </w:rPr>
        <w:t xml:space="preserve">от </w:t>
      </w:r>
      <w:r w:rsidRPr="00FD4C39">
        <w:rPr>
          <w:rFonts w:ascii="Times New Roman" w:eastAsia="Calibri" w:hAnsi="Times New Roman" w:cs="Times New Roman"/>
          <w:sz w:val="24"/>
          <w:szCs w:val="24"/>
        </w:rPr>
        <w:t xml:space="preserve">документа им за самоличност, но нямат право да го задържат или да правят копие от него. </w:t>
      </w:r>
      <w:r w:rsidR="00CC7C06">
        <w:rPr>
          <w:rFonts w:ascii="Times New Roman" w:eastAsia="Calibri" w:hAnsi="Times New Roman" w:cs="Times New Roman"/>
          <w:sz w:val="24"/>
          <w:szCs w:val="24"/>
        </w:rPr>
        <w:t>В този смисъл е разпоредбата на чл.</w:t>
      </w:r>
      <w:r w:rsidRPr="00FD4C39">
        <w:rPr>
          <w:rFonts w:ascii="Times New Roman" w:eastAsia="Calibri" w:hAnsi="Times New Roman" w:cs="Times New Roman"/>
          <w:sz w:val="24"/>
          <w:szCs w:val="24"/>
        </w:rPr>
        <w:t xml:space="preserve">11 от </w:t>
      </w:r>
      <w:r w:rsidR="00FE7018" w:rsidRPr="00FD4C39">
        <w:rPr>
          <w:rFonts w:ascii="Times New Roman" w:eastAsia="Calibri" w:hAnsi="Times New Roman" w:cs="Times New Roman"/>
          <w:sz w:val="24"/>
          <w:szCs w:val="24"/>
        </w:rPr>
        <w:t>З</w:t>
      </w:r>
      <w:r w:rsidR="007E5AE5" w:rsidRPr="00FD4C39">
        <w:rPr>
          <w:rFonts w:ascii="Times New Roman" w:eastAsia="Calibri" w:hAnsi="Times New Roman" w:cs="Times New Roman"/>
          <w:sz w:val="24"/>
          <w:szCs w:val="24"/>
        </w:rPr>
        <w:t>акона за българските лични документи (ЗБЛД),</w:t>
      </w:r>
      <w:r w:rsidRPr="00FD4C39">
        <w:rPr>
          <w:rFonts w:ascii="Times New Roman" w:eastAsia="Calibri" w:hAnsi="Times New Roman" w:cs="Times New Roman"/>
          <w:sz w:val="24"/>
          <w:szCs w:val="24"/>
        </w:rPr>
        <w:t xml:space="preserve"> който изрично постановява, че никой няма право да дава или приема в залог, както и да използва или преотстъпва български личен документ на друго лице.</w:t>
      </w:r>
    </w:p>
    <w:p w:rsidR="00EE7799" w:rsidRPr="00FD4C39" w:rsidRDefault="00EE7799" w:rsidP="00EE4610">
      <w:pPr>
        <w:widowControl w:val="0"/>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2. Анализ на съдебната практика по повод административни производства</w:t>
      </w:r>
    </w:p>
    <w:p w:rsidR="00EE7799" w:rsidRPr="00FD4C39" w:rsidRDefault="00EE7799" w:rsidP="00EE4610">
      <w:pPr>
        <w:widowControl w:val="0"/>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в Административен съд</w:t>
      </w:r>
      <w:r w:rsidR="004D42A2">
        <w:rPr>
          <w:rFonts w:ascii="Times New Roman" w:eastAsia="Calibri" w:hAnsi="Times New Roman" w:cs="Times New Roman"/>
          <w:sz w:val="24"/>
          <w:szCs w:val="24"/>
        </w:rPr>
        <w:t xml:space="preserve"> – </w:t>
      </w:r>
      <w:r w:rsidR="00CC7C06">
        <w:rPr>
          <w:rFonts w:ascii="Times New Roman" w:eastAsia="Calibri" w:hAnsi="Times New Roman" w:cs="Times New Roman"/>
          <w:sz w:val="24"/>
          <w:szCs w:val="24"/>
        </w:rPr>
        <w:t>София-</w:t>
      </w:r>
      <w:r w:rsidRPr="00FD4C39">
        <w:rPr>
          <w:rFonts w:ascii="Times New Roman" w:eastAsia="Calibri" w:hAnsi="Times New Roman" w:cs="Times New Roman"/>
          <w:sz w:val="24"/>
          <w:szCs w:val="24"/>
        </w:rPr>
        <w:t>град (АССГ</w:t>
      </w:r>
      <w:r w:rsidRPr="00FD4C39">
        <w:rPr>
          <w:rFonts w:ascii="Times New Roman" w:eastAsia="Calibri" w:hAnsi="Times New Roman" w:cs="Times New Roman"/>
          <w:sz w:val="24"/>
          <w:szCs w:val="24"/>
          <w:highlight w:val="lightGray"/>
        </w:rPr>
        <w:t>)</w:t>
      </w:r>
      <w:r w:rsidR="00CC7C06">
        <w:rPr>
          <w:rFonts w:ascii="Times New Roman" w:eastAsia="Calibri" w:hAnsi="Times New Roman" w:cs="Times New Roman"/>
          <w:sz w:val="24"/>
          <w:szCs w:val="24"/>
        </w:rPr>
        <w:t xml:space="preserve"> се образуват</w:t>
      </w:r>
      <w:r w:rsidRPr="00FD4C39">
        <w:rPr>
          <w:rFonts w:ascii="Times New Roman" w:eastAsia="Calibri" w:hAnsi="Times New Roman" w:cs="Times New Roman"/>
          <w:sz w:val="24"/>
          <w:szCs w:val="24"/>
        </w:rPr>
        <w:t xml:space="preserve"> 60 дела по оспорване на административни актове, издадени от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Тридесет и </w:t>
      </w:r>
      <w:r w:rsidR="00CC7C06">
        <w:rPr>
          <w:rFonts w:ascii="Times New Roman" w:eastAsia="Calibri" w:hAnsi="Times New Roman" w:cs="Times New Roman"/>
          <w:sz w:val="24"/>
          <w:szCs w:val="24"/>
        </w:rPr>
        <w:t>седем (37) са делата</w:t>
      </w:r>
      <w:r w:rsidRPr="00FD4C39">
        <w:rPr>
          <w:rFonts w:ascii="Times New Roman" w:eastAsia="Calibri" w:hAnsi="Times New Roman" w:cs="Times New Roman"/>
          <w:sz w:val="24"/>
          <w:szCs w:val="24"/>
        </w:rPr>
        <w:t xml:space="preserve"> </w:t>
      </w:r>
      <w:r w:rsidR="007E5AE5" w:rsidRPr="00FD4C39">
        <w:rPr>
          <w:rFonts w:ascii="Times New Roman" w:eastAsia="Calibri" w:hAnsi="Times New Roman" w:cs="Times New Roman"/>
          <w:sz w:val="24"/>
          <w:szCs w:val="24"/>
        </w:rPr>
        <w:t>пред</w:t>
      </w:r>
      <w:r w:rsidRPr="00FD4C39">
        <w:rPr>
          <w:rFonts w:ascii="Times New Roman" w:eastAsia="Calibri" w:hAnsi="Times New Roman" w:cs="Times New Roman"/>
          <w:sz w:val="24"/>
          <w:szCs w:val="24"/>
        </w:rPr>
        <w:t xml:space="preserve"> Върховен административен съд </w:t>
      </w:r>
      <w:r w:rsidR="007E5AE5" w:rsidRPr="00FD4C39">
        <w:rPr>
          <w:rFonts w:ascii="Times New Roman" w:eastAsia="Calibri" w:hAnsi="Times New Roman" w:cs="Times New Roman"/>
          <w:sz w:val="24"/>
          <w:szCs w:val="24"/>
        </w:rPr>
        <w:t xml:space="preserve">(ВАС) </w:t>
      </w:r>
      <w:r w:rsidRPr="00FD4C39">
        <w:rPr>
          <w:rFonts w:ascii="Times New Roman" w:eastAsia="Calibri" w:hAnsi="Times New Roman" w:cs="Times New Roman"/>
          <w:sz w:val="24"/>
          <w:szCs w:val="24"/>
        </w:rPr>
        <w:t>като втора инстанция.</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 </w:t>
      </w:r>
      <w:r w:rsidR="007E5AE5" w:rsidRPr="00FD4C39">
        <w:rPr>
          <w:rFonts w:ascii="Times New Roman" w:eastAsia="Calibri" w:hAnsi="Times New Roman" w:cs="Times New Roman"/>
          <w:sz w:val="24"/>
          <w:szCs w:val="24"/>
        </w:rPr>
        <w:t>отчетния период (2014</w:t>
      </w:r>
      <w:r w:rsidR="004D42A2">
        <w:rPr>
          <w:rFonts w:ascii="Times New Roman" w:eastAsia="Calibri" w:hAnsi="Times New Roman" w:cs="Times New Roman"/>
          <w:sz w:val="24"/>
          <w:szCs w:val="24"/>
        </w:rPr>
        <w:t> г.</w:t>
      </w:r>
      <w:r w:rsidR="007E5AE5" w:rsidRPr="00FD4C39">
        <w:rPr>
          <w:rFonts w:ascii="Times New Roman" w:eastAsia="Calibri" w:hAnsi="Times New Roman" w:cs="Times New Roman"/>
          <w:sz w:val="24"/>
          <w:szCs w:val="24"/>
        </w:rPr>
        <w:t xml:space="preserve">) </w:t>
      </w:r>
      <w:r w:rsidR="00CC7C06">
        <w:rPr>
          <w:rFonts w:ascii="Times New Roman" w:eastAsia="Calibri" w:hAnsi="Times New Roman" w:cs="Times New Roman"/>
          <w:sz w:val="24"/>
          <w:szCs w:val="24"/>
        </w:rPr>
        <w:t>АССГ обявява</w:t>
      </w:r>
      <w:r w:rsidRPr="00FD4C39">
        <w:rPr>
          <w:rFonts w:ascii="Times New Roman" w:eastAsia="Calibri" w:hAnsi="Times New Roman" w:cs="Times New Roman"/>
          <w:sz w:val="24"/>
          <w:szCs w:val="24"/>
        </w:rPr>
        <w:t xml:space="preserve"> едно решение на КЗЛД за нищожно. Мотивите на съда за обявяването на административният акт за нищожен са, че има подадена молба от жалбоподателя в административното производство за оттегляне на жалбата. </w:t>
      </w:r>
      <w:r w:rsidR="0065359C" w:rsidRPr="00FD4C39">
        <w:rPr>
          <w:rFonts w:ascii="Times New Roman" w:eastAsia="Calibri" w:hAnsi="Times New Roman" w:cs="Times New Roman"/>
          <w:sz w:val="24"/>
          <w:szCs w:val="24"/>
        </w:rPr>
        <w:t>В конкретния случай, к</w:t>
      </w:r>
      <w:r w:rsidRPr="00FD4C39">
        <w:rPr>
          <w:rFonts w:ascii="Times New Roman" w:eastAsia="Calibri" w:hAnsi="Times New Roman" w:cs="Times New Roman"/>
          <w:sz w:val="24"/>
          <w:szCs w:val="24"/>
        </w:rPr>
        <w:t>ъм момента на постановяването на адми</w:t>
      </w:r>
      <w:r w:rsidR="00CC7C06">
        <w:rPr>
          <w:rFonts w:ascii="Times New Roman" w:eastAsia="Calibri" w:hAnsi="Times New Roman" w:cs="Times New Roman"/>
          <w:sz w:val="24"/>
          <w:szCs w:val="24"/>
        </w:rPr>
        <w:t>нистративния акт, КЗЛД не е</w:t>
      </w:r>
      <w:r w:rsidRPr="00FD4C39">
        <w:rPr>
          <w:rFonts w:ascii="Times New Roman" w:eastAsia="Calibri" w:hAnsi="Times New Roman" w:cs="Times New Roman"/>
          <w:sz w:val="24"/>
          <w:szCs w:val="24"/>
        </w:rPr>
        <w:t xml:space="preserve"> уведомена за волята на жалбоподателя за оттегляне на жалбата му. Молбата за оттегляне на жалбата </w:t>
      </w:r>
      <w:r w:rsidR="00CC7C06">
        <w:rPr>
          <w:rFonts w:ascii="Times New Roman" w:eastAsia="Calibri" w:hAnsi="Times New Roman" w:cs="Times New Roman"/>
          <w:sz w:val="24"/>
          <w:szCs w:val="24"/>
        </w:rPr>
        <w:t>се подава</w:t>
      </w:r>
      <w:r w:rsidRPr="00FD4C39">
        <w:rPr>
          <w:rFonts w:ascii="Times New Roman" w:eastAsia="Calibri" w:hAnsi="Times New Roman" w:cs="Times New Roman"/>
          <w:sz w:val="24"/>
          <w:szCs w:val="24"/>
        </w:rPr>
        <w:t xml:space="preserve"> след постановяване на административния акт и в срока за неговото оспорване чрез КЗЛД до съда.</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 анализ на съдебната практика на АССГ може да се обобщи, че основанията за отмяна </w:t>
      </w:r>
      <w:r w:rsidR="00A57454" w:rsidRPr="00FD4C39">
        <w:rPr>
          <w:rFonts w:ascii="Times New Roman" w:eastAsia="Calibri" w:hAnsi="Times New Roman" w:cs="Times New Roman"/>
          <w:sz w:val="24"/>
          <w:szCs w:val="24"/>
        </w:rPr>
        <w:t xml:space="preserve">на </w:t>
      </w:r>
      <w:r w:rsidRPr="00FD4C39">
        <w:rPr>
          <w:rFonts w:ascii="Times New Roman" w:eastAsia="Calibri" w:hAnsi="Times New Roman" w:cs="Times New Roman"/>
          <w:sz w:val="24"/>
          <w:szCs w:val="24"/>
        </w:rPr>
        <w:t xml:space="preserve">по-голямата част от решенията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w:t>
      </w:r>
      <w:r w:rsidR="00D20359">
        <w:rPr>
          <w:rFonts w:ascii="Times New Roman" w:eastAsia="Calibri" w:hAnsi="Times New Roman" w:cs="Times New Roman"/>
          <w:sz w:val="24"/>
          <w:szCs w:val="24"/>
        </w:rPr>
        <w:t xml:space="preserve">са нарушение на </w:t>
      </w:r>
      <w:proofErr w:type="spellStart"/>
      <w:r w:rsidR="00D20359">
        <w:rPr>
          <w:rFonts w:ascii="Times New Roman" w:eastAsia="Calibri" w:hAnsi="Times New Roman" w:cs="Times New Roman"/>
          <w:sz w:val="24"/>
          <w:szCs w:val="24"/>
        </w:rPr>
        <w:t>административно</w:t>
      </w:r>
      <w:r w:rsidRPr="00FD4C39">
        <w:rPr>
          <w:rFonts w:ascii="Times New Roman" w:eastAsia="Calibri" w:hAnsi="Times New Roman" w:cs="Times New Roman"/>
          <w:sz w:val="24"/>
          <w:szCs w:val="24"/>
        </w:rPr>
        <w:t>производствените</w:t>
      </w:r>
      <w:proofErr w:type="spellEnd"/>
      <w:r w:rsidRPr="00FD4C39">
        <w:rPr>
          <w:rFonts w:ascii="Times New Roman" w:eastAsia="Calibri" w:hAnsi="Times New Roman" w:cs="Times New Roman"/>
          <w:sz w:val="24"/>
          <w:szCs w:val="24"/>
        </w:rPr>
        <w:t xml:space="preserve"> правила и противоречие на материалните разпоредби. Като н</w:t>
      </w:r>
      <w:r w:rsidR="00D20359">
        <w:rPr>
          <w:rFonts w:ascii="Times New Roman" w:eastAsia="Calibri" w:hAnsi="Times New Roman" w:cs="Times New Roman"/>
          <w:sz w:val="24"/>
          <w:szCs w:val="24"/>
        </w:rPr>
        <w:t xml:space="preserve">арушение на </w:t>
      </w:r>
      <w:proofErr w:type="spellStart"/>
      <w:r w:rsidR="00D20359">
        <w:rPr>
          <w:rFonts w:ascii="Times New Roman" w:eastAsia="Calibri" w:hAnsi="Times New Roman" w:cs="Times New Roman"/>
          <w:sz w:val="24"/>
          <w:szCs w:val="24"/>
        </w:rPr>
        <w:t>административно</w:t>
      </w:r>
      <w:r w:rsidRPr="00FD4C39">
        <w:rPr>
          <w:rFonts w:ascii="Times New Roman" w:eastAsia="Calibri" w:hAnsi="Times New Roman" w:cs="Times New Roman"/>
          <w:sz w:val="24"/>
          <w:szCs w:val="24"/>
        </w:rPr>
        <w:t>производствените</w:t>
      </w:r>
      <w:proofErr w:type="spellEnd"/>
      <w:r w:rsidRPr="00FD4C39">
        <w:rPr>
          <w:rFonts w:ascii="Times New Roman" w:eastAsia="Calibri" w:hAnsi="Times New Roman" w:cs="Times New Roman"/>
          <w:sz w:val="24"/>
          <w:szCs w:val="24"/>
        </w:rPr>
        <w:t xml:space="preserve"> правила се извежда от практиката несъбирането на достатъчно доказателства, които да дадат възможност на административния орган да се изяснят всички факти и обстоятелства от значение за конкретния случай. Констатираните от АССГ нарушения от страна на КЗЛД, изразяващи се в противоречие на материалните разпоредби, се свеждат до това дали правилно административният орган е определил нарушената норма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Мотивите на съда за изменение на актовете на КЗЛД в частта, в която е определен размерът на наложената санкция, е</w:t>
      </w:r>
      <w:r w:rsidR="00A57454"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липс</w:t>
      </w:r>
      <w:r w:rsidR="00A57454" w:rsidRPr="00FD4C39">
        <w:rPr>
          <w:rFonts w:ascii="Times New Roman" w:eastAsia="Calibri" w:hAnsi="Times New Roman" w:cs="Times New Roman"/>
          <w:sz w:val="24"/>
          <w:szCs w:val="24"/>
        </w:rPr>
        <w:t>а</w:t>
      </w:r>
      <w:r w:rsidRPr="00FD4C39">
        <w:rPr>
          <w:rFonts w:ascii="Times New Roman" w:eastAsia="Calibri" w:hAnsi="Times New Roman" w:cs="Times New Roman"/>
          <w:sz w:val="24"/>
          <w:szCs w:val="24"/>
        </w:rPr>
        <w:t xml:space="preserve"> </w:t>
      </w:r>
      <w:r w:rsidR="00A57454" w:rsidRPr="00FD4C39">
        <w:rPr>
          <w:rFonts w:ascii="Times New Roman" w:eastAsia="Calibri" w:hAnsi="Times New Roman" w:cs="Times New Roman"/>
          <w:sz w:val="24"/>
          <w:szCs w:val="24"/>
        </w:rPr>
        <w:t xml:space="preserve">на </w:t>
      </w:r>
      <w:r w:rsidRPr="00FD4C39">
        <w:rPr>
          <w:rFonts w:ascii="Times New Roman" w:eastAsia="Calibri" w:hAnsi="Times New Roman" w:cs="Times New Roman"/>
          <w:sz w:val="24"/>
          <w:szCs w:val="24"/>
        </w:rPr>
        <w:t xml:space="preserve">достатъчно мотиви, които да обосноват наложената санкция над минималния размер, определен от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Приема се, че санкцията следва да е насочена към постигане на целта на наказанието, което има възпитателна, възпираща и предупредителна функция, а не създаване на икономически затруднения на администраторите на лични данни, допуснали нарушението. </w:t>
      </w:r>
    </w:p>
    <w:p w:rsidR="00EE7799" w:rsidRPr="00FD4C39" w:rsidRDefault="00EE779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Следва да се посочи, че в съдебните актове, с които се отменя административният акт на КЗЛД, липсва произнасяне по отношение на това дали административната преписка се връща на КЗЛД за ново разглеждане. Таз</w:t>
      </w:r>
      <w:r w:rsidR="00245D0C" w:rsidRPr="00FD4C39">
        <w:rPr>
          <w:rFonts w:ascii="Times New Roman" w:eastAsia="Calibri" w:hAnsi="Times New Roman" w:cs="Times New Roman"/>
          <w:sz w:val="24"/>
          <w:szCs w:val="24"/>
        </w:rPr>
        <w:t xml:space="preserve">и практика създава несигурност и </w:t>
      </w:r>
      <w:r w:rsidRPr="00FD4C39">
        <w:rPr>
          <w:rFonts w:ascii="Times New Roman" w:eastAsia="Calibri" w:hAnsi="Times New Roman" w:cs="Times New Roman"/>
          <w:sz w:val="24"/>
          <w:szCs w:val="24"/>
        </w:rPr>
        <w:t xml:space="preserve">невъзможност на </w:t>
      </w:r>
      <w:r w:rsidR="00D20359">
        <w:rPr>
          <w:rFonts w:ascii="Times New Roman" w:eastAsia="Calibri" w:hAnsi="Times New Roman" w:cs="Times New Roman"/>
          <w:sz w:val="24"/>
          <w:szCs w:val="24"/>
        </w:rPr>
        <w:t>КЗЛД да упражни правомощията си съгласно ЗЗЛД</w:t>
      </w:r>
      <w:r w:rsidRPr="00FD4C39">
        <w:rPr>
          <w:rFonts w:ascii="Times New Roman" w:eastAsia="Calibri" w:hAnsi="Times New Roman" w:cs="Times New Roman"/>
          <w:sz w:val="24"/>
          <w:szCs w:val="24"/>
        </w:rPr>
        <w:t xml:space="preserve"> и </w:t>
      </w:r>
      <w:r w:rsidR="00245D0C" w:rsidRPr="00FD4C39">
        <w:rPr>
          <w:rFonts w:ascii="Times New Roman" w:eastAsia="Calibri" w:hAnsi="Times New Roman" w:cs="Times New Roman"/>
          <w:sz w:val="24"/>
          <w:szCs w:val="24"/>
        </w:rPr>
        <w:t xml:space="preserve">представлява </w:t>
      </w:r>
      <w:r w:rsidRPr="00FD4C39">
        <w:rPr>
          <w:rFonts w:ascii="Times New Roman" w:eastAsia="Calibri" w:hAnsi="Times New Roman" w:cs="Times New Roman"/>
          <w:sz w:val="24"/>
          <w:szCs w:val="24"/>
        </w:rPr>
        <w:t>порочност на съдебния акт. На територия</w:t>
      </w:r>
      <w:r w:rsidR="00484D5F">
        <w:rPr>
          <w:rFonts w:ascii="Times New Roman" w:eastAsia="Calibri" w:hAnsi="Times New Roman" w:cs="Times New Roman"/>
          <w:sz w:val="24"/>
          <w:szCs w:val="24"/>
        </w:rPr>
        <w:t>та на Република България</w:t>
      </w:r>
      <w:r w:rsidRPr="00FD4C39">
        <w:rPr>
          <w:rFonts w:ascii="Times New Roman" w:eastAsia="Calibri" w:hAnsi="Times New Roman" w:cs="Times New Roman"/>
          <w:sz w:val="24"/>
          <w:szCs w:val="24"/>
        </w:rPr>
        <w:t xml:space="preserve"> единственият орг</w:t>
      </w:r>
      <w:r w:rsidR="00245D0C" w:rsidRPr="00FD4C39">
        <w:rPr>
          <w:rFonts w:ascii="Times New Roman" w:eastAsia="Calibri" w:hAnsi="Times New Roman" w:cs="Times New Roman"/>
          <w:sz w:val="24"/>
          <w:szCs w:val="24"/>
        </w:rPr>
        <w:t xml:space="preserve">ан, който може да се произнесе </w:t>
      </w:r>
      <w:r w:rsidRPr="00FD4C39">
        <w:rPr>
          <w:rFonts w:ascii="Times New Roman" w:eastAsia="Calibri" w:hAnsi="Times New Roman" w:cs="Times New Roman"/>
          <w:sz w:val="24"/>
          <w:szCs w:val="24"/>
        </w:rPr>
        <w:t xml:space="preserve">дали е налице или не нарушение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е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Съдът не е компетен</w:t>
      </w:r>
      <w:r w:rsidR="00390496" w:rsidRPr="00FD4C39">
        <w:rPr>
          <w:rFonts w:ascii="Times New Roman" w:eastAsia="Calibri" w:hAnsi="Times New Roman" w:cs="Times New Roman"/>
          <w:sz w:val="24"/>
          <w:szCs w:val="24"/>
        </w:rPr>
        <w:t>тен да реши спора по същество. О</w:t>
      </w:r>
      <w:r w:rsidRPr="00FD4C39">
        <w:rPr>
          <w:rFonts w:ascii="Times New Roman" w:eastAsia="Calibri" w:hAnsi="Times New Roman" w:cs="Times New Roman"/>
          <w:sz w:val="24"/>
          <w:szCs w:val="24"/>
        </w:rPr>
        <w:t xml:space="preserve">тмяната и липсата на дадени указания за връщането на административната преписка </w:t>
      </w:r>
      <w:r w:rsidRPr="00FD4C39">
        <w:rPr>
          <w:rFonts w:ascii="Times New Roman" w:eastAsia="Calibri" w:hAnsi="Times New Roman" w:cs="Times New Roman"/>
          <w:sz w:val="24"/>
          <w:szCs w:val="24"/>
        </w:rPr>
        <w:lastRenderedPageBreak/>
        <w:t xml:space="preserve">за ново разглеждане от </w:t>
      </w:r>
      <w:r w:rsidR="00484D5F">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w:t>
      </w:r>
      <w:r w:rsidR="00390496" w:rsidRPr="00FD4C39">
        <w:rPr>
          <w:rFonts w:ascii="Times New Roman" w:eastAsia="Calibri" w:hAnsi="Times New Roman" w:cs="Times New Roman"/>
          <w:sz w:val="24"/>
          <w:szCs w:val="24"/>
        </w:rPr>
        <w:t>води до</w:t>
      </w:r>
      <w:r w:rsidRPr="00FD4C39">
        <w:rPr>
          <w:rFonts w:ascii="Times New Roman" w:eastAsia="Calibri" w:hAnsi="Times New Roman" w:cs="Times New Roman"/>
          <w:sz w:val="24"/>
          <w:szCs w:val="24"/>
        </w:rPr>
        <w:t xml:space="preserve"> невъзможност да бъде решен конкретният случай, което води след себе си нестабилност в отношенията между </w:t>
      </w:r>
      <w:r w:rsidR="00245D0C"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и физическото лице, за което се отнасят данните, и съответно защитата на правата </w:t>
      </w:r>
      <w:r w:rsidR="00245D0C" w:rsidRPr="00FD4C39">
        <w:rPr>
          <w:rFonts w:ascii="Times New Roman" w:eastAsia="Calibri" w:hAnsi="Times New Roman" w:cs="Times New Roman"/>
          <w:sz w:val="24"/>
          <w:szCs w:val="24"/>
        </w:rPr>
        <w:t>на физическите лица</w:t>
      </w:r>
      <w:r w:rsidRPr="00FD4C39">
        <w:rPr>
          <w:rFonts w:ascii="Times New Roman" w:eastAsia="Calibri" w:hAnsi="Times New Roman" w:cs="Times New Roman"/>
          <w:sz w:val="24"/>
          <w:szCs w:val="24"/>
        </w:rPr>
        <w:t xml:space="preserve">. </w:t>
      </w:r>
    </w:p>
    <w:p w:rsidR="00253EE4" w:rsidRPr="00FD4C39" w:rsidRDefault="00253EE4">
      <w:pPr>
        <w:rPr>
          <w:rFonts w:ascii="Times New Roman" w:eastAsia="Calibri" w:hAnsi="Times New Roman" w:cs="Times New Roman"/>
          <w:b/>
          <w:sz w:val="24"/>
          <w:szCs w:val="24"/>
        </w:rPr>
      </w:pPr>
      <w:r w:rsidRPr="00FD4C39">
        <w:rPr>
          <w:rFonts w:ascii="Times New Roman" w:eastAsia="Calibri" w:hAnsi="Times New Roman" w:cs="Times New Roman"/>
          <w:b/>
          <w:sz w:val="24"/>
          <w:szCs w:val="24"/>
        </w:rPr>
        <w:br w:type="page"/>
      </w:r>
    </w:p>
    <w:p w:rsidR="0014148C" w:rsidRPr="00FD4C39" w:rsidRDefault="0014148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IV. Статистика и анализ н</w:t>
      </w:r>
      <w:r w:rsidR="00484D5F">
        <w:rPr>
          <w:rFonts w:ascii="Times New Roman" w:eastAsia="Calibri" w:hAnsi="Times New Roman" w:cs="Times New Roman"/>
          <w:b/>
          <w:sz w:val="24"/>
          <w:szCs w:val="24"/>
        </w:rPr>
        <w:t xml:space="preserve">а контролната и </w:t>
      </w:r>
      <w:proofErr w:type="spellStart"/>
      <w:r w:rsidR="00484D5F">
        <w:rPr>
          <w:rFonts w:ascii="Times New Roman" w:eastAsia="Calibri" w:hAnsi="Times New Roman" w:cs="Times New Roman"/>
          <w:b/>
          <w:sz w:val="24"/>
          <w:szCs w:val="24"/>
        </w:rPr>
        <w:t>административно</w:t>
      </w:r>
      <w:r w:rsidRPr="00FD4C39">
        <w:rPr>
          <w:rFonts w:ascii="Times New Roman" w:eastAsia="Calibri" w:hAnsi="Times New Roman" w:cs="Times New Roman"/>
          <w:b/>
          <w:sz w:val="24"/>
          <w:szCs w:val="24"/>
        </w:rPr>
        <w:t>наказателната</w:t>
      </w:r>
      <w:proofErr w:type="spellEnd"/>
      <w:r w:rsidRPr="00FD4C39">
        <w:rPr>
          <w:rFonts w:ascii="Times New Roman" w:eastAsia="Calibri" w:hAnsi="Times New Roman" w:cs="Times New Roman"/>
          <w:b/>
          <w:sz w:val="24"/>
          <w:szCs w:val="24"/>
        </w:rPr>
        <w:t xml:space="preserve"> дейност</w:t>
      </w:r>
    </w:p>
    <w:p w:rsidR="0069463D" w:rsidRPr="00FD4C39" w:rsidRDefault="0069463D" w:rsidP="007B189E">
      <w:pPr>
        <w:spacing w:after="0" w:line="360" w:lineRule="auto"/>
        <w:ind w:firstLine="709"/>
        <w:jc w:val="both"/>
        <w:rPr>
          <w:rFonts w:ascii="Times New Roman" w:eastAsia="Calibri" w:hAnsi="Times New Roman" w:cs="Times New Roman"/>
          <w:b/>
          <w:sz w:val="24"/>
          <w:szCs w:val="24"/>
        </w:rPr>
      </w:pPr>
    </w:p>
    <w:p w:rsidR="0014148C" w:rsidRPr="00FD4C39" w:rsidRDefault="002466FF"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1. Контролна дейност</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Редът и методите за осъществяване на цялостната контролна дейност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се уреждат с разпоредбите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Правилника за дейността на КЗЛД и на нейната администрация</w:t>
      </w:r>
      <w:r w:rsidR="00897302" w:rsidRPr="00FD4C39">
        <w:rPr>
          <w:rFonts w:ascii="Times New Roman" w:eastAsia="Calibri" w:hAnsi="Times New Roman" w:cs="Times New Roman"/>
          <w:sz w:val="24"/>
          <w:szCs w:val="24"/>
        </w:rPr>
        <w:t xml:space="preserve"> (ПДКЗЛДНА)</w:t>
      </w:r>
      <w:r w:rsidRPr="00FD4C39">
        <w:rPr>
          <w:rFonts w:ascii="Times New Roman" w:eastAsia="Calibri" w:hAnsi="Times New Roman" w:cs="Times New Roman"/>
          <w:sz w:val="24"/>
          <w:szCs w:val="24"/>
        </w:rPr>
        <w:t xml:space="preserve">, Наредба </w:t>
      </w:r>
      <w:r w:rsidR="009A2D9F"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1 от 30.01.2013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минималното ниво на технически и организационни мерки и допустимия вид защита на личните данни (Наредбата), Инструкцията за контролната дейност и други вътрешноведомствени актове.</w:t>
      </w:r>
    </w:p>
    <w:p w:rsidR="00A434A5" w:rsidRPr="00FD4C39" w:rsidRDefault="00FE701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КЗЛД</w:t>
      </w:r>
      <w:r w:rsidR="00A434A5" w:rsidRPr="00FD4C39">
        <w:rPr>
          <w:rFonts w:ascii="Times New Roman" w:eastAsia="Calibri" w:hAnsi="Times New Roman" w:cs="Times New Roman"/>
          <w:sz w:val="24"/>
          <w:szCs w:val="24"/>
        </w:rPr>
        <w:t xml:space="preserve"> развива контролна дейност в следните направления:</w:t>
      </w:r>
    </w:p>
    <w:p w:rsidR="00A434A5" w:rsidRPr="00FD4C39" w:rsidRDefault="00A434A5" w:rsidP="00B901DE">
      <w:pPr>
        <w:pStyle w:val="ListParagraph"/>
        <w:numPr>
          <w:ilvl w:val="0"/>
          <w:numId w:val="14"/>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осъществява пряк контрол </w:t>
      </w:r>
      <w:r w:rsidR="00897302" w:rsidRPr="00FD4C39">
        <w:rPr>
          <w:rFonts w:ascii="Times New Roman" w:eastAsia="Calibri" w:hAnsi="Times New Roman" w:cs="Times New Roman"/>
          <w:sz w:val="24"/>
          <w:szCs w:val="24"/>
        </w:rPr>
        <w:t>спрямо</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в публичния и частен сектор;</w:t>
      </w:r>
    </w:p>
    <w:p w:rsidR="00A434A5" w:rsidRPr="00FD4C39" w:rsidRDefault="00A434A5" w:rsidP="00B901DE">
      <w:pPr>
        <w:pStyle w:val="ListParagraph"/>
        <w:numPr>
          <w:ilvl w:val="0"/>
          <w:numId w:val="14"/>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подпомага </w:t>
      </w:r>
      <w:r w:rsidR="00897302" w:rsidRPr="00FD4C39">
        <w:rPr>
          <w:rFonts w:ascii="Times New Roman" w:eastAsia="Calibri" w:hAnsi="Times New Roman" w:cs="Times New Roman"/>
          <w:sz w:val="24"/>
          <w:szCs w:val="24"/>
        </w:rPr>
        <w:t>АДЛ</w:t>
      </w:r>
      <w:r w:rsidRPr="00FD4C39">
        <w:rPr>
          <w:rFonts w:ascii="Times New Roman" w:eastAsia="Calibri" w:hAnsi="Times New Roman" w:cs="Times New Roman"/>
          <w:sz w:val="24"/>
          <w:szCs w:val="24"/>
        </w:rPr>
        <w:t xml:space="preserve"> с консултации и указания по спазване на нормативните актове и по предприемане на мерки за защита на обработваните лични данни;</w:t>
      </w:r>
    </w:p>
    <w:p w:rsidR="00A434A5" w:rsidRPr="00FD4C39" w:rsidRDefault="00A434A5" w:rsidP="00B901DE">
      <w:pPr>
        <w:pStyle w:val="ListParagraph"/>
        <w:numPr>
          <w:ilvl w:val="0"/>
          <w:numId w:val="14"/>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анализира текущо дейността на АЛД за спазване на нормативните актове по защита на личните данни;</w:t>
      </w:r>
    </w:p>
    <w:p w:rsidR="00A434A5" w:rsidRPr="00FD4C39" w:rsidRDefault="00A434A5" w:rsidP="00B901DE">
      <w:pPr>
        <w:pStyle w:val="ListParagraph"/>
        <w:numPr>
          <w:ilvl w:val="0"/>
          <w:numId w:val="14"/>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установява нарушения и налага наказания на основание и по реда на ЗЗЛД и </w:t>
      </w:r>
      <w:r w:rsidR="00897302" w:rsidRPr="00FD4C39">
        <w:rPr>
          <w:rFonts w:ascii="Times New Roman" w:eastAsia="Calibri" w:hAnsi="Times New Roman" w:cs="Times New Roman"/>
          <w:sz w:val="24"/>
          <w:szCs w:val="24"/>
        </w:rPr>
        <w:t>З</w:t>
      </w:r>
      <w:r w:rsidR="00786BAB" w:rsidRPr="00FD4C39">
        <w:rPr>
          <w:rFonts w:ascii="Times New Roman" w:eastAsia="Calibri" w:hAnsi="Times New Roman" w:cs="Times New Roman"/>
          <w:sz w:val="24"/>
          <w:szCs w:val="24"/>
        </w:rPr>
        <w:t>акона</w:t>
      </w:r>
      <w:r w:rsidRPr="00FD4C39">
        <w:rPr>
          <w:rFonts w:ascii="Times New Roman" w:eastAsia="Calibri" w:hAnsi="Times New Roman" w:cs="Times New Roman"/>
          <w:sz w:val="24"/>
          <w:szCs w:val="24"/>
        </w:rPr>
        <w:t xml:space="preserve"> за административните нарушения и наказания (ЗАНН).</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Контролът, предвиден в разпоредбите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12 от ЗЗЛД, се осъществява пряко от председателя и членовете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които се подпомагат от специализирана администрация.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26 от ПДКЗЛДНА, Дирекция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Правни производства и надзор</w:t>
      </w:r>
      <w:r w:rsidR="00484D5F">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чрез своето структурно звено</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отдел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Контрол и </w:t>
      </w:r>
      <w:proofErr w:type="spellStart"/>
      <w:r w:rsidRPr="00FD4C39">
        <w:rPr>
          <w:rFonts w:ascii="Times New Roman" w:eastAsia="Calibri" w:hAnsi="Times New Roman" w:cs="Times New Roman"/>
          <w:sz w:val="24"/>
          <w:szCs w:val="24"/>
        </w:rPr>
        <w:t>административнонаказателни</w:t>
      </w:r>
      <w:proofErr w:type="spellEnd"/>
      <w:r w:rsidRPr="00FD4C39">
        <w:rPr>
          <w:rFonts w:ascii="Times New Roman" w:eastAsia="Calibri" w:hAnsi="Times New Roman" w:cs="Times New Roman"/>
          <w:sz w:val="24"/>
          <w:szCs w:val="24"/>
        </w:rPr>
        <w:t xml:space="preserve"> производства</w:t>
      </w:r>
      <w:r w:rsidR="00484D5F">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подпомага контролната дейност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Дейността обхваща извършването на проверки на АЛД за изясняване на факти и обстоятелства и събиране на доказателства.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Целта на проверките е установяване на:</w:t>
      </w:r>
    </w:p>
    <w:p w:rsidR="00A434A5" w:rsidRPr="00FD4C39" w:rsidRDefault="00A434A5" w:rsidP="00B901DE">
      <w:pPr>
        <w:pStyle w:val="ListParagraph"/>
        <w:numPr>
          <w:ilvl w:val="0"/>
          <w:numId w:val="15"/>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основанието за обработване на лични данни;</w:t>
      </w:r>
    </w:p>
    <w:p w:rsidR="00A434A5" w:rsidRPr="00FD4C39" w:rsidRDefault="00A434A5" w:rsidP="00B901DE">
      <w:pPr>
        <w:pStyle w:val="ListParagraph"/>
        <w:numPr>
          <w:ilvl w:val="0"/>
          <w:numId w:val="15"/>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реда за водене на регистъра за лични данни;</w:t>
      </w:r>
    </w:p>
    <w:p w:rsidR="00A434A5" w:rsidRPr="00FD4C39" w:rsidRDefault="00A434A5" w:rsidP="00B901DE">
      <w:pPr>
        <w:pStyle w:val="ListParagraph"/>
        <w:numPr>
          <w:ilvl w:val="0"/>
          <w:numId w:val="15"/>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целите, за които се обработват личните данни;</w:t>
      </w:r>
    </w:p>
    <w:p w:rsidR="00A434A5" w:rsidRPr="00FD4C39" w:rsidRDefault="00A434A5" w:rsidP="00B901DE">
      <w:pPr>
        <w:pStyle w:val="ListParagraph"/>
        <w:numPr>
          <w:ilvl w:val="0"/>
          <w:numId w:val="15"/>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пропорционалността, точността и актуалността на данните;</w:t>
      </w:r>
    </w:p>
    <w:p w:rsidR="00A434A5" w:rsidRPr="00FD4C39" w:rsidRDefault="00A434A5" w:rsidP="00B901DE">
      <w:pPr>
        <w:pStyle w:val="ListParagraph"/>
        <w:numPr>
          <w:ilvl w:val="0"/>
          <w:numId w:val="15"/>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съответствието на степента на защита на обработваните данни с Наредбата.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Контролът се осъществява чрез извършване на посочените в</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12 от ЗЗЛД предварителни, текущи и </w:t>
      </w:r>
      <w:proofErr w:type="spellStart"/>
      <w:r w:rsidRPr="00FD4C39">
        <w:rPr>
          <w:rFonts w:ascii="Times New Roman" w:eastAsia="Calibri" w:hAnsi="Times New Roman" w:cs="Times New Roman"/>
          <w:sz w:val="24"/>
          <w:szCs w:val="24"/>
        </w:rPr>
        <w:t>последващи</w:t>
      </w:r>
      <w:proofErr w:type="spellEnd"/>
      <w:r w:rsidRPr="00FD4C39">
        <w:rPr>
          <w:rFonts w:ascii="Times New Roman" w:eastAsia="Calibri" w:hAnsi="Times New Roman" w:cs="Times New Roman"/>
          <w:sz w:val="24"/>
          <w:szCs w:val="24"/>
        </w:rPr>
        <w:t xml:space="preserve"> проверки. Всяка проверка приключва с изготвяне </w:t>
      </w:r>
      <w:r w:rsidRPr="00FD4C39">
        <w:rPr>
          <w:rFonts w:ascii="Times New Roman" w:eastAsia="Calibri" w:hAnsi="Times New Roman" w:cs="Times New Roman"/>
          <w:sz w:val="24"/>
          <w:szCs w:val="24"/>
        </w:rPr>
        <w:lastRenderedPageBreak/>
        <w:t xml:space="preserve">на </w:t>
      </w:r>
      <w:r w:rsidR="00897302" w:rsidRPr="00FD4C39">
        <w:rPr>
          <w:rFonts w:ascii="Times New Roman" w:eastAsia="Calibri" w:hAnsi="Times New Roman" w:cs="Times New Roman"/>
          <w:sz w:val="24"/>
          <w:szCs w:val="24"/>
        </w:rPr>
        <w:t>КА</w:t>
      </w:r>
      <w:r w:rsidRPr="00FD4C39">
        <w:rPr>
          <w:rFonts w:ascii="Times New Roman" w:eastAsia="Calibri" w:hAnsi="Times New Roman" w:cs="Times New Roman"/>
          <w:sz w:val="24"/>
          <w:szCs w:val="24"/>
        </w:rPr>
        <w:t xml:space="preserve">, а при установяване на административно нарушение на разпоредби от ЗЗЛД се образува </w:t>
      </w:r>
      <w:proofErr w:type="spellStart"/>
      <w:r w:rsidRPr="00FD4C39">
        <w:rPr>
          <w:rFonts w:ascii="Times New Roman" w:eastAsia="Calibri" w:hAnsi="Times New Roman" w:cs="Times New Roman"/>
          <w:sz w:val="24"/>
          <w:szCs w:val="24"/>
        </w:rPr>
        <w:t>административнонаказателно</w:t>
      </w:r>
      <w:proofErr w:type="spellEnd"/>
      <w:r w:rsidRPr="00FD4C39">
        <w:rPr>
          <w:rFonts w:ascii="Times New Roman" w:eastAsia="Calibri" w:hAnsi="Times New Roman" w:cs="Times New Roman"/>
          <w:sz w:val="24"/>
          <w:szCs w:val="24"/>
        </w:rPr>
        <w:t xml:space="preserve"> производство по реда на ЗАНН.</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Общият брой извършени проверки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е 2340, от тях:</w:t>
      </w:r>
    </w:p>
    <w:p w:rsidR="00A434A5" w:rsidRPr="00FD4C39" w:rsidRDefault="00A434A5" w:rsidP="00B901DE">
      <w:pPr>
        <w:pStyle w:val="ListParagraph"/>
        <w:numPr>
          <w:ilvl w:val="0"/>
          <w:numId w:val="16"/>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предварителни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2</w:t>
      </w:r>
      <w:r w:rsidR="00897302"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242;</w:t>
      </w:r>
    </w:p>
    <w:p w:rsidR="00A434A5" w:rsidRPr="00FD4C39" w:rsidRDefault="00A434A5" w:rsidP="00B901DE">
      <w:pPr>
        <w:pStyle w:val="ListParagraph"/>
        <w:numPr>
          <w:ilvl w:val="0"/>
          <w:numId w:val="16"/>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текущи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21</w:t>
      </w:r>
      <w:r w:rsidR="00484D5F">
        <w:rPr>
          <w:rFonts w:ascii="Times New Roman" w:eastAsia="Calibri" w:hAnsi="Times New Roman" w:cs="Times New Roman"/>
          <w:sz w:val="24"/>
          <w:szCs w:val="24"/>
        </w:rPr>
        <w:t>,</w:t>
      </w:r>
    </w:p>
    <w:p w:rsidR="00A434A5" w:rsidRPr="00FD4C39" w:rsidRDefault="00A434A5" w:rsidP="00B901DE">
      <w:pPr>
        <w:pStyle w:val="ListParagraph"/>
        <w:numPr>
          <w:ilvl w:val="0"/>
          <w:numId w:val="16"/>
        </w:numPr>
        <w:tabs>
          <w:tab w:val="left" w:pos="993"/>
        </w:tabs>
        <w:spacing w:after="0" w:line="360" w:lineRule="auto"/>
        <w:ind w:left="0" w:firstLine="709"/>
        <w:jc w:val="both"/>
        <w:rPr>
          <w:rFonts w:ascii="Times New Roman" w:eastAsia="Calibri" w:hAnsi="Times New Roman" w:cs="Times New Roman"/>
          <w:sz w:val="24"/>
          <w:szCs w:val="24"/>
        </w:rPr>
      </w:pPr>
      <w:proofErr w:type="spellStart"/>
      <w:r w:rsidRPr="00FD4C39">
        <w:rPr>
          <w:rFonts w:ascii="Times New Roman" w:eastAsia="Calibri" w:hAnsi="Times New Roman" w:cs="Times New Roman"/>
          <w:sz w:val="24"/>
          <w:szCs w:val="24"/>
        </w:rPr>
        <w:t>последващи</w:t>
      </w:r>
      <w:proofErr w:type="spellEnd"/>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77.</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От тези данни е видно, че най-голям е броят на пре</w:t>
      </w:r>
      <w:r w:rsidR="00484D5F">
        <w:rPr>
          <w:rFonts w:ascii="Times New Roman" w:eastAsia="Calibri" w:hAnsi="Times New Roman" w:cs="Times New Roman"/>
          <w:sz w:val="24"/>
          <w:szCs w:val="24"/>
        </w:rPr>
        <w:t>дварителните проверки, извършвани</w:t>
      </w:r>
      <w:r w:rsidRPr="00FD4C39">
        <w:rPr>
          <w:rFonts w:ascii="Times New Roman" w:eastAsia="Calibri" w:hAnsi="Times New Roman" w:cs="Times New Roman"/>
          <w:sz w:val="24"/>
          <w:szCs w:val="24"/>
        </w:rPr>
        <w:t xml:space="preserve">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 от ЗЗЛД.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w:t>
      </w:r>
      <w:r w:rsidR="00484D5F">
        <w:rPr>
          <w:rFonts w:ascii="Times New Roman" w:eastAsia="Calibri" w:hAnsi="Times New Roman" w:cs="Times New Roman"/>
          <w:sz w:val="24"/>
          <w:szCs w:val="24"/>
        </w:rPr>
        <w:t>е</w:t>
      </w:r>
      <w:r w:rsidRPr="00FD4C39">
        <w:rPr>
          <w:rFonts w:ascii="Times New Roman" w:eastAsia="Calibri" w:hAnsi="Times New Roman" w:cs="Times New Roman"/>
          <w:sz w:val="24"/>
          <w:szCs w:val="24"/>
        </w:rPr>
        <w:t xml:space="preserve"> </w:t>
      </w:r>
      <w:r w:rsidR="00484D5F">
        <w:rPr>
          <w:rFonts w:ascii="Times New Roman" w:eastAsia="Calibri" w:hAnsi="Times New Roman" w:cs="Times New Roman"/>
          <w:sz w:val="24"/>
          <w:szCs w:val="24"/>
        </w:rPr>
        <w:t>приключват</w:t>
      </w:r>
      <w:r w:rsidRPr="00FD4C39">
        <w:rPr>
          <w:rFonts w:ascii="Times New Roman" w:eastAsia="Calibri" w:hAnsi="Times New Roman" w:cs="Times New Roman"/>
          <w:sz w:val="24"/>
          <w:szCs w:val="24"/>
        </w:rPr>
        <w:t xml:space="preserve"> 2340 проверки, в резултат на което с</w:t>
      </w:r>
      <w:r w:rsidR="00484D5F">
        <w:rPr>
          <w:rFonts w:ascii="Times New Roman" w:eastAsia="Calibri" w:hAnsi="Times New Roman" w:cs="Times New Roman"/>
          <w:sz w:val="24"/>
          <w:szCs w:val="24"/>
        </w:rPr>
        <w:t>е съставят</w:t>
      </w:r>
      <w:r w:rsidRPr="00FD4C39">
        <w:rPr>
          <w:rFonts w:ascii="Times New Roman" w:eastAsia="Calibri" w:hAnsi="Times New Roman" w:cs="Times New Roman"/>
          <w:sz w:val="24"/>
          <w:szCs w:val="24"/>
        </w:rPr>
        <w:t xml:space="preserve"> 2</w:t>
      </w:r>
      <w:r w:rsidR="00897302"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 xml:space="preserve">335 констативни акта, а 5 проверки </w:t>
      </w:r>
      <w:r w:rsidR="00484D5F">
        <w:rPr>
          <w:rFonts w:ascii="Times New Roman" w:eastAsia="Calibri" w:hAnsi="Times New Roman" w:cs="Times New Roman"/>
          <w:sz w:val="24"/>
          <w:szCs w:val="24"/>
        </w:rPr>
        <w:t>приключват</w:t>
      </w:r>
      <w:r w:rsidRPr="00FD4C39">
        <w:rPr>
          <w:rFonts w:ascii="Times New Roman" w:eastAsia="Calibri" w:hAnsi="Times New Roman" w:cs="Times New Roman"/>
          <w:sz w:val="24"/>
          <w:szCs w:val="24"/>
        </w:rPr>
        <w:t xml:space="preserve"> само със съставянето на актове за установяване на административни нарушения (АУАН).</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Във връзка със специфичните условия, в които се обработват личните данни, </w:t>
      </w:r>
      <w:r w:rsidR="00484D5F">
        <w:rPr>
          <w:rFonts w:ascii="Times New Roman" w:eastAsia="Calibri" w:hAnsi="Times New Roman" w:cs="Times New Roman"/>
          <w:sz w:val="24"/>
          <w:szCs w:val="24"/>
        </w:rPr>
        <w:t>се прави</w:t>
      </w:r>
      <w:r w:rsidRPr="00FD4C39">
        <w:rPr>
          <w:rFonts w:ascii="Times New Roman" w:eastAsia="Calibri" w:hAnsi="Times New Roman" w:cs="Times New Roman"/>
          <w:sz w:val="24"/>
          <w:szCs w:val="24"/>
        </w:rPr>
        <w:t xml:space="preserve"> диференцирано разграничение по сектори. В изпълнение на своята дейност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w:t>
      </w:r>
      <w:r w:rsidR="00484D5F">
        <w:rPr>
          <w:rFonts w:ascii="Times New Roman" w:eastAsia="Calibri" w:hAnsi="Times New Roman" w:cs="Times New Roman"/>
          <w:sz w:val="24"/>
          <w:szCs w:val="24"/>
        </w:rPr>
        <w:t>извършва</w:t>
      </w:r>
      <w:r w:rsidRPr="00FD4C39">
        <w:rPr>
          <w:rFonts w:ascii="Times New Roman" w:eastAsia="Calibri" w:hAnsi="Times New Roman" w:cs="Times New Roman"/>
          <w:sz w:val="24"/>
          <w:szCs w:val="24"/>
        </w:rPr>
        <w:t xml:space="preserve"> следните проверки по сектори:</w:t>
      </w:r>
    </w:p>
    <w:p w:rsidR="00CE7420" w:rsidRPr="00FD4C39" w:rsidRDefault="00CE7420" w:rsidP="007B189E">
      <w:pPr>
        <w:spacing w:after="0" w:line="360" w:lineRule="auto"/>
        <w:ind w:firstLine="709"/>
        <w:jc w:val="both"/>
        <w:rPr>
          <w:rFonts w:ascii="Times New Roman" w:eastAsia="Calibri" w:hAnsi="Times New Roman" w:cs="Times New Roman"/>
          <w:sz w:val="24"/>
          <w:szCs w:val="24"/>
        </w:rPr>
      </w:pP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6417"/>
        <w:gridCol w:w="1397"/>
      </w:tblGrid>
      <w:tr w:rsidR="00A434A5" w:rsidRPr="00FD4C39" w:rsidTr="0069074F">
        <w:trPr>
          <w:trHeight w:val="255"/>
          <w:jc w:val="center"/>
        </w:trPr>
        <w:tc>
          <w:tcPr>
            <w:tcW w:w="511" w:type="dxa"/>
            <w:shd w:val="pct20"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w:t>
            </w:r>
          </w:p>
        </w:tc>
        <w:tc>
          <w:tcPr>
            <w:tcW w:w="6417" w:type="dxa"/>
            <w:shd w:val="pct20" w:color="auto" w:fill="auto"/>
            <w:vAlign w:val="center"/>
          </w:tcPr>
          <w:p w:rsidR="00A434A5" w:rsidRPr="00FD4C39" w:rsidRDefault="00A434A5" w:rsidP="00955C09">
            <w:pPr>
              <w:spacing w:after="0" w:line="360" w:lineRule="auto"/>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СЕКТОР</w:t>
            </w:r>
          </w:p>
        </w:tc>
        <w:tc>
          <w:tcPr>
            <w:tcW w:w="1397" w:type="dxa"/>
            <w:shd w:val="pct20"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БРОЙ</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w:t>
            </w:r>
          </w:p>
        </w:tc>
        <w:tc>
          <w:tcPr>
            <w:tcW w:w="6417" w:type="dxa"/>
            <w:shd w:val="clear" w:color="auto" w:fill="auto"/>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Здравеопазване</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1250</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Търговия и услуги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256</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3</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Образование и обучение</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254</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4</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Юридически и консултантски услуги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122</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5</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Политически субекти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63</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6</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Строителство и архитектура</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45</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7</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Юридически лица с нестопанска цел</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40</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8</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Производство</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36</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9</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Туризъм</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28</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10</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Финансово-счетоводни услуги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27</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11</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Транспорт</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25</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12</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Застраховане</w:t>
            </w:r>
          </w:p>
        </w:tc>
        <w:tc>
          <w:tcPr>
            <w:tcW w:w="1397" w:type="dxa"/>
            <w:shd w:val="clear" w:color="auto" w:fill="auto"/>
            <w:noWrap/>
            <w:vAlign w:val="center"/>
          </w:tcPr>
          <w:p w:rsidR="00A434A5" w:rsidRPr="00FD4C39" w:rsidDel="00CD09E1"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21</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13</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Спортни дейности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19</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14</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Социални дейности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18</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15</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Селско и горско стопанство</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15</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16</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Недвижими имоти</w:t>
            </w:r>
          </w:p>
        </w:tc>
        <w:tc>
          <w:tcPr>
            <w:tcW w:w="1397" w:type="dxa"/>
            <w:shd w:val="clear" w:color="auto" w:fill="auto"/>
            <w:noWrap/>
            <w:vAlign w:val="center"/>
          </w:tcPr>
          <w:p w:rsidR="00A434A5" w:rsidRPr="00FD4C39" w:rsidDel="00CD09E1"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13</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17</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Финансов сектор</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12</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18</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Държавна, областна и общинска администрация</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10</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19</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Телекомуникации и информационни технологии и услуги</w:t>
            </w:r>
          </w:p>
        </w:tc>
        <w:tc>
          <w:tcPr>
            <w:tcW w:w="1397" w:type="dxa"/>
            <w:shd w:val="clear" w:color="auto" w:fill="auto"/>
            <w:noWrap/>
            <w:vAlign w:val="center"/>
          </w:tcPr>
          <w:p w:rsidR="00A434A5" w:rsidRPr="00FD4C39" w:rsidDel="00CD09E1"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10</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20</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Ремонт</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8</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21</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Човешки ресурси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7</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22</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Охранителна и детективска дейност </w:t>
            </w:r>
          </w:p>
        </w:tc>
        <w:tc>
          <w:tcPr>
            <w:tcW w:w="1397" w:type="dxa"/>
            <w:shd w:val="clear" w:color="auto" w:fill="auto"/>
            <w:noWrap/>
            <w:vAlign w:val="center"/>
          </w:tcPr>
          <w:p w:rsidR="00A434A5" w:rsidRPr="00FD4C39" w:rsidDel="00797627"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7</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23</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Правосъдие</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6</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24</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Реклама и проучване на пазари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5</w:t>
            </w:r>
          </w:p>
        </w:tc>
      </w:tr>
      <w:tr w:rsidR="00A434A5" w:rsidRPr="00FD4C39" w:rsidTr="0069074F">
        <w:trPr>
          <w:trHeight w:val="255"/>
          <w:jc w:val="center"/>
        </w:trPr>
        <w:tc>
          <w:tcPr>
            <w:tcW w:w="511"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25</w:t>
            </w:r>
          </w:p>
        </w:tc>
        <w:tc>
          <w:tcPr>
            <w:tcW w:w="6417" w:type="dxa"/>
            <w:shd w:val="clear" w:color="auto" w:fill="auto"/>
            <w:noWrap/>
            <w:vAlign w:val="center"/>
          </w:tcPr>
          <w:p w:rsidR="00A434A5" w:rsidRPr="00FD4C39" w:rsidRDefault="00A434A5" w:rsidP="00955C09">
            <w:p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Други</w:t>
            </w:r>
          </w:p>
        </w:tc>
        <w:tc>
          <w:tcPr>
            <w:tcW w:w="1397" w:type="dxa"/>
            <w:shd w:val="clear" w:color="auto" w:fill="auto"/>
            <w:noWrap/>
            <w:vAlign w:val="center"/>
          </w:tcPr>
          <w:p w:rsidR="00A434A5" w:rsidRPr="00FD4C39" w:rsidRDefault="00A434A5" w:rsidP="00955C09">
            <w:pPr>
              <w:spacing w:after="0" w:line="36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43</w:t>
            </w:r>
          </w:p>
        </w:tc>
      </w:tr>
    </w:tbl>
    <w:p w:rsidR="00A434A5" w:rsidRPr="00FD4C39" w:rsidRDefault="00A434A5" w:rsidP="007B189E">
      <w:pPr>
        <w:spacing w:after="0" w:line="360" w:lineRule="auto"/>
        <w:ind w:firstLine="709"/>
        <w:jc w:val="both"/>
        <w:rPr>
          <w:rFonts w:ascii="Times New Roman" w:eastAsia="Calibri" w:hAnsi="Times New Roman" w:cs="Times New Roman"/>
          <w:sz w:val="24"/>
          <w:szCs w:val="24"/>
        </w:rPr>
      </w:pPr>
    </w:p>
    <w:p w:rsidR="002466FF" w:rsidRPr="00FD4C39" w:rsidRDefault="002466FF" w:rsidP="007B189E">
      <w:pPr>
        <w:spacing w:after="0" w:line="360" w:lineRule="auto"/>
        <w:ind w:firstLine="709"/>
        <w:jc w:val="both"/>
        <w:rPr>
          <w:rFonts w:ascii="Times New Roman" w:eastAsia="Calibri" w:hAnsi="Times New Roman" w:cs="Times New Roman"/>
          <w:sz w:val="24"/>
          <w:szCs w:val="24"/>
        </w:rPr>
      </w:pPr>
    </w:p>
    <w:p w:rsidR="00A434A5" w:rsidRPr="00FD4C39" w:rsidRDefault="00A434A5" w:rsidP="00384216">
      <w:pPr>
        <w:spacing w:after="0" w:line="360" w:lineRule="auto"/>
        <w:ind w:firstLine="426"/>
        <w:jc w:val="both"/>
        <w:rPr>
          <w:rFonts w:ascii="Times New Roman" w:eastAsia="Calibri" w:hAnsi="Times New Roman" w:cs="Times New Roman"/>
          <w:sz w:val="24"/>
          <w:szCs w:val="24"/>
        </w:rPr>
      </w:pPr>
      <w:r w:rsidRPr="00FD4C39">
        <w:rPr>
          <w:rFonts w:ascii="Times New Roman" w:hAnsi="Times New Roman" w:cs="Times New Roman"/>
          <w:noProof/>
          <w:sz w:val="24"/>
          <w:szCs w:val="24"/>
        </w:rPr>
        <w:drawing>
          <wp:inline distT="0" distB="0" distL="0" distR="0" wp14:anchorId="1C98C817" wp14:editId="2C40CCA2">
            <wp:extent cx="5400675" cy="27527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34A5" w:rsidRPr="00FD4C39" w:rsidRDefault="00A434A5"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 xml:space="preserve">Фиг. </w:t>
      </w:r>
      <w:r w:rsidR="00897302" w:rsidRPr="00FD4C39">
        <w:rPr>
          <w:rFonts w:ascii="Times New Roman" w:eastAsia="Calibri" w:hAnsi="Times New Roman" w:cs="Times New Roman"/>
          <w:b/>
          <w:sz w:val="24"/>
          <w:szCs w:val="24"/>
        </w:rPr>
        <w:t>6</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p>
    <w:p w:rsidR="00A434A5" w:rsidRPr="00FD4C39" w:rsidRDefault="00765477"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1.</w:t>
      </w:r>
      <w:proofErr w:type="spellStart"/>
      <w:r w:rsidRPr="00FD4C39">
        <w:rPr>
          <w:rFonts w:ascii="Times New Roman" w:eastAsia="Calibri" w:hAnsi="Times New Roman" w:cs="Times New Roman"/>
          <w:i/>
          <w:sz w:val="24"/>
          <w:szCs w:val="24"/>
        </w:rPr>
        <w:t>1</w:t>
      </w:r>
      <w:proofErr w:type="spellEnd"/>
      <w:r w:rsidRPr="00FD4C39">
        <w:rPr>
          <w:rFonts w:ascii="Times New Roman" w:eastAsia="Calibri" w:hAnsi="Times New Roman" w:cs="Times New Roman"/>
          <w:i/>
          <w:sz w:val="24"/>
          <w:szCs w:val="24"/>
        </w:rPr>
        <w:t>.</w:t>
      </w:r>
      <w:r w:rsidR="00A434A5" w:rsidRPr="00FD4C39">
        <w:rPr>
          <w:rFonts w:ascii="Times New Roman" w:eastAsia="Calibri" w:hAnsi="Times New Roman" w:cs="Times New Roman"/>
          <w:i/>
          <w:sz w:val="24"/>
          <w:szCs w:val="24"/>
        </w:rPr>
        <w:t xml:space="preserve"> Предварителни проверки</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Съгласно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17б от ЗЗЛД този вид проверки задължително се извършват преди вписване на АЛД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в случаите, когато АЛД е заявил обработване на специално защитени данни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5,</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ЗЗЛД (които се отнасят до здравето, сексуалния живот или до човешкия геном, разкриващи расов или етнически произход; политически, религиозни, философски, политически убеждения и членство в такива организации), или на данни, чието обработване, съгласно решение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застрашава правата и законните интереси на физическите лица.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Предварителните проверки имат за цел установяване на предприетите от АЛД технически и организационни мерки при обработване на лични данни и допустимия вид защита и съответствието им с изискванията на Наредбата.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w:t>
      </w:r>
      <w:r w:rsidR="00F0347D">
        <w:rPr>
          <w:rFonts w:ascii="Times New Roman" w:eastAsia="Calibri" w:hAnsi="Times New Roman" w:cs="Times New Roman"/>
          <w:sz w:val="24"/>
          <w:szCs w:val="24"/>
        </w:rPr>
        <w:t>е извършват</w:t>
      </w:r>
      <w:r w:rsidRPr="00FD4C39">
        <w:rPr>
          <w:rFonts w:ascii="Times New Roman" w:eastAsia="Calibri" w:hAnsi="Times New Roman" w:cs="Times New Roman"/>
          <w:sz w:val="24"/>
          <w:szCs w:val="24"/>
        </w:rPr>
        <w:t xml:space="preserve"> общо 2242 предварителни проверки (фиг. </w:t>
      </w:r>
      <w:r w:rsidR="0034456C" w:rsidRPr="00FD4C39">
        <w:rPr>
          <w:rFonts w:ascii="Times New Roman" w:eastAsia="Calibri" w:hAnsi="Times New Roman" w:cs="Times New Roman"/>
          <w:sz w:val="24"/>
          <w:szCs w:val="24"/>
        </w:rPr>
        <w:t>6</w:t>
      </w:r>
      <w:r w:rsidRPr="00FD4C39">
        <w:rPr>
          <w:rFonts w:ascii="Times New Roman" w:eastAsia="Calibri" w:hAnsi="Times New Roman" w:cs="Times New Roman"/>
          <w:sz w:val="24"/>
          <w:szCs w:val="24"/>
        </w:rPr>
        <w:t>).</w:t>
      </w:r>
    </w:p>
    <w:p w:rsidR="00A434A5" w:rsidRPr="00FD4C39" w:rsidRDefault="00F0347D"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Всички извършвани</w:t>
      </w:r>
      <w:r w:rsidR="00A434A5" w:rsidRPr="00FD4C39">
        <w:rPr>
          <w:rFonts w:ascii="Times New Roman" w:eastAsia="Calibri" w:hAnsi="Times New Roman" w:cs="Times New Roman"/>
          <w:sz w:val="24"/>
          <w:szCs w:val="24"/>
        </w:rPr>
        <w:t xml:space="preserve"> предварителни проверки за 2014</w:t>
      </w:r>
      <w:r w:rsidR="004D42A2">
        <w:rPr>
          <w:rFonts w:ascii="Times New Roman" w:eastAsia="Calibri" w:hAnsi="Times New Roman" w:cs="Times New Roman"/>
          <w:sz w:val="24"/>
          <w:szCs w:val="24"/>
        </w:rPr>
        <w:t> г.</w:t>
      </w:r>
      <w:r>
        <w:rPr>
          <w:rFonts w:ascii="Times New Roman" w:eastAsia="Calibri" w:hAnsi="Times New Roman" w:cs="Times New Roman"/>
          <w:sz w:val="24"/>
          <w:szCs w:val="24"/>
        </w:rPr>
        <w:t xml:space="preserve"> приключват</w:t>
      </w:r>
      <w:r w:rsidR="00A434A5" w:rsidRPr="00FD4C39">
        <w:rPr>
          <w:rFonts w:ascii="Times New Roman" w:eastAsia="Calibri" w:hAnsi="Times New Roman" w:cs="Times New Roman"/>
          <w:sz w:val="24"/>
          <w:szCs w:val="24"/>
        </w:rPr>
        <w:t xml:space="preserve"> с вписване в регистъра по</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00A434A5"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A434A5" w:rsidRPr="00FD4C39">
        <w:rPr>
          <w:rFonts w:ascii="Times New Roman" w:eastAsia="Calibri" w:hAnsi="Times New Roman" w:cs="Times New Roman"/>
          <w:sz w:val="24"/>
          <w:szCs w:val="24"/>
        </w:rPr>
        <w:t>2 от ЗЗЛД. Основен проблем при извършване на този вид проверки, както и в предходни години, остава осъществяването на кореспонденция с АЛД, с цел изискване на необходимите документи за приключване на проверката. Най-честит</w:t>
      </w:r>
      <w:r>
        <w:rPr>
          <w:rFonts w:ascii="Times New Roman" w:eastAsia="Calibri" w:hAnsi="Times New Roman" w:cs="Times New Roman"/>
          <w:sz w:val="24"/>
          <w:szCs w:val="24"/>
        </w:rPr>
        <w:t>е причини за това са непотърсена</w:t>
      </w:r>
      <w:r w:rsidR="00A434A5" w:rsidRPr="00FD4C39">
        <w:rPr>
          <w:rFonts w:ascii="Times New Roman" w:eastAsia="Calibri" w:hAnsi="Times New Roman" w:cs="Times New Roman"/>
          <w:sz w:val="24"/>
          <w:szCs w:val="24"/>
        </w:rPr>
        <w:t xml:space="preserve"> кореспонденция, промяна на адреси, неточности в подадените заявления, както и неизпращане на изисканите документи след надлежно получено писмо. Поради невъзможност тези проверки да бъдат приключени, през 2014</w:t>
      </w:r>
      <w:r w:rsidR="004D42A2">
        <w:rPr>
          <w:rFonts w:ascii="Times New Roman" w:eastAsia="Calibri" w:hAnsi="Times New Roman" w:cs="Times New Roman"/>
          <w:sz w:val="24"/>
          <w:szCs w:val="24"/>
        </w:rPr>
        <w:t> г.</w:t>
      </w:r>
      <w:r w:rsidR="00A434A5"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A434A5" w:rsidRPr="00FD4C39">
        <w:rPr>
          <w:rFonts w:ascii="Times New Roman" w:eastAsia="Calibri" w:hAnsi="Times New Roman" w:cs="Times New Roman"/>
          <w:sz w:val="24"/>
          <w:szCs w:val="24"/>
        </w:rPr>
        <w:t xml:space="preserve"> </w:t>
      </w:r>
      <w:r>
        <w:rPr>
          <w:rFonts w:ascii="Times New Roman" w:eastAsia="Calibri" w:hAnsi="Times New Roman" w:cs="Times New Roman"/>
          <w:sz w:val="24"/>
          <w:szCs w:val="24"/>
        </w:rPr>
        <w:t>взема</w:t>
      </w:r>
      <w:r w:rsidR="00A434A5" w:rsidRPr="00FD4C39">
        <w:rPr>
          <w:rFonts w:ascii="Times New Roman" w:eastAsia="Calibri" w:hAnsi="Times New Roman" w:cs="Times New Roman"/>
          <w:sz w:val="24"/>
          <w:szCs w:val="24"/>
        </w:rPr>
        <w:t xml:space="preserve"> решение и на основание</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17б,</w:t>
      </w:r>
      <w:r w:rsidR="00884B97">
        <w:rPr>
          <w:rFonts w:ascii="Times New Roman" w:eastAsia="Calibri" w:hAnsi="Times New Roman" w:cs="Times New Roman"/>
          <w:sz w:val="24"/>
          <w:szCs w:val="24"/>
        </w:rPr>
        <w:t xml:space="preserve"> ал. </w:t>
      </w:r>
      <w:r w:rsidR="00A434A5" w:rsidRPr="00FD4C39">
        <w:rPr>
          <w:rFonts w:ascii="Times New Roman" w:eastAsia="Calibri" w:hAnsi="Times New Roman" w:cs="Times New Roman"/>
          <w:sz w:val="24"/>
          <w:szCs w:val="24"/>
        </w:rPr>
        <w:t>3,</w:t>
      </w:r>
      <w:r w:rsidR="00884B97">
        <w:rPr>
          <w:rFonts w:ascii="Times New Roman" w:eastAsia="Calibri" w:hAnsi="Times New Roman" w:cs="Times New Roman"/>
          <w:sz w:val="24"/>
          <w:szCs w:val="24"/>
        </w:rPr>
        <w:t xml:space="preserve"> т. </w:t>
      </w:r>
      <w:r w:rsidR="00A434A5" w:rsidRPr="00FD4C39">
        <w:rPr>
          <w:rFonts w:ascii="Times New Roman" w:eastAsia="Calibri" w:hAnsi="Times New Roman" w:cs="Times New Roman"/>
          <w:sz w:val="24"/>
          <w:szCs w:val="24"/>
        </w:rPr>
        <w:t xml:space="preserve">3 от ЗЗЛД </w:t>
      </w:r>
      <w:r>
        <w:rPr>
          <w:rFonts w:ascii="Times New Roman" w:eastAsia="Calibri" w:hAnsi="Times New Roman" w:cs="Times New Roman"/>
          <w:sz w:val="24"/>
          <w:szCs w:val="24"/>
        </w:rPr>
        <w:t>отказва</w:t>
      </w:r>
      <w:r w:rsidR="00A434A5" w:rsidRPr="00FD4C39">
        <w:rPr>
          <w:rFonts w:ascii="Times New Roman" w:eastAsia="Calibri" w:hAnsi="Times New Roman" w:cs="Times New Roman"/>
          <w:sz w:val="24"/>
          <w:szCs w:val="24"/>
        </w:rPr>
        <w:t xml:space="preserve"> вписване на 293 </w:t>
      </w:r>
      <w:r w:rsidR="00FE7018" w:rsidRPr="00FD4C39">
        <w:rPr>
          <w:rFonts w:ascii="Times New Roman" w:eastAsia="Calibri" w:hAnsi="Times New Roman" w:cs="Times New Roman"/>
          <w:sz w:val="24"/>
          <w:szCs w:val="24"/>
        </w:rPr>
        <w:t>АЛД</w:t>
      </w:r>
      <w:r w:rsidR="00786BAB" w:rsidRPr="00FD4C39">
        <w:rPr>
          <w:rFonts w:ascii="Times New Roman" w:eastAsia="Calibri" w:hAnsi="Times New Roman" w:cs="Times New Roman"/>
          <w:sz w:val="24"/>
          <w:szCs w:val="24"/>
        </w:rPr>
        <w:t xml:space="preserve"> </w:t>
      </w:r>
      <w:r w:rsidR="00A434A5" w:rsidRPr="00FD4C39">
        <w:rPr>
          <w:rFonts w:ascii="Times New Roman" w:eastAsia="Calibri" w:hAnsi="Times New Roman" w:cs="Times New Roman"/>
          <w:sz w:val="24"/>
          <w:szCs w:val="24"/>
        </w:rPr>
        <w:t xml:space="preserve">в Регистъра на </w:t>
      </w:r>
      <w:r w:rsidR="00FE7018" w:rsidRPr="00FD4C39">
        <w:rPr>
          <w:rFonts w:ascii="Times New Roman" w:eastAsia="Calibri" w:hAnsi="Times New Roman" w:cs="Times New Roman"/>
          <w:sz w:val="24"/>
          <w:szCs w:val="24"/>
        </w:rPr>
        <w:t>АЛД</w:t>
      </w:r>
      <w:r w:rsidR="00786BAB" w:rsidRPr="00FD4C39">
        <w:rPr>
          <w:rFonts w:ascii="Times New Roman" w:eastAsia="Calibri" w:hAnsi="Times New Roman" w:cs="Times New Roman"/>
          <w:sz w:val="24"/>
          <w:szCs w:val="24"/>
        </w:rPr>
        <w:t xml:space="preserve"> </w:t>
      </w:r>
      <w:r w:rsidR="00A434A5" w:rsidRPr="00FD4C39">
        <w:rPr>
          <w:rFonts w:ascii="Times New Roman" w:eastAsia="Calibri" w:hAnsi="Times New Roman" w:cs="Times New Roman"/>
          <w:sz w:val="24"/>
          <w:szCs w:val="24"/>
        </w:rPr>
        <w:t xml:space="preserve">и водените от тях регистри. След публикуване на решението на </w:t>
      </w:r>
      <w:r w:rsidR="00FE7018" w:rsidRPr="00FD4C39">
        <w:rPr>
          <w:rFonts w:ascii="Times New Roman" w:eastAsia="Calibri" w:hAnsi="Times New Roman" w:cs="Times New Roman"/>
          <w:sz w:val="24"/>
          <w:szCs w:val="24"/>
        </w:rPr>
        <w:t>КЗЛД</w:t>
      </w:r>
      <w:r w:rsidR="0034456C" w:rsidRPr="00FD4C39">
        <w:rPr>
          <w:rFonts w:ascii="Times New Roman" w:eastAsia="Calibri" w:hAnsi="Times New Roman" w:cs="Times New Roman"/>
          <w:sz w:val="24"/>
          <w:szCs w:val="24"/>
        </w:rPr>
        <w:t>,</w:t>
      </w:r>
      <w:r w:rsidR="00A434A5" w:rsidRPr="00FD4C39">
        <w:rPr>
          <w:rFonts w:ascii="Times New Roman" w:eastAsia="Calibri" w:hAnsi="Times New Roman" w:cs="Times New Roman"/>
          <w:sz w:val="24"/>
          <w:szCs w:val="24"/>
        </w:rPr>
        <w:t xml:space="preserve"> 25 от тях </w:t>
      </w:r>
      <w:r>
        <w:rPr>
          <w:rFonts w:ascii="Times New Roman" w:eastAsia="Calibri" w:hAnsi="Times New Roman" w:cs="Times New Roman"/>
          <w:sz w:val="24"/>
          <w:szCs w:val="24"/>
        </w:rPr>
        <w:t>изпращат</w:t>
      </w:r>
      <w:r w:rsidR="00A434A5" w:rsidRPr="00FD4C39">
        <w:rPr>
          <w:rFonts w:ascii="Times New Roman" w:eastAsia="Calibri" w:hAnsi="Times New Roman" w:cs="Times New Roman"/>
          <w:sz w:val="24"/>
          <w:szCs w:val="24"/>
        </w:rPr>
        <w:t xml:space="preserve"> необходимите документи за предварителна проверка, в резултат на което </w:t>
      </w:r>
      <w:r>
        <w:rPr>
          <w:rFonts w:ascii="Times New Roman" w:eastAsia="Calibri" w:hAnsi="Times New Roman" w:cs="Times New Roman"/>
          <w:sz w:val="24"/>
          <w:szCs w:val="24"/>
        </w:rPr>
        <w:t>се вписват</w:t>
      </w:r>
      <w:r w:rsidR="00A434A5" w:rsidRPr="00FD4C39">
        <w:rPr>
          <w:rFonts w:ascii="Times New Roman" w:eastAsia="Calibri" w:hAnsi="Times New Roman" w:cs="Times New Roman"/>
          <w:sz w:val="24"/>
          <w:szCs w:val="24"/>
        </w:rPr>
        <w:t xml:space="preserve"> в регистъра по</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00A434A5"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A434A5" w:rsidRPr="00FD4C39">
        <w:rPr>
          <w:rFonts w:ascii="Times New Roman" w:eastAsia="Calibri" w:hAnsi="Times New Roman" w:cs="Times New Roman"/>
          <w:sz w:val="24"/>
          <w:szCs w:val="24"/>
        </w:rPr>
        <w:t>2 от ЗЗЛД.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неприключените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по същите причи</w:t>
      </w:r>
      <w:r w:rsidR="0034456C" w:rsidRPr="00FD4C39">
        <w:rPr>
          <w:rFonts w:ascii="Times New Roman" w:eastAsia="Calibri" w:hAnsi="Times New Roman" w:cs="Times New Roman"/>
          <w:sz w:val="24"/>
          <w:szCs w:val="24"/>
        </w:rPr>
        <w:t xml:space="preserve">ни проверки ще се приложи същият </w:t>
      </w:r>
      <w:r w:rsidRPr="00FD4C39">
        <w:rPr>
          <w:rFonts w:ascii="Times New Roman" w:eastAsia="Calibri" w:hAnsi="Times New Roman" w:cs="Times New Roman"/>
          <w:sz w:val="24"/>
          <w:szCs w:val="24"/>
        </w:rPr>
        <w:t>подход.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p>
    <w:p w:rsidR="00A434A5" w:rsidRPr="00FD4C39" w:rsidRDefault="00765477"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 xml:space="preserve">1.2. </w:t>
      </w:r>
      <w:r w:rsidR="00A434A5" w:rsidRPr="00FD4C39">
        <w:rPr>
          <w:rFonts w:ascii="Times New Roman" w:eastAsia="Calibri" w:hAnsi="Times New Roman" w:cs="Times New Roman"/>
          <w:i/>
          <w:sz w:val="24"/>
          <w:szCs w:val="24"/>
        </w:rPr>
        <w:t>Текущи проверки</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Макар и значително по-малко на брой, но с по-голяма правна сложност, са текущите проверки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 от ЗЗЛД.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r w:rsidR="00F0347D">
        <w:rPr>
          <w:rFonts w:ascii="Times New Roman" w:eastAsia="Calibri" w:hAnsi="Times New Roman" w:cs="Times New Roman"/>
          <w:sz w:val="24"/>
          <w:szCs w:val="24"/>
        </w:rPr>
        <w:t xml:space="preserve">се </w:t>
      </w:r>
      <w:proofErr w:type="spellStart"/>
      <w:r w:rsidR="00F0347D">
        <w:rPr>
          <w:rFonts w:ascii="Times New Roman" w:eastAsia="Calibri" w:hAnsi="Times New Roman" w:cs="Times New Roman"/>
          <w:sz w:val="24"/>
          <w:szCs w:val="24"/>
        </w:rPr>
        <w:t>извършваат</w:t>
      </w:r>
      <w:proofErr w:type="spellEnd"/>
      <w:r w:rsidRPr="00FD4C39">
        <w:rPr>
          <w:rFonts w:ascii="Times New Roman" w:eastAsia="Calibri" w:hAnsi="Times New Roman" w:cs="Times New Roman"/>
          <w:sz w:val="24"/>
          <w:szCs w:val="24"/>
        </w:rPr>
        <w:t xml:space="preserve"> 21 такива проверки (фиг. </w:t>
      </w:r>
      <w:r w:rsidR="0034456C" w:rsidRPr="00FD4C39">
        <w:rPr>
          <w:rFonts w:ascii="Times New Roman" w:eastAsia="Calibri" w:hAnsi="Times New Roman" w:cs="Times New Roman"/>
          <w:sz w:val="24"/>
          <w:szCs w:val="24"/>
        </w:rPr>
        <w:t>6</w:t>
      </w:r>
      <w:r w:rsidRPr="00FD4C39">
        <w:rPr>
          <w:rFonts w:ascii="Times New Roman" w:eastAsia="Calibri" w:hAnsi="Times New Roman" w:cs="Times New Roman"/>
          <w:sz w:val="24"/>
          <w:szCs w:val="24"/>
        </w:rPr>
        <w:t>).</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Съгласно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тези проверки се извършват по молба на заинтересовани лица, както и по инициатива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въз основа на приет от нея месечен план за контролна дейност.</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резултат на тези проверки </w:t>
      </w:r>
      <w:r w:rsidR="00F0347D">
        <w:rPr>
          <w:rFonts w:ascii="Times New Roman" w:eastAsia="Calibri" w:hAnsi="Times New Roman" w:cs="Times New Roman"/>
          <w:sz w:val="24"/>
          <w:szCs w:val="24"/>
        </w:rPr>
        <w:t>се издават</w:t>
      </w:r>
      <w:r w:rsidRPr="00FD4C39">
        <w:rPr>
          <w:rFonts w:ascii="Times New Roman" w:eastAsia="Calibri" w:hAnsi="Times New Roman" w:cs="Times New Roman"/>
          <w:sz w:val="24"/>
          <w:szCs w:val="24"/>
        </w:rPr>
        <w:t xml:space="preserve"> 5 задължителни предписания, съставени са 3 акта за установяване на административни нарушения, а при 13 проверки не са установени нарушения на разпоредбите на ЗЗЛД.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края на 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прие</w:t>
      </w:r>
      <w:r w:rsidR="00865D34" w:rsidRPr="00FD4C39">
        <w:rPr>
          <w:rFonts w:ascii="Times New Roman" w:eastAsia="Calibri" w:hAnsi="Times New Roman" w:cs="Times New Roman"/>
          <w:sz w:val="24"/>
          <w:szCs w:val="24"/>
        </w:rPr>
        <w:t>ма</w:t>
      </w:r>
      <w:r w:rsidRPr="00FD4C39">
        <w:rPr>
          <w:rFonts w:ascii="Times New Roman" w:eastAsia="Calibri" w:hAnsi="Times New Roman" w:cs="Times New Roman"/>
          <w:sz w:val="24"/>
          <w:szCs w:val="24"/>
        </w:rPr>
        <w:t xml:space="preserve">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План за извършване на текущи проверки по инициатива на КЗЛД за 2014</w:t>
      </w:r>
      <w:r w:rsidR="004D42A2">
        <w:rPr>
          <w:rFonts w:ascii="Times New Roman" w:eastAsia="Calibri" w:hAnsi="Times New Roman" w:cs="Times New Roman"/>
          <w:sz w:val="24"/>
          <w:szCs w:val="24"/>
        </w:rPr>
        <w:t> г.</w:t>
      </w:r>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(Плана). Той </w:t>
      </w:r>
      <w:r w:rsidR="00F0347D">
        <w:rPr>
          <w:rFonts w:ascii="Times New Roman" w:eastAsia="Calibri" w:hAnsi="Times New Roman" w:cs="Times New Roman"/>
          <w:sz w:val="24"/>
          <w:szCs w:val="24"/>
        </w:rPr>
        <w:t>се насочва</w:t>
      </w:r>
      <w:r w:rsidRPr="00FD4C39">
        <w:rPr>
          <w:rFonts w:ascii="Times New Roman" w:eastAsia="Calibri" w:hAnsi="Times New Roman" w:cs="Times New Roman"/>
          <w:sz w:val="24"/>
          <w:szCs w:val="24"/>
        </w:rPr>
        <w:t xml:space="preserve"> към повишаване ефективността от контролната дейност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на база по-нататъшното </w:t>
      </w:r>
      <w:r w:rsidR="00F0347D">
        <w:rPr>
          <w:rFonts w:ascii="Times New Roman" w:eastAsia="Calibri" w:hAnsi="Times New Roman" w:cs="Times New Roman"/>
          <w:sz w:val="24"/>
          <w:szCs w:val="24"/>
        </w:rPr>
        <w:t>й</w:t>
      </w:r>
      <w:r w:rsidRPr="00FD4C39">
        <w:rPr>
          <w:rFonts w:ascii="Times New Roman" w:eastAsia="Calibri" w:hAnsi="Times New Roman" w:cs="Times New Roman"/>
          <w:sz w:val="24"/>
          <w:szCs w:val="24"/>
        </w:rPr>
        <w:t xml:space="preserve"> административно укрепване, подобряване организацията на контрола, усъвършенстване на формите за консултиране на АЛД и други физически лица.</w:t>
      </w:r>
    </w:p>
    <w:p w:rsidR="00A434A5" w:rsidRPr="00FD4C39" w:rsidRDefault="00F0347D"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Съгласно П</w:t>
      </w:r>
      <w:r w:rsidR="00A434A5" w:rsidRPr="00FD4C39">
        <w:rPr>
          <w:rFonts w:ascii="Times New Roman" w:eastAsia="Calibri" w:hAnsi="Times New Roman" w:cs="Times New Roman"/>
          <w:sz w:val="24"/>
          <w:szCs w:val="24"/>
        </w:rPr>
        <w:t>лан</w:t>
      </w:r>
      <w:r>
        <w:rPr>
          <w:rFonts w:ascii="Times New Roman" w:eastAsia="Calibri" w:hAnsi="Times New Roman" w:cs="Times New Roman"/>
          <w:sz w:val="24"/>
          <w:szCs w:val="24"/>
        </w:rPr>
        <w:t>а</w:t>
      </w:r>
      <w:r w:rsidR="00A434A5" w:rsidRPr="00FD4C39">
        <w:rPr>
          <w:rFonts w:ascii="Times New Roman" w:eastAsia="Calibri" w:hAnsi="Times New Roman" w:cs="Times New Roman"/>
          <w:sz w:val="24"/>
          <w:szCs w:val="24"/>
        </w:rPr>
        <w:t xml:space="preserve"> критериите за избор на АЛД за проверка са следните:</w:t>
      </w:r>
    </w:p>
    <w:p w:rsidR="00A434A5" w:rsidRPr="00FD4C39" w:rsidRDefault="00A434A5" w:rsidP="00B901DE">
      <w:pPr>
        <w:pStyle w:val="ListParagraph"/>
        <w:numPr>
          <w:ilvl w:val="0"/>
          <w:numId w:val="18"/>
        </w:num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АЛД от структури и сфери с приоритетна значимост в дейността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w:t>
      </w:r>
    </w:p>
    <w:p w:rsidR="00A434A5" w:rsidRPr="00FD4C39" w:rsidRDefault="00A434A5" w:rsidP="00B901DE">
      <w:pPr>
        <w:pStyle w:val="ListParagraph"/>
        <w:numPr>
          <w:ilvl w:val="0"/>
          <w:numId w:val="9"/>
        </w:numPr>
        <w:tabs>
          <w:tab w:val="left" w:pos="1276"/>
        </w:tabs>
        <w:spacing w:after="0" w:line="360" w:lineRule="auto"/>
        <w:ind w:left="0" w:firstLine="993"/>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АЛД, чиято дейност е с актуална висока обществена и социална значимост;</w:t>
      </w:r>
    </w:p>
    <w:p w:rsidR="00A434A5" w:rsidRPr="00FD4C39" w:rsidRDefault="00A434A5" w:rsidP="00B901DE">
      <w:pPr>
        <w:pStyle w:val="ListParagraph"/>
        <w:numPr>
          <w:ilvl w:val="0"/>
          <w:numId w:val="9"/>
        </w:numPr>
        <w:tabs>
          <w:tab w:val="left" w:pos="1276"/>
        </w:tabs>
        <w:spacing w:after="0" w:line="360" w:lineRule="auto"/>
        <w:ind w:left="0" w:firstLine="993"/>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АЛД, в които са извършени значителни структурни промени, произтичащи от изменение в законодателството и вътрешните нормативни актове, включително и новосъздадени АЛД;</w:t>
      </w:r>
    </w:p>
    <w:p w:rsidR="00A434A5" w:rsidRPr="00FD4C39" w:rsidRDefault="00A434A5" w:rsidP="00B901DE">
      <w:pPr>
        <w:pStyle w:val="ListParagraph"/>
        <w:numPr>
          <w:ilvl w:val="0"/>
          <w:numId w:val="18"/>
        </w:numPr>
        <w:spacing w:after="0" w:line="360" w:lineRule="auto"/>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АЛД, в зависимост от категориите, обема на лични данни и бро</w:t>
      </w:r>
      <w:r w:rsidR="00390496" w:rsidRPr="00FD4C39">
        <w:rPr>
          <w:rFonts w:ascii="Times New Roman" w:eastAsia="Calibri" w:hAnsi="Times New Roman" w:cs="Times New Roman"/>
          <w:sz w:val="24"/>
          <w:szCs w:val="24"/>
        </w:rPr>
        <w:t>я</w:t>
      </w:r>
      <w:r w:rsidRPr="00FD4C39">
        <w:rPr>
          <w:rFonts w:ascii="Times New Roman" w:eastAsia="Calibri" w:hAnsi="Times New Roman" w:cs="Times New Roman"/>
          <w:sz w:val="24"/>
          <w:szCs w:val="24"/>
        </w:rPr>
        <w:t xml:space="preserve"> физически лица, чи</w:t>
      </w:r>
      <w:r w:rsidR="00F0347D">
        <w:rPr>
          <w:rFonts w:ascii="Times New Roman" w:eastAsia="Calibri" w:hAnsi="Times New Roman" w:cs="Times New Roman"/>
          <w:sz w:val="24"/>
          <w:szCs w:val="24"/>
        </w:rPr>
        <w:t>и</w:t>
      </w:r>
      <w:r w:rsidRPr="00FD4C39">
        <w:rPr>
          <w:rFonts w:ascii="Times New Roman" w:eastAsia="Calibri" w:hAnsi="Times New Roman" w:cs="Times New Roman"/>
          <w:sz w:val="24"/>
          <w:szCs w:val="24"/>
        </w:rPr>
        <w:t>то лични данни се обработват:</w:t>
      </w:r>
    </w:p>
    <w:p w:rsidR="00A434A5" w:rsidRPr="00FD4C39" w:rsidRDefault="00A434A5" w:rsidP="00B901DE">
      <w:pPr>
        <w:pStyle w:val="ListParagraph"/>
        <w:numPr>
          <w:ilvl w:val="0"/>
          <w:numId w:val="10"/>
        </w:numPr>
        <w:tabs>
          <w:tab w:val="left" w:pos="1276"/>
        </w:tabs>
        <w:spacing w:after="0" w:line="360" w:lineRule="auto"/>
        <w:ind w:left="0" w:firstLine="993"/>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АЛД, обработващи лични данни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5,</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от ЗЗЛД;</w:t>
      </w:r>
    </w:p>
    <w:p w:rsidR="00A434A5" w:rsidRPr="00FD4C39" w:rsidRDefault="00A434A5" w:rsidP="00B901DE">
      <w:pPr>
        <w:pStyle w:val="ListParagraph"/>
        <w:numPr>
          <w:ilvl w:val="0"/>
          <w:numId w:val="10"/>
        </w:numPr>
        <w:tabs>
          <w:tab w:val="left" w:pos="1276"/>
        </w:tabs>
        <w:spacing w:after="0" w:line="360" w:lineRule="auto"/>
        <w:ind w:left="0" w:firstLine="993"/>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АЛД, чиято дейност по обработване застрашава правата и законните интереси на физическите лица.</w:t>
      </w:r>
    </w:p>
    <w:p w:rsidR="00A434A5"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3. </w:t>
      </w:r>
      <w:r w:rsidR="00A434A5" w:rsidRPr="00FD4C39">
        <w:rPr>
          <w:rFonts w:ascii="Times New Roman" w:eastAsia="Calibri" w:hAnsi="Times New Roman" w:cs="Times New Roman"/>
          <w:sz w:val="24"/>
          <w:szCs w:val="24"/>
        </w:rPr>
        <w:t>АЛД, които не са били обект на планова проверка.</w:t>
      </w:r>
    </w:p>
    <w:p w:rsidR="00A434A5"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4. </w:t>
      </w:r>
      <w:r w:rsidR="00A434A5" w:rsidRPr="00FD4C39">
        <w:rPr>
          <w:rFonts w:ascii="Times New Roman" w:eastAsia="Calibri" w:hAnsi="Times New Roman" w:cs="Times New Roman"/>
          <w:sz w:val="24"/>
          <w:szCs w:val="24"/>
        </w:rPr>
        <w:t>АЛД, които не са подали заявление за регистрация/актуализация за вписване в регистъра по</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00A434A5"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A434A5" w:rsidRPr="00FD4C39">
        <w:rPr>
          <w:rFonts w:ascii="Times New Roman" w:eastAsia="Calibri" w:hAnsi="Times New Roman" w:cs="Times New Roman"/>
          <w:sz w:val="24"/>
          <w:szCs w:val="24"/>
        </w:rPr>
        <w:t>2 от ЗЗЛД.</w:t>
      </w:r>
    </w:p>
    <w:p w:rsidR="00A434A5" w:rsidRPr="00FD4C39" w:rsidRDefault="00695EBF"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5. </w:t>
      </w:r>
      <w:r w:rsidR="00A434A5" w:rsidRPr="00FD4C39">
        <w:rPr>
          <w:rFonts w:ascii="Times New Roman" w:eastAsia="Calibri" w:hAnsi="Times New Roman" w:cs="Times New Roman"/>
          <w:sz w:val="24"/>
          <w:szCs w:val="24"/>
        </w:rPr>
        <w:t>Административен район, в който не е извършвана планова проверка на АЛД.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Основните задачи на плановите проверки са свързани с изпълнение на задълженията на АЛД във връзка с разпоредбите на ЗЗЛД относно регистрация и/или актуализация на АЛД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задълженията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19,</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23 и</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25 от ЗЗЛД, както и установяване на предприетите технически и организационни мерки за защита на личните данни. Проверките обхващат основно регистри, съдържащи лични данни на физически лица</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персонал и клиенти (контраге</w:t>
      </w:r>
      <w:r w:rsidR="00F0347D">
        <w:rPr>
          <w:rFonts w:ascii="Times New Roman" w:eastAsia="Calibri" w:hAnsi="Times New Roman" w:cs="Times New Roman"/>
          <w:sz w:val="24"/>
          <w:szCs w:val="24"/>
        </w:rPr>
        <w:t>нти) на АЛД, съобразно основния</w:t>
      </w:r>
      <w:r w:rsidRPr="00FD4C39">
        <w:rPr>
          <w:rFonts w:ascii="Times New Roman" w:eastAsia="Calibri" w:hAnsi="Times New Roman" w:cs="Times New Roman"/>
          <w:sz w:val="24"/>
          <w:szCs w:val="24"/>
        </w:rPr>
        <w:t xml:space="preserve"> им предмет на дейност, в следните области: органи на държавна власт и държавно управление, съдебна власт, здравеопазване, образование, банкова и кредитна дейност, застрахователна дейност, търговия и услуги и др., предимно с национален обхват на дейността.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съответствие със заложените в Плана критерии за извършване на проверки </w:t>
      </w:r>
      <w:r w:rsidR="00F0347D">
        <w:rPr>
          <w:rFonts w:ascii="Times New Roman" w:eastAsia="Calibri" w:hAnsi="Times New Roman" w:cs="Times New Roman"/>
          <w:sz w:val="24"/>
          <w:szCs w:val="24"/>
        </w:rPr>
        <w:t>се определят</w:t>
      </w:r>
      <w:r w:rsidRPr="00FD4C39">
        <w:rPr>
          <w:rFonts w:ascii="Times New Roman" w:eastAsia="Calibri" w:hAnsi="Times New Roman" w:cs="Times New Roman"/>
          <w:sz w:val="24"/>
          <w:szCs w:val="24"/>
        </w:rPr>
        <w:t xml:space="preserve"> 23 АЛД в различни сектори от обществено-икономическия живот.</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 сфери на дейност с</w:t>
      </w:r>
      <w:r w:rsidR="00F0347D">
        <w:rPr>
          <w:rFonts w:ascii="Times New Roman" w:eastAsia="Calibri" w:hAnsi="Times New Roman" w:cs="Times New Roman"/>
          <w:sz w:val="24"/>
          <w:szCs w:val="24"/>
        </w:rPr>
        <w:t xml:space="preserve">е извършват </w:t>
      </w:r>
      <w:r w:rsidRPr="00FD4C39">
        <w:rPr>
          <w:rFonts w:ascii="Times New Roman" w:eastAsia="Calibri" w:hAnsi="Times New Roman" w:cs="Times New Roman"/>
          <w:sz w:val="24"/>
          <w:szCs w:val="24"/>
        </w:rPr>
        <w:t>проверки на АЛД, както следва:</w:t>
      </w:r>
    </w:p>
    <w:p w:rsidR="00A434A5" w:rsidRPr="00FD4C39" w:rsidRDefault="00A434A5" w:rsidP="00B901DE">
      <w:pPr>
        <w:pStyle w:val="ListParagraph"/>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държавна администрация (4 проверки)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Държавна агенция за закрила на детето, Служба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Военна полиция</w:t>
      </w:r>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към министъра на отбраната, Държавна агенция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Технически операции</w:t>
      </w:r>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Комисия за финансов надзор;</w:t>
      </w:r>
    </w:p>
    <w:p w:rsidR="00A434A5" w:rsidRPr="00FD4C39" w:rsidRDefault="00A434A5" w:rsidP="00B901DE">
      <w:pPr>
        <w:pStyle w:val="ListParagraph"/>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финансов сектор (3 проверки)</w:t>
      </w:r>
      <w:r w:rsidR="004D42A2">
        <w:rPr>
          <w:rFonts w:ascii="Times New Roman" w:eastAsia="Calibri" w:hAnsi="Times New Roman" w:cs="Times New Roman"/>
          <w:sz w:val="24"/>
          <w:szCs w:val="24"/>
        </w:rPr>
        <w:t xml:space="preserve"> – </w:t>
      </w:r>
      <w:r w:rsidR="004931E5" w:rsidRPr="00FD4C39">
        <w:rPr>
          <w:rFonts w:ascii="Times New Roman" w:eastAsia="Calibri" w:hAnsi="Times New Roman" w:cs="Times New Roman"/>
          <w:sz w:val="24"/>
          <w:szCs w:val="24"/>
        </w:rPr>
        <w:t>„</w:t>
      </w:r>
      <w:proofErr w:type="spellStart"/>
      <w:r w:rsidRPr="00FD4C39">
        <w:rPr>
          <w:rFonts w:ascii="Times New Roman" w:eastAsia="Calibri" w:hAnsi="Times New Roman" w:cs="Times New Roman"/>
          <w:sz w:val="24"/>
          <w:szCs w:val="24"/>
        </w:rPr>
        <w:t>Директ</w:t>
      </w:r>
      <w:proofErr w:type="spellEnd"/>
      <w:r w:rsidRPr="00FD4C39">
        <w:rPr>
          <w:rFonts w:ascii="Times New Roman" w:eastAsia="Calibri" w:hAnsi="Times New Roman" w:cs="Times New Roman"/>
          <w:sz w:val="24"/>
          <w:szCs w:val="24"/>
        </w:rPr>
        <w:t xml:space="preserve"> Кредит България</w:t>
      </w:r>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ЕООД, </w:t>
      </w:r>
      <w:r w:rsidR="004931E5" w:rsidRPr="00FD4C39">
        <w:rPr>
          <w:rFonts w:ascii="Times New Roman" w:eastAsia="Calibri" w:hAnsi="Times New Roman" w:cs="Times New Roman"/>
          <w:sz w:val="24"/>
          <w:szCs w:val="24"/>
        </w:rPr>
        <w:t>„</w:t>
      </w:r>
      <w:proofErr w:type="spellStart"/>
      <w:r w:rsidR="00F0347D">
        <w:rPr>
          <w:rFonts w:ascii="Times New Roman" w:eastAsia="Calibri" w:hAnsi="Times New Roman" w:cs="Times New Roman"/>
          <w:sz w:val="24"/>
          <w:szCs w:val="24"/>
        </w:rPr>
        <w:t>Трейс</w:t>
      </w:r>
      <w:proofErr w:type="spellEnd"/>
      <w:r w:rsidR="00F0347D">
        <w:rPr>
          <w:rFonts w:ascii="Times New Roman" w:eastAsia="Calibri" w:hAnsi="Times New Roman" w:cs="Times New Roman"/>
          <w:sz w:val="24"/>
          <w:szCs w:val="24"/>
        </w:rPr>
        <w:t xml:space="preserve"> експерт“</w:t>
      </w:r>
      <w:r w:rsidRPr="00FD4C39">
        <w:rPr>
          <w:rFonts w:ascii="Times New Roman" w:eastAsia="Calibri" w:hAnsi="Times New Roman" w:cs="Times New Roman"/>
          <w:sz w:val="24"/>
          <w:szCs w:val="24"/>
        </w:rPr>
        <w:t xml:space="preserve"> ЕООД и</w:t>
      </w:r>
      <w:r w:rsidR="00F0347D">
        <w:rPr>
          <w:rFonts w:ascii="Times New Roman" w:eastAsia="Calibri" w:hAnsi="Times New Roman" w:cs="Times New Roman"/>
          <w:sz w:val="24"/>
          <w:szCs w:val="24"/>
        </w:rPr>
        <w:t xml:space="preserve"> „</w:t>
      </w:r>
      <w:proofErr w:type="spellStart"/>
      <w:r w:rsidRPr="00FD4C39">
        <w:rPr>
          <w:rFonts w:ascii="Times New Roman" w:eastAsia="Calibri" w:hAnsi="Times New Roman" w:cs="Times New Roman"/>
          <w:sz w:val="24"/>
          <w:szCs w:val="24"/>
        </w:rPr>
        <w:t>Кредатор</w:t>
      </w:r>
      <w:proofErr w:type="spellEnd"/>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ООД;</w:t>
      </w:r>
    </w:p>
    <w:p w:rsidR="00A434A5" w:rsidRPr="00FD4C39" w:rsidRDefault="00A434A5" w:rsidP="00B901DE">
      <w:pPr>
        <w:pStyle w:val="ListParagraph"/>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здравеопазване (2 проверки)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Регионална здравна инспекция</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Варна</w:t>
      </w:r>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w:t>
      </w:r>
      <w:r w:rsidR="004931E5" w:rsidRPr="00FD4C39">
        <w:rPr>
          <w:rFonts w:ascii="Times New Roman" w:eastAsia="Calibri" w:hAnsi="Times New Roman" w:cs="Times New Roman"/>
          <w:sz w:val="24"/>
          <w:szCs w:val="24"/>
        </w:rPr>
        <w:t>„</w:t>
      </w:r>
      <w:proofErr w:type="spellStart"/>
      <w:r w:rsidRPr="00FD4C39">
        <w:rPr>
          <w:rFonts w:ascii="Times New Roman" w:eastAsia="Calibri" w:hAnsi="Times New Roman" w:cs="Times New Roman"/>
          <w:sz w:val="24"/>
          <w:szCs w:val="24"/>
        </w:rPr>
        <w:t>Многопрофилна</w:t>
      </w:r>
      <w:proofErr w:type="spellEnd"/>
      <w:r w:rsidRPr="00FD4C39">
        <w:rPr>
          <w:rFonts w:ascii="Times New Roman" w:eastAsia="Calibri" w:hAnsi="Times New Roman" w:cs="Times New Roman"/>
          <w:sz w:val="24"/>
          <w:szCs w:val="24"/>
        </w:rPr>
        <w:t xml:space="preserve"> болница за активно лечение Света Марина</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ЕАД;</w:t>
      </w:r>
    </w:p>
    <w:p w:rsidR="00A434A5" w:rsidRPr="00F0347D" w:rsidRDefault="00A434A5" w:rsidP="00F0347D">
      <w:pPr>
        <w:pStyle w:val="ListParagraph"/>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правосъдие (2 проверк</w:t>
      </w:r>
      <w:r w:rsidR="00F0347D">
        <w:rPr>
          <w:rFonts w:ascii="Times New Roman" w:eastAsia="Calibri" w:hAnsi="Times New Roman" w:cs="Times New Roman"/>
          <w:sz w:val="24"/>
          <w:szCs w:val="24"/>
        </w:rPr>
        <w:t>и</w:t>
      </w:r>
      <w:r w:rsidRPr="00FD4C39">
        <w:rPr>
          <w:rFonts w:ascii="Times New Roman" w:eastAsia="Calibri" w:hAnsi="Times New Roman" w:cs="Times New Roman"/>
          <w:sz w:val="24"/>
          <w:szCs w:val="24"/>
        </w:rPr>
        <w:t>)</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Районен съд</w:t>
      </w:r>
      <w:r w:rsidR="004D42A2">
        <w:rPr>
          <w:rFonts w:ascii="Times New Roman" w:eastAsia="Calibri" w:hAnsi="Times New Roman" w:cs="Times New Roman"/>
          <w:sz w:val="24"/>
          <w:szCs w:val="24"/>
        </w:rPr>
        <w:t xml:space="preserve"> – </w:t>
      </w:r>
      <w:r w:rsidRPr="00F0347D">
        <w:rPr>
          <w:rFonts w:ascii="Times New Roman" w:eastAsia="Calibri" w:hAnsi="Times New Roman" w:cs="Times New Roman"/>
          <w:sz w:val="24"/>
          <w:szCs w:val="24"/>
        </w:rPr>
        <w:t>Сливен</w:t>
      </w:r>
      <w:r w:rsidR="00F0347D">
        <w:rPr>
          <w:rFonts w:ascii="Times New Roman" w:eastAsia="Calibri" w:hAnsi="Times New Roman" w:cs="Times New Roman"/>
          <w:sz w:val="24"/>
          <w:szCs w:val="24"/>
        </w:rPr>
        <w:t>,</w:t>
      </w:r>
      <w:r w:rsidRPr="00F0347D">
        <w:rPr>
          <w:rFonts w:ascii="Times New Roman" w:eastAsia="Calibri" w:hAnsi="Times New Roman" w:cs="Times New Roman"/>
          <w:sz w:val="24"/>
          <w:szCs w:val="24"/>
        </w:rPr>
        <w:t xml:space="preserve"> и Административен съд</w:t>
      </w:r>
      <w:r w:rsidR="004D42A2">
        <w:rPr>
          <w:rFonts w:ascii="Times New Roman" w:eastAsia="Calibri" w:hAnsi="Times New Roman" w:cs="Times New Roman"/>
          <w:sz w:val="24"/>
          <w:szCs w:val="24"/>
        </w:rPr>
        <w:t xml:space="preserve"> – </w:t>
      </w:r>
      <w:r w:rsidRPr="00F0347D">
        <w:rPr>
          <w:rFonts w:ascii="Times New Roman" w:eastAsia="Calibri" w:hAnsi="Times New Roman" w:cs="Times New Roman"/>
          <w:sz w:val="24"/>
          <w:szCs w:val="24"/>
        </w:rPr>
        <w:t>Сливен;</w:t>
      </w:r>
    </w:p>
    <w:p w:rsidR="00A434A5" w:rsidRPr="00FD4C39" w:rsidRDefault="00A434A5" w:rsidP="00B901DE">
      <w:pPr>
        <w:pStyle w:val="ListParagraph"/>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застраховане (1 проверка)</w:t>
      </w:r>
      <w:r w:rsidR="004D42A2">
        <w:rPr>
          <w:rFonts w:ascii="Times New Roman" w:eastAsia="Calibri" w:hAnsi="Times New Roman" w:cs="Times New Roman"/>
          <w:sz w:val="24"/>
          <w:szCs w:val="24"/>
        </w:rPr>
        <w:t xml:space="preserve"> –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Застрахователна компания Лев </w:t>
      </w:r>
      <w:proofErr w:type="spellStart"/>
      <w:r w:rsidRPr="00FD4C39">
        <w:rPr>
          <w:rFonts w:ascii="Times New Roman" w:eastAsia="Calibri" w:hAnsi="Times New Roman" w:cs="Times New Roman"/>
          <w:sz w:val="24"/>
          <w:szCs w:val="24"/>
        </w:rPr>
        <w:t>Инс</w:t>
      </w:r>
      <w:proofErr w:type="spellEnd"/>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АД.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резултат на приключилите планови проверки </w:t>
      </w:r>
      <w:r w:rsidR="00F0347D">
        <w:rPr>
          <w:rFonts w:ascii="Times New Roman" w:eastAsia="Calibri" w:hAnsi="Times New Roman" w:cs="Times New Roman"/>
          <w:sz w:val="24"/>
          <w:szCs w:val="24"/>
        </w:rPr>
        <w:t>се съставят</w:t>
      </w:r>
      <w:r w:rsidRPr="00FD4C39">
        <w:rPr>
          <w:rFonts w:ascii="Times New Roman" w:eastAsia="Calibri" w:hAnsi="Times New Roman" w:cs="Times New Roman"/>
          <w:sz w:val="24"/>
          <w:szCs w:val="24"/>
        </w:rPr>
        <w:t xml:space="preserve"> 12 </w:t>
      </w:r>
      <w:r w:rsidR="00530A1A" w:rsidRPr="00FD4C39">
        <w:rPr>
          <w:rFonts w:ascii="Times New Roman" w:eastAsia="Calibri" w:hAnsi="Times New Roman" w:cs="Times New Roman"/>
          <w:sz w:val="24"/>
          <w:szCs w:val="24"/>
        </w:rPr>
        <w:t>КА</w:t>
      </w:r>
      <w:r w:rsidRPr="00FD4C39">
        <w:rPr>
          <w:rFonts w:ascii="Times New Roman" w:eastAsia="Calibri" w:hAnsi="Times New Roman" w:cs="Times New Roman"/>
          <w:sz w:val="24"/>
          <w:szCs w:val="24"/>
        </w:rPr>
        <w:t xml:space="preserve"> и с</w:t>
      </w:r>
      <w:r w:rsidR="00F0347D">
        <w:rPr>
          <w:rFonts w:ascii="Times New Roman" w:eastAsia="Calibri" w:hAnsi="Times New Roman" w:cs="Times New Roman"/>
          <w:sz w:val="24"/>
          <w:szCs w:val="24"/>
        </w:rPr>
        <w:t>е издават</w:t>
      </w:r>
      <w:r w:rsidRPr="00FD4C39">
        <w:rPr>
          <w:rFonts w:ascii="Times New Roman" w:eastAsia="Calibri" w:hAnsi="Times New Roman" w:cs="Times New Roman"/>
          <w:sz w:val="24"/>
          <w:szCs w:val="24"/>
        </w:rPr>
        <w:t xml:space="preserve"> 2 задължителни предписания.</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началото на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r w:rsidR="00F0347D">
        <w:rPr>
          <w:rFonts w:ascii="Times New Roman" w:eastAsia="Calibri" w:hAnsi="Times New Roman" w:cs="Times New Roman"/>
          <w:sz w:val="24"/>
          <w:szCs w:val="24"/>
        </w:rPr>
        <w:t>приключват</w:t>
      </w:r>
      <w:r w:rsidRPr="00FD4C39">
        <w:rPr>
          <w:rFonts w:ascii="Times New Roman" w:eastAsia="Calibri" w:hAnsi="Times New Roman" w:cs="Times New Roman"/>
          <w:sz w:val="24"/>
          <w:szCs w:val="24"/>
        </w:rPr>
        <w:t xml:space="preserve"> и 3 планови проверки, назначени в края на 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а именно на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Застрахователно дружество Евро </w:t>
      </w:r>
      <w:proofErr w:type="spellStart"/>
      <w:r w:rsidRPr="00FD4C39">
        <w:rPr>
          <w:rFonts w:ascii="Times New Roman" w:eastAsia="Calibri" w:hAnsi="Times New Roman" w:cs="Times New Roman"/>
          <w:sz w:val="24"/>
          <w:szCs w:val="24"/>
        </w:rPr>
        <w:t>Инс</w:t>
      </w:r>
      <w:proofErr w:type="spellEnd"/>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АД, Европейски политехнически университет, гр. Перник</w:t>
      </w:r>
      <w:r w:rsidR="00F0347D">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Регионален инспекторат по образование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Перник. В резултат на констатациите от тези проверки </w:t>
      </w:r>
      <w:r w:rsidR="00F0347D">
        <w:rPr>
          <w:rFonts w:ascii="Times New Roman" w:eastAsia="Calibri" w:hAnsi="Times New Roman" w:cs="Times New Roman"/>
          <w:sz w:val="24"/>
          <w:szCs w:val="24"/>
        </w:rPr>
        <w:t>се издават</w:t>
      </w:r>
      <w:r w:rsidRPr="00FD4C39">
        <w:rPr>
          <w:rFonts w:ascii="Times New Roman" w:eastAsia="Calibri" w:hAnsi="Times New Roman" w:cs="Times New Roman"/>
          <w:sz w:val="24"/>
          <w:szCs w:val="24"/>
        </w:rPr>
        <w:t xml:space="preserve"> 3 ЗП.</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Във връзка с ангажиране на голяма част от администрацията на </w:t>
      </w:r>
      <w:r w:rsidR="00FE7018" w:rsidRPr="00FD4C39">
        <w:rPr>
          <w:rFonts w:ascii="Times New Roman" w:eastAsia="Calibri" w:hAnsi="Times New Roman" w:cs="Times New Roman"/>
          <w:sz w:val="24"/>
          <w:szCs w:val="24"/>
        </w:rPr>
        <w:t>КЗЛД</w:t>
      </w:r>
      <w:r w:rsidR="00786BAB"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за изпълнение на решението </w:t>
      </w:r>
      <w:r w:rsidR="00671D64" w:rsidRPr="00FD4C39">
        <w:rPr>
          <w:rFonts w:ascii="Times New Roman" w:eastAsia="Calibri" w:hAnsi="Times New Roman" w:cs="Times New Roman"/>
          <w:sz w:val="24"/>
          <w:szCs w:val="24"/>
        </w:rPr>
        <w:t xml:space="preserve">й </w:t>
      </w:r>
      <w:r w:rsidRPr="00FD4C39">
        <w:rPr>
          <w:rFonts w:ascii="Times New Roman" w:eastAsia="Calibri" w:hAnsi="Times New Roman" w:cs="Times New Roman"/>
          <w:sz w:val="24"/>
          <w:szCs w:val="24"/>
        </w:rPr>
        <w:t xml:space="preserve">за извършване на проверки на политически субекти, </w:t>
      </w:r>
      <w:r w:rsidR="00F0347D">
        <w:rPr>
          <w:rFonts w:ascii="Times New Roman" w:eastAsia="Calibri" w:hAnsi="Times New Roman" w:cs="Times New Roman"/>
          <w:sz w:val="24"/>
          <w:szCs w:val="24"/>
        </w:rPr>
        <w:t xml:space="preserve">които </w:t>
      </w:r>
      <w:r w:rsidRPr="00FD4C39">
        <w:rPr>
          <w:rFonts w:ascii="Times New Roman" w:eastAsia="Calibri" w:hAnsi="Times New Roman" w:cs="Times New Roman"/>
          <w:sz w:val="24"/>
          <w:szCs w:val="24"/>
        </w:rPr>
        <w:t>пода</w:t>
      </w:r>
      <w:r w:rsidR="00F0347D">
        <w:rPr>
          <w:rFonts w:ascii="Times New Roman" w:eastAsia="Calibri" w:hAnsi="Times New Roman" w:cs="Times New Roman"/>
          <w:sz w:val="24"/>
          <w:szCs w:val="24"/>
        </w:rPr>
        <w:t>ват</w:t>
      </w:r>
      <w:r w:rsidRPr="00FD4C39">
        <w:rPr>
          <w:rFonts w:ascii="Times New Roman" w:eastAsia="Calibri" w:hAnsi="Times New Roman" w:cs="Times New Roman"/>
          <w:sz w:val="24"/>
          <w:szCs w:val="24"/>
        </w:rPr>
        <w:t xml:space="preserve"> документи за регистрация в ЦИК за участие в изборите </w:t>
      </w:r>
      <w:r w:rsidRPr="00FD4C39">
        <w:rPr>
          <w:rFonts w:ascii="Times New Roman" w:eastAsia="Calibri" w:hAnsi="Times New Roman" w:cs="Times New Roman"/>
          <w:bCs/>
          <w:sz w:val="24"/>
          <w:szCs w:val="24"/>
        </w:rPr>
        <w:t>за членове на Европейския п</w:t>
      </w:r>
      <w:r w:rsidR="001E10C8">
        <w:rPr>
          <w:rFonts w:ascii="Times New Roman" w:eastAsia="Calibri" w:hAnsi="Times New Roman" w:cs="Times New Roman"/>
          <w:bCs/>
          <w:sz w:val="24"/>
          <w:szCs w:val="24"/>
        </w:rPr>
        <w:t xml:space="preserve">арламент от Република България </w:t>
      </w:r>
      <w:r w:rsidRPr="00FD4C39">
        <w:rPr>
          <w:rFonts w:ascii="Times New Roman" w:eastAsia="Calibri" w:hAnsi="Times New Roman" w:cs="Times New Roman"/>
          <w:bCs/>
          <w:sz w:val="24"/>
          <w:szCs w:val="24"/>
        </w:rPr>
        <w:t>на 25 май 2014</w:t>
      </w:r>
      <w:r w:rsidR="004D42A2">
        <w:rPr>
          <w:rFonts w:ascii="Times New Roman" w:eastAsia="Calibri" w:hAnsi="Times New Roman" w:cs="Times New Roman"/>
          <w:bCs/>
          <w:sz w:val="24"/>
          <w:szCs w:val="24"/>
        </w:rPr>
        <w:t> г.</w:t>
      </w:r>
      <w:r w:rsidRPr="00FD4C39">
        <w:rPr>
          <w:rFonts w:ascii="Times New Roman" w:eastAsia="Calibri" w:hAnsi="Times New Roman" w:cs="Times New Roman"/>
          <w:bCs/>
          <w:sz w:val="24"/>
          <w:szCs w:val="24"/>
        </w:rPr>
        <w:t xml:space="preserve">, </w:t>
      </w:r>
      <w:r w:rsidR="00FE7018" w:rsidRPr="00FD4C39">
        <w:rPr>
          <w:rFonts w:ascii="Times New Roman" w:eastAsia="Calibri" w:hAnsi="Times New Roman" w:cs="Times New Roman"/>
          <w:bCs/>
          <w:sz w:val="24"/>
          <w:szCs w:val="24"/>
        </w:rPr>
        <w:t>КЗЛД</w:t>
      </w:r>
      <w:r w:rsidR="001E10C8">
        <w:rPr>
          <w:rFonts w:ascii="Times New Roman" w:eastAsia="Calibri" w:hAnsi="Times New Roman" w:cs="Times New Roman"/>
          <w:bCs/>
          <w:sz w:val="24"/>
          <w:szCs w:val="24"/>
        </w:rPr>
        <w:t xml:space="preserve"> отлага</w:t>
      </w:r>
      <w:r w:rsidRPr="00FD4C39">
        <w:rPr>
          <w:rFonts w:ascii="Times New Roman" w:eastAsia="Calibri" w:hAnsi="Times New Roman" w:cs="Times New Roman"/>
          <w:bCs/>
          <w:sz w:val="24"/>
          <w:szCs w:val="24"/>
        </w:rPr>
        <w:t xml:space="preserve"> извършването на планираните за месеците август, септември, октомври и ноември 2014</w:t>
      </w:r>
      <w:r w:rsidR="004D42A2">
        <w:rPr>
          <w:rFonts w:ascii="Times New Roman" w:eastAsia="Calibri" w:hAnsi="Times New Roman" w:cs="Times New Roman"/>
          <w:bCs/>
          <w:sz w:val="24"/>
          <w:szCs w:val="24"/>
        </w:rPr>
        <w:t> г.</w:t>
      </w:r>
      <w:r w:rsidRPr="00FD4C39">
        <w:rPr>
          <w:rFonts w:ascii="Times New Roman" w:eastAsia="Calibri" w:hAnsi="Times New Roman" w:cs="Times New Roman"/>
          <w:bCs/>
          <w:sz w:val="24"/>
          <w:szCs w:val="24"/>
        </w:rPr>
        <w:t xml:space="preserve"> проверки.</w:t>
      </w:r>
    </w:p>
    <w:p w:rsidR="00695EBF" w:rsidRPr="00FD4C39" w:rsidRDefault="00695EBF" w:rsidP="007B189E">
      <w:pPr>
        <w:spacing w:after="0" w:line="360" w:lineRule="auto"/>
        <w:ind w:firstLine="709"/>
        <w:jc w:val="both"/>
        <w:rPr>
          <w:rFonts w:ascii="Times New Roman" w:eastAsia="Calibri" w:hAnsi="Times New Roman" w:cs="Times New Roman"/>
          <w:i/>
          <w:sz w:val="24"/>
          <w:szCs w:val="24"/>
        </w:rPr>
      </w:pPr>
    </w:p>
    <w:p w:rsidR="00A434A5" w:rsidRPr="00FD4C39" w:rsidRDefault="00765477"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1.3.</w:t>
      </w:r>
      <w:r w:rsidR="00A434A5" w:rsidRPr="00FD4C39">
        <w:rPr>
          <w:rFonts w:ascii="Times New Roman" w:eastAsia="Calibri" w:hAnsi="Times New Roman" w:cs="Times New Roman"/>
          <w:i/>
          <w:sz w:val="24"/>
          <w:szCs w:val="24"/>
        </w:rPr>
        <w:t xml:space="preserve"> </w:t>
      </w:r>
      <w:proofErr w:type="spellStart"/>
      <w:r w:rsidR="00A434A5" w:rsidRPr="00FD4C39">
        <w:rPr>
          <w:rFonts w:ascii="Times New Roman" w:eastAsia="Calibri" w:hAnsi="Times New Roman" w:cs="Times New Roman"/>
          <w:i/>
          <w:sz w:val="24"/>
          <w:szCs w:val="24"/>
        </w:rPr>
        <w:t>Последващи</w:t>
      </w:r>
      <w:proofErr w:type="spellEnd"/>
      <w:r w:rsidR="00A434A5" w:rsidRPr="00FD4C39">
        <w:rPr>
          <w:rFonts w:ascii="Times New Roman" w:eastAsia="Calibri" w:hAnsi="Times New Roman" w:cs="Times New Roman"/>
          <w:i/>
          <w:sz w:val="24"/>
          <w:szCs w:val="24"/>
        </w:rPr>
        <w:t xml:space="preserve"> проверки</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Третият вид проверки са тези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4 от ЗЗЛД, а именно </w:t>
      </w:r>
      <w:proofErr w:type="spellStart"/>
      <w:r w:rsidRPr="00FD4C39">
        <w:rPr>
          <w:rFonts w:ascii="Times New Roman" w:eastAsia="Calibri" w:hAnsi="Times New Roman" w:cs="Times New Roman"/>
          <w:sz w:val="24"/>
          <w:szCs w:val="24"/>
        </w:rPr>
        <w:t>последващи</w:t>
      </w:r>
      <w:proofErr w:type="spellEnd"/>
      <w:r w:rsidRPr="00FD4C39">
        <w:rPr>
          <w:rFonts w:ascii="Times New Roman" w:eastAsia="Calibri" w:hAnsi="Times New Roman" w:cs="Times New Roman"/>
          <w:sz w:val="24"/>
          <w:szCs w:val="24"/>
        </w:rPr>
        <w:t xml:space="preserve"> проверки, които се извършват във връзка с изпълнение на решение или на задължително предписание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както и по нейна инициатива след подаден сигнал.</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w:t>
      </w:r>
      <w:r w:rsidR="001E10C8">
        <w:rPr>
          <w:rFonts w:ascii="Times New Roman" w:eastAsia="Calibri" w:hAnsi="Times New Roman" w:cs="Times New Roman"/>
          <w:sz w:val="24"/>
          <w:szCs w:val="24"/>
        </w:rPr>
        <w:t>е извършват</w:t>
      </w:r>
      <w:r w:rsidRPr="00FD4C39">
        <w:rPr>
          <w:rFonts w:ascii="Times New Roman" w:eastAsia="Calibri" w:hAnsi="Times New Roman" w:cs="Times New Roman"/>
          <w:sz w:val="24"/>
          <w:szCs w:val="24"/>
        </w:rPr>
        <w:t xml:space="preserve"> 77 </w:t>
      </w:r>
      <w:proofErr w:type="spellStart"/>
      <w:r w:rsidRPr="00FD4C39">
        <w:rPr>
          <w:rFonts w:ascii="Times New Roman" w:eastAsia="Calibri" w:hAnsi="Times New Roman" w:cs="Times New Roman"/>
          <w:sz w:val="24"/>
          <w:szCs w:val="24"/>
        </w:rPr>
        <w:t>последващи</w:t>
      </w:r>
      <w:proofErr w:type="spellEnd"/>
      <w:r w:rsidRPr="00FD4C39">
        <w:rPr>
          <w:rFonts w:ascii="Times New Roman" w:eastAsia="Calibri" w:hAnsi="Times New Roman" w:cs="Times New Roman"/>
          <w:sz w:val="24"/>
          <w:szCs w:val="24"/>
        </w:rPr>
        <w:t xml:space="preserve"> проверки (фиг. </w:t>
      </w:r>
      <w:r w:rsidR="009A2D9F" w:rsidRPr="00FD4C39">
        <w:rPr>
          <w:rFonts w:ascii="Times New Roman" w:eastAsia="Calibri" w:hAnsi="Times New Roman" w:cs="Times New Roman"/>
          <w:sz w:val="24"/>
          <w:szCs w:val="24"/>
        </w:rPr>
        <w:t>6</w:t>
      </w:r>
      <w:r w:rsidRPr="00FD4C39">
        <w:rPr>
          <w:rFonts w:ascii="Times New Roman" w:eastAsia="Calibri" w:hAnsi="Times New Roman" w:cs="Times New Roman"/>
          <w:sz w:val="24"/>
          <w:szCs w:val="24"/>
        </w:rPr>
        <w:t>). Този вид проверки имат идентична методика на извършване с описаните по-горе текущи проверки, като се различават само по своето основание за извършване.</w:t>
      </w:r>
    </w:p>
    <w:p w:rsidR="00A434A5" w:rsidRPr="00FD4C39" w:rsidRDefault="001E10C8"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резултат на тези проверки се</w:t>
      </w:r>
      <w:r w:rsidR="00A434A5" w:rsidRPr="00FD4C39">
        <w:rPr>
          <w:rFonts w:ascii="Times New Roman" w:eastAsia="Calibri" w:hAnsi="Times New Roman" w:cs="Times New Roman"/>
          <w:sz w:val="24"/>
          <w:szCs w:val="24"/>
        </w:rPr>
        <w:t xml:space="preserve"> изд</w:t>
      </w:r>
      <w:r>
        <w:rPr>
          <w:rFonts w:ascii="Times New Roman" w:eastAsia="Calibri" w:hAnsi="Times New Roman" w:cs="Times New Roman"/>
          <w:sz w:val="24"/>
          <w:szCs w:val="24"/>
        </w:rPr>
        <w:t>ават</w:t>
      </w:r>
      <w:r w:rsidR="00A434A5" w:rsidRPr="00FD4C39">
        <w:rPr>
          <w:rFonts w:ascii="Times New Roman" w:eastAsia="Calibri" w:hAnsi="Times New Roman" w:cs="Times New Roman"/>
          <w:sz w:val="24"/>
          <w:szCs w:val="24"/>
        </w:rPr>
        <w:t xml:space="preserve"> 29 зад</w:t>
      </w:r>
      <w:r>
        <w:rPr>
          <w:rFonts w:ascii="Times New Roman" w:eastAsia="Calibri" w:hAnsi="Times New Roman" w:cs="Times New Roman"/>
          <w:sz w:val="24"/>
          <w:szCs w:val="24"/>
        </w:rPr>
        <w:t>ължителни предписания, съставят</w:t>
      </w:r>
      <w:r w:rsidR="00A434A5" w:rsidRPr="00FD4C39">
        <w:rPr>
          <w:rFonts w:ascii="Times New Roman" w:eastAsia="Calibri" w:hAnsi="Times New Roman" w:cs="Times New Roman"/>
          <w:sz w:val="24"/>
          <w:szCs w:val="24"/>
        </w:rPr>
        <w:t xml:space="preserve"> с</w:t>
      </w:r>
      <w:r>
        <w:rPr>
          <w:rFonts w:ascii="Times New Roman" w:eastAsia="Calibri" w:hAnsi="Times New Roman" w:cs="Times New Roman"/>
          <w:sz w:val="24"/>
          <w:szCs w:val="24"/>
        </w:rPr>
        <w:t>е</w:t>
      </w:r>
      <w:r w:rsidR="00A434A5" w:rsidRPr="00FD4C39">
        <w:rPr>
          <w:rFonts w:ascii="Times New Roman" w:eastAsia="Calibri" w:hAnsi="Times New Roman" w:cs="Times New Roman"/>
          <w:sz w:val="24"/>
          <w:szCs w:val="24"/>
        </w:rPr>
        <w:t xml:space="preserve"> 36 акта за установяване на административни нарушения, а при 28 проверки не с</w:t>
      </w:r>
      <w:r>
        <w:rPr>
          <w:rFonts w:ascii="Times New Roman" w:eastAsia="Calibri" w:hAnsi="Times New Roman" w:cs="Times New Roman"/>
          <w:sz w:val="24"/>
          <w:szCs w:val="24"/>
        </w:rPr>
        <w:t>е установяват</w:t>
      </w:r>
      <w:r w:rsidR="00A434A5" w:rsidRPr="00FD4C39">
        <w:rPr>
          <w:rFonts w:ascii="Times New Roman" w:eastAsia="Calibri" w:hAnsi="Times New Roman" w:cs="Times New Roman"/>
          <w:sz w:val="24"/>
          <w:szCs w:val="24"/>
        </w:rPr>
        <w:t xml:space="preserve"> нарушения на разпоредбите на ЗЗЛД.</w:t>
      </w:r>
    </w:p>
    <w:p w:rsidR="00695EBF" w:rsidRPr="00FD4C39" w:rsidRDefault="00695EBF" w:rsidP="007B189E">
      <w:pPr>
        <w:spacing w:after="0" w:line="360" w:lineRule="auto"/>
        <w:ind w:firstLine="709"/>
        <w:jc w:val="both"/>
        <w:rPr>
          <w:rFonts w:ascii="Times New Roman" w:eastAsia="Calibri" w:hAnsi="Times New Roman" w:cs="Times New Roman"/>
          <w:i/>
          <w:sz w:val="24"/>
          <w:szCs w:val="24"/>
        </w:rPr>
      </w:pPr>
    </w:p>
    <w:p w:rsidR="00A434A5" w:rsidRPr="00FD4C39" w:rsidRDefault="00F84F73"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 xml:space="preserve">1.4. </w:t>
      </w:r>
      <w:r w:rsidR="00A434A5" w:rsidRPr="00FD4C39">
        <w:rPr>
          <w:rFonts w:ascii="Times New Roman" w:eastAsia="Calibri" w:hAnsi="Times New Roman" w:cs="Times New Roman"/>
          <w:i/>
          <w:sz w:val="24"/>
          <w:szCs w:val="24"/>
        </w:rPr>
        <w:t>Разглеждане на искания</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36,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2 от ПДКЗЛДНА, когато едно искане не съдържа данни за нарушени права на </w:t>
      </w:r>
      <w:proofErr w:type="spellStart"/>
      <w:r w:rsidRPr="00FD4C39">
        <w:rPr>
          <w:rFonts w:ascii="Times New Roman" w:eastAsia="Calibri" w:hAnsi="Times New Roman" w:cs="Times New Roman"/>
          <w:sz w:val="24"/>
          <w:szCs w:val="24"/>
        </w:rPr>
        <w:t>искателя</w:t>
      </w:r>
      <w:proofErr w:type="spellEnd"/>
      <w:r w:rsidRPr="00FD4C39">
        <w:rPr>
          <w:rFonts w:ascii="Times New Roman" w:eastAsia="Calibri" w:hAnsi="Times New Roman" w:cs="Times New Roman"/>
          <w:sz w:val="24"/>
          <w:szCs w:val="24"/>
        </w:rPr>
        <w:t>, може да се предприемат действия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3,</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5,</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6 и</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43 от ЗЗЛД.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w:t>
      </w:r>
      <w:r w:rsidR="001E10C8">
        <w:rPr>
          <w:rFonts w:ascii="Times New Roman" w:eastAsia="Calibri" w:hAnsi="Times New Roman" w:cs="Times New Roman"/>
          <w:sz w:val="24"/>
          <w:szCs w:val="24"/>
        </w:rPr>
        <w:t>е разглеждат</w:t>
      </w:r>
      <w:r w:rsidRPr="00FD4C39">
        <w:rPr>
          <w:rFonts w:ascii="Times New Roman" w:eastAsia="Calibri" w:hAnsi="Times New Roman" w:cs="Times New Roman"/>
          <w:sz w:val="24"/>
          <w:szCs w:val="24"/>
        </w:rPr>
        <w:t xml:space="preserve"> 134 искания от физически лица, </w:t>
      </w:r>
      <w:r w:rsidRPr="00FD4C39">
        <w:rPr>
          <w:rFonts w:ascii="Times New Roman" w:eastAsia="Calibri" w:hAnsi="Times New Roman" w:cs="Times New Roman"/>
          <w:sz w:val="24"/>
          <w:szCs w:val="24"/>
        </w:rPr>
        <w:lastRenderedPageBreak/>
        <w:t xml:space="preserve">включително различни запитвания по актуални въпроси, свързани със защита на личните данни. Дейността по разглеждане включва запознаване с </w:t>
      </w:r>
      <w:proofErr w:type="spellStart"/>
      <w:r w:rsidRPr="00FD4C39">
        <w:rPr>
          <w:rFonts w:ascii="Times New Roman" w:eastAsia="Calibri" w:hAnsi="Times New Roman" w:cs="Times New Roman"/>
          <w:sz w:val="24"/>
          <w:szCs w:val="24"/>
        </w:rPr>
        <w:t>относимата</w:t>
      </w:r>
      <w:proofErr w:type="spellEnd"/>
      <w:r w:rsidRPr="00FD4C39">
        <w:rPr>
          <w:rFonts w:ascii="Times New Roman" w:eastAsia="Calibri" w:hAnsi="Times New Roman" w:cs="Times New Roman"/>
          <w:sz w:val="24"/>
          <w:szCs w:val="24"/>
        </w:rPr>
        <w:t xml:space="preserve"> нормативна база, искане на писмени отговори и/или становища от съответните АЛД, указване на определени действия, консултации и др.</w:t>
      </w:r>
    </w:p>
    <w:p w:rsidR="008120E0" w:rsidRPr="008120E0" w:rsidRDefault="008120E0" w:rsidP="007B189E">
      <w:pPr>
        <w:spacing w:after="0" w:line="360" w:lineRule="auto"/>
        <w:ind w:firstLine="709"/>
        <w:jc w:val="both"/>
        <w:rPr>
          <w:rFonts w:ascii="Times New Roman" w:eastAsia="Calibri" w:hAnsi="Times New Roman" w:cs="Times New Roman"/>
          <w:sz w:val="24"/>
          <w:szCs w:val="24"/>
        </w:rPr>
      </w:pPr>
      <w:r w:rsidRPr="008120E0">
        <w:rPr>
          <w:rFonts w:ascii="Times New Roman" w:eastAsia="Calibri" w:hAnsi="Times New Roman" w:cs="Times New Roman"/>
          <w:sz w:val="24"/>
          <w:szCs w:val="24"/>
        </w:rPr>
        <w:t xml:space="preserve">От разгледаните през 2014 г. искания за предприемане на действия по линия на контролната дейност на Комисията,  най-голям е делът на твърденията за нарушени права по ЗЗЛД в секторите: интернет (59), здравеопазване (11), търговия и услуги (8), държавна администрация (8) и др. Значително по-малко са в правосъдие, областна и общинска администрация, образование и обучение, телекомуникации, </w:t>
      </w:r>
      <w:proofErr w:type="spellStart"/>
      <w:r w:rsidRPr="008120E0">
        <w:rPr>
          <w:rFonts w:ascii="Times New Roman" w:eastAsia="Calibri" w:hAnsi="Times New Roman" w:cs="Times New Roman"/>
          <w:sz w:val="24"/>
          <w:szCs w:val="24"/>
        </w:rPr>
        <w:t>видеонаблюдение</w:t>
      </w:r>
      <w:proofErr w:type="spellEnd"/>
      <w:r w:rsidRPr="008120E0">
        <w:rPr>
          <w:rFonts w:ascii="Times New Roman" w:eastAsia="Calibri" w:hAnsi="Times New Roman" w:cs="Times New Roman"/>
          <w:sz w:val="24"/>
          <w:szCs w:val="24"/>
        </w:rPr>
        <w:t xml:space="preserve"> и др.</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се наблюдава повишаване </w:t>
      </w:r>
      <w:r w:rsidR="003C30E2" w:rsidRPr="00FD4C39">
        <w:rPr>
          <w:rFonts w:ascii="Times New Roman" w:eastAsia="Calibri" w:hAnsi="Times New Roman" w:cs="Times New Roman"/>
          <w:sz w:val="24"/>
          <w:szCs w:val="24"/>
        </w:rPr>
        <w:t xml:space="preserve">на </w:t>
      </w:r>
      <w:r w:rsidRPr="00FD4C39">
        <w:rPr>
          <w:rFonts w:ascii="Times New Roman" w:eastAsia="Calibri" w:hAnsi="Times New Roman" w:cs="Times New Roman"/>
          <w:sz w:val="24"/>
          <w:szCs w:val="24"/>
        </w:rPr>
        <w:t>сигналите на физически лица за разпространение на лични данни без тяхно съгласие, включително и използването им за директен маркетинг, проникване в личните им профили в социални мрежи и/или електронни пощи.</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Като резултат от разглеждане на исканията с</w:t>
      </w:r>
      <w:r w:rsidR="001E10C8">
        <w:rPr>
          <w:rFonts w:ascii="Times New Roman" w:eastAsia="Calibri" w:hAnsi="Times New Roman" w:cs="Times New Roman"/>
          <w:sz w:val="24"/>
          <w:szCs w:val="24"/>
        </w:rPr>
        <w:t>е съставят</w:t>
      </w:r>
      <w:r w:rsidRPr="00FD4C39">
        <w:rPr>
          <w:rFonts w:ascii="Times New Roman" w:eastAsia="Calibri" w:hAnsi="Times New Roman" w:cs="Times New Roman"/>
          <w:sz w:val="24"/>
          <w:szCs w:val="24"/>
        </w:rPr>
        <w:t xml:space="preserve"> 9 акта за установяване на админ</w:t>
      </w:r>
      <w:r w:rsidR="001E10C8">
        <w:rPr>
          <w:rFonts w:ascii="Times New Roman" w:eastAsia="Calibri" w:hAnsi="Times New Roman" w:cs="Times New Roman"/>
          <w:sz w:val="24"/>
          <w:szCs w:val="24"/>
        </w:rPr>
        <w:t>истративни нарушения, издава се</w:t>
      </w:r>
      <w:r w:rsidRPr="00FD4C39">
        <w:rPr>
          <w:rFonts w:ascii="Times New Roman" w:eastAsia="Calibri" w:hAnsi="Times New Roman" w:cs="Times New Roman"/>
          <w:sz w:val="24"/>
          <w:szCs w:val="24"/>
        </w:rPr>
        <w:t xml:space="preserve"> 1 задължително предписание, а 14 искания с</w:t>
      </w:r>
      <w:r w:rsidR="001E10C8">
        <w:rPr>
          <w:rFonts w:ascii="Times New Roman" w:eastAsia="Calibri" w:hAnsi="Times New Roman" w:cs="Times New Roman"/>
          <w:sz w:val="24"/>
          <w:szCs w:val="24"/>
        </w:rPr>
        <w:t>е изпращат</w:t>
      </w:r>
      <w:r w:rsidRPr="00FD4C39">
        <w:rPr>
          <w:rFonts w:ascii="Times New Roman" w:eastAsia="Calibri" w:hAnsi="Times New Roman" w:cs="Times New Roman"/>
          <w:sz w:val="24"/>
          <w:szCs w:val="24"/>
        </w:rPr>
        <w:t xml:space="preserve"> по компетентност на други органи, като например на Комисия за регулиране на съобщенията, Комисия за защита на потребителите, на органите на прокуратурата и др. На подателите с</w:t>
      </w:r>
      <w:r w:rsidR="001E10C8">
        <w:rPr>
          <w:rFonts w:ascii="Times New Roman" w:eastAsia="Calibri" w:hAnsi="Times New Roman" w:cs="Times New Roman"/>
          <w:sz w:val="24"/>
          <w:szCs w:val="24"/>
        </w:rPr>
        <w:t>е изпащат</w:t>
      </w:r>
      <w:r w:rsidRPr="00FD4C39">
        <w:rPr>
          <w:rFonts w:ascii="Times New Roman" w:eastAsia="Calibri" w:hAnsi="Times New Roman" w:cs="Times New Roman"/>
          <w:sz w:val="24"/>
          <w:szCs w:val="24"/>
        </w:rPr>
        <w:t xml:space="preserve"> съответни отговори.</w:t>
      </w:r>
    </w:p>
    <w:p w:rsidR="001D0683" w:rsidRPr="00FD4C39" w:rsidRDefault="001D0683" w:rsidP="007B189E">
      <w:pPr>
        <w:spacing w:after="0" w:line="360" w:lineRule="auto"/>
        <w:ind w:firstLine="709"/>
        <w:jc w:val="both"/>
        <w:rPr>
          <w:rFonts w:ascii="Times New Roman" w:eastAsia="Calibri" w:hAnsi="Times New Roman" w:cs="Times New Roman"/>
          <w:sz w:val="24"/>
          <w:szCs w:val="24"/>
        </w:rPr>
      </w:pPr>
    </w:p>
    <w:p w:rsidR="00A434A5" w:rsidRPr="00FD4C39" w:rsidRDefault="001E10C8" w:rsidP="007B189E">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proofErr w:type="spellStart"/>
      <w:r>
        <w:rPr>
          <w:rFonts w:ascii="Times New Roman" w:eastAsia="Calibri" w:hAnsi="Times New Roman" w:cs="Times New Roman"/>
          <w:b/>
          <w:sz w:val="24"/>
          <w:szCs w:val="24"/>
        </w:rPr>
        <w:t>Административно</w:t>
      </w:r>
      <w:r w:rsidR="00A434A5" w:rsidRPr="00FD4C39">
        <w:rPr>
          <w:rFonts w:ascii="Times New Roman" w:eastAsia="Calibri" w:hAnsi="Times New Roman" w:cs="Times New Roman"/>
          <w:b/>
          <w:sz w:val="24"/>
          <w:szCs w:val="24"/>
        </w:rPr>
        <w:t>наказателна</w:t>
      </w:r>
      <w:proofErr w:type="spellEnd"/>
      <w:r w:rsidR="00A434A5" w:rsidRPr="00FD4C39">
        <w:rPr>
          <w:rFonts w:ascii="Times New Roman" w:eastAsia="Calibri" w:hAnsi="Times New Roman" w:cs="Times New Roman"/>
          <w:b/>
          <w:sz w:val="24"/>
          <w:szCs w:val="24"/>
        </w:rPr>
        <w:t xml:space="preserve"> дейност</w:t>
      </w:r>
    </w:p>
    <w:p w:rsidR="00A434A5" w:rsidRPr="00FD4C39" w:rsidRDefault="00AF69CF"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 xml:space="preserve">2.1. </w:t>
      </w:r>
      <w:r w:rsidR="00A434A5" w:rsidRPr="00FD4C39">
        <w:rPr>
          <w:rFonts w:ascii="Times New Roman" w:eastAsia="Calibri" w:hAnsi="Times New Roman" w:cs="Times New Roman"/>
          <w:i/>
          <w:sz w:val="24"/>
          <w:szCs w:val="24"/>
        </w:rPr>
        <w:t>Задължителни предписания</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5 от ЗЗЛД и във връзка с осъществяване на контролна дейност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ЗЗЛД,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издава задължителни предписания (ЗП) на АЛД във връзка със защитата на личните данни при тяхното обработване.</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Предписанията имат за цел да се осигури адекватно ниво на защита на личните данни в поддържаните регистри с лични данни чрез осигуряване на минимално необходимите технически и организационни средства и мерки за защита, съгласно ЗЗЛД и Наредба </w:t>
      </w:r>
      <w:r w:rsidR="009A2D9F" w:rsidRPr="00FD4C39">
        <w:rPr>
          <w:rFonts w:ascii="Times New Roman" w:eastAsia="Calibri" w:hAnsi="Times New Roman" w:cs="Times New Roman"/>
          <w:sz w:val="24"/>
          <w:szCs w:val="24"/>
        </w:rPr>
        <w:t>№ </w:t>
      </w:r>
      <w:r w:rsidR="001E10C8">
        <w:rPr>
          <w:rFonts w:ascii="Times New Roman" w:eastAsia="Calibri" w:hAnsi="Times New Roman" w:cs="Times New Roman"/>
          <w:sz w:val="24"/>
          <w:szCs w:val="24"/>
        </w:rPr>
        <w:t xml:space="preserve">1 от 30 януари </w:t>
      </w:r>
      <w:r w:rsidRPr="00FD4C39">
        <w:rPr>
          <w:rFonts w:ascii="Times New Roman" w:eastAsia="Calibri" w:hAnsi="Times New Roman" w:cs="Times New Roman"/>
          <w:sz w:val="24"/>
          <w:szCs w:val="24"/>
        </w:rPr>
        <w:t>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минималното ниво на технически и организационни мерки и допусти</w:t>
      </w:r>
      <w:r w:rsidR="00DA701E" w:rsidRPr="00FD4C39">
        <w:rPr>
          <w:rFonts w:ascii="Times New Roman" w:eastAsia="Calibri" w:hAnsi="Times New Roman" w:cs="Times New Roman"/>
          <w:sz w:val="24"/>
          <w:szCs w:val="24"/>
        </w:rPr>
        <w:t xml:space="preserve">мия вид защита на личните данни. </w:t>
      </w:r>
    </w:p>
    <w:p w:rsidR="0065359C"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001E10C8">
        <w:rPr>
          <w:rFonts w:ascii="Times New Roman" w:eastAsia="Calibri" w:hAnsi="Times New Roman" w:cs="Times New Roman"/>
          <w:sz w:val="24"/>
          <w:szCs w:val="24"/>
        </w:rPr>
        <w:t xml:space="preserve"> се издават</w:t>
      </w:r>
      <w:r w:rsidRPr="00FD4C39">
        <w:rPr>
          <w:rFonts w:ascii="Times New Roman" w:eastAsia="Calibri" w:hAnsi="Times New Roman" w:cs="Times New Roman"/>
          <w:sz w:val="24"/>
          <w:szCs w:val="24"/>
        </w:rPr>
        <w:t xml:space="preserve"> ЗП на 38 АЛД. Най-голям брой предписания с</w:t>
      </w:r>
      <w:r w:rsidR="001E10C8">
        <w:rPr>
          <w:rFonts w:ascii="Times New Roman" w:eastAsia="Calibri" w:hAnsi="Times New Roman" w:cs="Times New Roman"/>
          <w:sz w:val="24"/>
          <w:szCs w:val="24"/>
        </w:rPr>
        <w:t>е издават</w:t>
      </w:r>
      <w:r w:rsidRPr="00FD4C39">
        <w:rPr>
          <w:rFonts w:ascii="Times New Roman" w:eastAsia="Calibri" w:hAnsi="Times New Roman" w:cs="Times New Roman"/>
          <w:sz w:val="24"/>
          <w:szCs w:val="24"/>
        </w:rPr>
        <w:t xml:space="preserve"> на политически субекти във връзка с произведените на 25 май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избори за Европейски парламент, в сферата на образование и обучение</w:t>
      </w:r>
      <w:r w:rsidR="0065359C" w:rsidRPr="00FD4C39">
        <w:rPr>
          <w:rFonts w:ascii="Times New Roman" w:eastAsia="Calibri" w:hAnsi="Times New Roman" w:cs="Times New Roman"/>
          <w:sz w:val="24"/>
          <w:szCs w:val="24"/>
        </w:rPr>
        <w:t>, както</w:t>
      </w:r>
      <w:r w:rsidRPr="00FD4C39">
        <w:rPr>
          <w:rFonts w:ascii="Times New Roman" w:eastAsia="Calibri" w:hAnsi="Times New Roman" w:cs="Times New Roman"/>
          <w:sz w:val="24"/>
          <w:szCs w:val="24"/>
        </w:rPr>
        <w:t xml:space="preserve"> и </w:t>
      </w:r>
      <w:r w:rsidR="0065359C" w:rsidRPr="00FD4C39">
        <w:rPr>
          <w:rFonts w:ascii="Times New Roman" w:eastAsia="Calibri" w:hAnsi="Times New Roman" w:cs="Times New Roman"/>
          <w:sz w:val="24"/>
          <w:szCs w:val="24"/>
        </w:rPr>
        <w:t xml:space="preserve">в </w:t>
      </w:r>
      <w:r w:rsidRPr="00FD4C39">
        <w:rPr>
          <w:rFonts w:ascii="Times New Roman" w:eastAsia="Calibri" w:hAnsi="Times New Roman" w:cs="Times New Roman"/>
          <w:sz w:val="24"/>
          <w:szCs w:val="24"/>
        </w:rPr>
        <w:t xml:space="preserve">държавната </w:t>
      </w:r>
      <w:r w:rsidRPr="00FD4C39">
        <w:rPr>
          <w:rFonts w:ascii="Times New Roman" w:eastAsia="Calibri" w:hAnsi="Times New Roman" w:cs="Times New Roman"/>
          <w:sz w:val="24"/>
          <w:szCs w:val="24"/>
        </w:rPr>
        <w:lastRenderedPageBreak/>
        <w:t>администраци</w:t>
      </w:r>
      <w:r w:rsidR="001E10C8">
        <w:rPr>
          <w:rFonts w:ascii="Times New Roman" w:eastAsia="Calibri" w:hAnsi="Times New Roman" w:cs="Times New Roman"/>
          <w:sz w:val="24"/>
          <w:szCs w:val="24"/>
        </w:rPr>
        <w:t>я. Най-малък брой предписания се издават</w:t>
      </w:r>
      <w:r w:rsidRPr="00FD4C39">
        <w:rPr>
          <w:rFonts w:ascii="Times New Roman" w:eastAsia="Calibri" w:hAnsi="Times New Roman" w:cs="Times New Roman"/>
          <w:sz w:val="24"/>
          <w:szCs w:val="24"/>
        </w:rPr>
        <w:t xml:space="preserve"> в сферата на </w:t>
      </w:r>
      <w:r w:rsidR="0065359C" w:rsidRPr="00FD4C39">
        <w:rPr>
          <w:rFonts w:ascii="Times New Roman" w:eastAsia="Calibri" w:hAnsi="Times New Roman" w:cs="Times New Roman"/>
          <w:sz w:val="24"/>
          <w:szCs w:val="24"/>
        </w:rPr>
        <w:t xml:space="preserve">финансовия сектор, </w:t>
      </w:r>
      <w:r w:rsidRPr="00FD4C39">
        <w:rPr>
          <w:rFonts w:ascii="Times New Roman" w:eastAsia="Calibri" w:hAnsi="Times New Roman" w:cs="Times New Roman"/>
          <w:sz w:val="24"/>
          <w:szCs w:val="24"/>
        </w:rPr>
        <w:t>търговията и услугите</w:t>
      </w:r>
      <w:r w:rsidR="0065359C" w:rsidRPr="00FD4C39">
        <w:rPr>
          <w:rFonts w:ascii="Times New Roman" w:eastAsia="Calibri" w:hAnsi="Times New Roman" w:cs="Times New Roman"/>
          <w:sz w:val="24"/>
          <w:szCs w:val="24"/>
        </w:rPr>
        <w:t>.</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Проце</w:t>
      </w:r>
      <w:r w:rsidR="001E10C8">
        <w:rPr>
          <w:rFonts w:ascii="Times New Roman" w:eastAsia="Calibri" w:hAnsi="Times New Roman" w:cs="Times New Roman"/>
          <w:sz w:val="24"/>
          <w:szCs w:val="24"/>
        </w:rPr>
        <w:t>нтното съотношение на издаваните</w:t>
      </w:r>
      <w:r w:rsidRPr="00FD4C39">
        <w:rPr>
          <w:rFonts w:ascii="Times New Roman" w:eastAsia="Calibri" w:hAnsi="Times New Roman" w:cs="Times New Roman"/>
          <w:sz w:val="24"/>
          <w:szCs w:val="24"/>
        </w:rPr>
        <w:t xml:space="preserve"> ЗП, в зависимост от вида на нарушението, е посочено в графика (фиг. </w:t>
      </w:r>
      <w:r w:rsidR="009A2D9F" w:rsidRPr="00FD4C39">
        <w:rPr>
          <w:rFonts w:ascii="Times New Roman" w:eastAsia="Calibri" w:hAnsi="Times New Roman" w:cs="Times New Roman"/>
          <w:sz w:val="24"/>
          <w:szCs w:val="24"/>
        </w:rPr>
        <w:t>7</w:t>
      </w:r>
      <w:r w:rsidRPr="00FD4C39">
        <w:rPr>
          <w:rFonts w:ascii="Times New Roman" w:eastAsia="Calibri" w:hAnsi="Times New Roman" w:cs="Times New Roman"/>
          <w:sz w:val="24"/>
          <w:szCs w:val="24"/>
        </w:rPr>
        <w:t>).</w:t>
      </w:r>
    </w:p>
    <w:p w:rsidR="009A2D9F" w:rsidRPr="00FD4C39" w:rsidRDefault="009A2D9F" w:rsidP="007B189E">
      <w:pPr>
        <w:spacing w:after="0" w:line="360" w:lineRule="auto"/>
        <w:ind w:firstLine="709"/>
        <w:jc w:val="both"/>
        <w:rPr>
          <w:rFonts w:ascii="Times New Roman" w:eastAsia="Calibri" w:hAnsi="Times New Roman" w:cs="Times New Roman"/>
          <w:sz w:val="24"/>
          <w:szCs w:val="24"/>
        </w:rPr>
      </w:pPr>
    </w:p>
    <w:p w:rsidR="00A434A5" w:rsidRPr="00FD4C39" w:rsidRDefault="00A434A5" w:rsidP="00384216">
      <w:pPr>
        <w:spacing w:after="0" w:line="360" w:lineRule="auto"/>
        <w:ind w:firstLine="426"/>
        <w:jc w:val="both"/>
        <w:rPr>
          <w:rFonts w:ascii="Times New Roman" w:eastAsia="Calibri" w:hAnsi="Times New Roman" w:cs="Times New Roman"/>
          <w:sz w:val="24"/>
          <w:szCs w:val="24"/>
        </w:rPr>
      </w:pPr>
      <w:r w:rsidRPr="00FD4C39">
        <w:rPr>
          <w:rFonts w:ascii="Times New Roman" w:eastAsia="Calibri" w:hAnsi="Times New Roman" w:cs="Times New Roman"/>
          <w:noProof/>
          <w:sz w:val="24"/>
          <w:szCs w:val="24"/>
        </w:rPr>
        <w:drawing>
          <wp:inline distT="0" distB="0" distL="0" distR="0" wp14:anchorId="2E6A5D45" wp14:editId="4188DCE9">
            <wp:extent cx="5499100" cy="2755900"/>
            <wp:effectExtent l="0" t="0" r="25400" b="2540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34A5" w:rsidRPr="00FD4C39" w:rsidRDefault="00A434A5" w:rsidP="007B189E">
      <w:pPr>
        <w:spacing w:after="0" w:line="360" w:lineRule="auto"/>
        <w:ind w:firstLine="709"/>
        <w:jc w:val="center"/>
        <w:rPr>
          <w:rFonts w:ascii="Times New Roman" w:eastAsia="Calibri" w:hAnsi="Times New Roman" w:cs="Times New Roman"/>
          <w:b/>
          <w:sz w:val="24"/>
          <w:szCs w:val="24"/>
        </w:rPr>
      </w:pPr>
      <w:r w:rsidRPr="00FD4C39">
        <w:rPr>
          <w:rFonts w:ascii="Times New Roman" w:eastAsia="Calibri" w:hAnsi="Times New Roman" w:cs="Times New Roman"/>
          <w:b/>
          <w:sz w:val="24"/>
          <w:szCs w:val="24"/>
        </w:rPr>
        <w:t xml:space="preserve">Фиг. </w:t>
      </w:r>
      <w:r w:rsidR="009A2D9F" w:rsidRPr="00FD4C39">
        <w:rPr>
          <w:rFonts w:ascii="Times New Roman" w:eastAsia="Calibri" w:hAnsi="Times New Roman" w:cs="Times New Roman"/>
          <w:b/>
          <w:sz w:val="24"/>
          <w:szCs w:val="24"/>
        </w:rPr>
        <w:t>7</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Най-м</w:t>
      </w:r>
      <w:r w:rsidR="001E10C8">
        <w:rPr>
          <w:rFonts w:ascii="Times New Roman" w:eastAsia="Calibri" w:hAnsi="Times New Roman" w:cs="Times New Roman"/>
          <w:sz w:val="24"/>
          <w:szCs w:val="24"/>
        </w:rPr>
        <w:t xml:space="preserve">ного </w:t>
      </w:r>
      <w:r w:rsidRPr="00FD4C39">
        <w:rPr>
          <w:rFonts w:ascii="Times New Roman" w:eastAsia="Calibri" w:hAnsi="Times New Roman" w:cs="Times New Roman"/>
          <w:sz w:val="24"/>
          <w:szCs w:val="24"/>
        </w:rPr>
        <w:t>предписания са свързани с нарушаване на разпоредбите на Глава трета от ЗЗЛД, отнасящи се до задълженията на АЛД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17б и</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18,</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 за регистрация и/или актуализация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2 от ЗЗЛД. Често срещано при проверки е пропуск от страна на АЛД да заяви регистър, свързан с обработване на лични данни на физически лица чрез изградена система за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Съгласно становище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действията по заснемане и съхраняване на информацията от видеокамерите представляват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обработване на лични данни</w:t>
      </w:r>
      <w:r w:rsidR="001E10C8">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за целите на отделен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регистър на лични данни</w:t>
      </w:r>
      <w:r w:rsidR="001E10C8">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по смисъла на </w:t>
      </w:r>
      <w:r w:rsidR="000109F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ДР на ЗЗЛД.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Други често срещани нарушения са свързани с констатации относно обработване на копие от документ за самоличност на физически лица при сключване на трудов договор или при постъпване на държавна служба. Практиката сочи, че все по-често работодателите снемат копие от документите за самоличност (лична карта) на работниците и служителите. При сключване на трудов договор всеки работодател е задължен да спазва изискванията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66,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Кодекса на труда и Наредба </w:t>
      </w:r>
      <w:r w:rsidR="009A2D9F"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4 от 1993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документите, които са необходими за сключване на трудов договор, която </w:t>
      </w:r>
      <w:r w:rsidR="00955BF5" w:rsidRPr="00FD4C39">
        <w:rPr>
          <w:rFonts w:ascii="Times New Roman" w:eastAsia="Calibri" w:hAnsi="Times New Roman" w:cs="Times New Roman"/>
          <w:sz w:val="24"/>
          <w:szCs w:val="24"/>
        </w:rPr>
        <w:lastRenderedPageBreak/>
        <w:t xml:space="preserve">Наредба </w:t>
      </w:r>
      <w:r w:rsidRPr="00FD4C39">
        <w:rPr>
          <w:rFonts w:ascii="Times New Roman" w:eastAsia="Calibri" w:hAnsi="Times New Roman" w:cs="Times New Roman"/>
          <w:sz w:val="24"/>
          <w:szCs w:val="24"/>
        </w:rPr>
        <w:t xml:space="preserve">посочва, че за сключването на трудов договор е необходим личен паспорт или друг документ за самоличност, който </w:t>
      </w:r>
      <w:r w:rsidR="00955BF5" w:rsidRPr="00FD4C39">
        <w:rPr>
          <w:rFonts w:ascii="Times New Roman" w:eastAsia="Calibri" w:hAnsi="Times New Roman" w:cs="Times New Roman"/>
          <w:sz w:val="24"/>
          <w:szCs w:val="24"/>
        </w:rPr>
        <w:t>след свер</w:t>
      </w:r>
      <w:r w:rsidR="0065359C" w:rsidRPr="00FD4C39">
        <w:rPr>
          <w:rFonts w:ascii="Times New Roman" w:eastAsia="Calibri" w:hAnsi="Times New Roman" w:cs="Times New Roman"/>
          <w:sz w:val="24"/>
          <w:szCs w:val="24"/>
        </w:rPr>
        <w:t>яв</w:t>
      </w:r>
      <w:r w:rsidR="001E10C8">
        <w:rPr>
          <w:rFonts w:ascii="Times New Roman" w:eastAsia="Calibri" w:hAnsi="Times New Roman" w:cs="Times New Roman"/>
          <w:sz w:val="24"/>
          <w:szCs w:val="24"/>
        </w:rPr>
        <w:t>а</w:t>
      </w:r>
      <w:r w:rsidR="0065359C" w:rsidRPr="00FD4C39">
        <w:rPr>
          <w:rFonts w:ascii="Times New Roman" w:eastAsia="Calibri" w:hAnsi="Times New Roman" w:cs="Times New Roman"/>
          <w:sz w:val="24"/>
          <w:szCs w:val="24"/>
        </w:rPr>
        <w:t>не</w:t>
      </w:r>
      <w:r w:rsidR="00955BF5"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се връща веднага. Видно от текста </w:t>
      </w:r>
      <w:r w:rsidR="001E10C8">
        <w:rPr>
          <w:rFonts w:ascii="Times New Roman" w:eastAsia="Calibri" w:hAnsi="Times New Roman" w:cs="Times New Roman"/>
          <w:sz w:val="24"/>
          <w:szCs w:val="24"/>
        </w:rPr>
        <w:t>на наредбата, в нея не се</w:t>
      </w:r>
      <w:r w:rsidRPr="00FD4C39">
        <w:rPr>
          <w:rFonts w:ascii="Times New Roman" w:eastAsia="Calibri" w:hAnsi="Times New Roman" w:cs="Times New Roman"/>
          <w:sz w:val="24"/>
          <w:szCs w:val="24"/>
        </w:rPr>
        <w:t xml:space="preserve"> предви</w:t>
      </w:r>
      <w:r w:rsidR="001E10C8">
        <w:rPr>
          <w:rFonts w:ascii="Times New Roman" w:eastAsia="Calibri" w:hAnsi="Times New Roman" w:cs="Times New Roman"/>
          <w:sz w:val="24"/>
          <w:szCs w:val="24"/>
        </w:rPr>
        <w:t>жда</w:t>
      </w:r>
      <w:r w:rsidRPr="00FD4C39">
        <w:rPr>
          <w:rFonts w:ascii="Times New Roman" w:eastAsia="Calibri" w:hAnsi="Times New Roman" w:cs="Times New Roman"/>
          <w:sz w:val="24"/>
          <w:szCs w:val="24"/>
        </w:rPr>
        <w:t xml:space="preserve"> предоставяне на копие от документ за самоличност при подаване на заявление за постъпване на работа и при </w:t>
      </w:r>
      <w:proofErr w:type="spellStart"/>
      <w:r w:rsidRPr="00FD4C39">
        <w:rPr>
          <w:rFonts w:ascii="Times New Roman" w:eastAsia="Calibri" w:hAnsi="Times New Roman" w:cs="Times New Roman"/>
          <w:sz w:val="24"/>
          <w:szCs w:val="24"/>
        </w:rPr>
        <w:t>последващо</w:t>
      </w:r>
      <w:proofErr w:type="spellEnd"/>
      <w:r w:rsidRPr="00FD4C39">
        <w:rPr>
          <w:rFonts w:ascii="Times New Roman" w:eastAsia="Calibri" w:hAnsi="Times New Roman" w:cs="Times New Roman"/>
          <w:sz w:val="24"/>
          <w:szCs w:val="24"/>
        </w:rPr>
        <w:t xml:space="preserve"> сключване на трудов договор, поради което неговото изискване и прилагане е без правно основание. Такова изискване не фигурира и в разпоредбите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2 от Наредбата за документите за заемане на държавна служба. Ето защо обработването на лични данни чрез съхранение в трудовите и служебни досиета на физическите лица на копие от документ за самоличност при сключване на трудов договор, респективно при възникване на служебно правоотношение, е незаконосъобразно и </w:t>
      </w:r>
      <w:r w:rsidR="001E10C8">
        <w:rPr>
          <w:rFonts w:ascii="Times New Roman" w:eastAsia="Calibri" w:hAnsi="Times New Roman" w:cs="Times New Roman"/>
          <w:sz w:val="24"/>
          <w:szCs w:val="24"/>
        </w:rPr>
        <w:t>се извършва</w:t>
      </w:r>
      <w:r w:rsidRPr="00FD4C39">
        <w:rPr>
          <w:rFonts w:ascii="Times New Roman" w:eastAsia="Calibri" w:hAnsi="Times New Roman" w:cs="Times New Roman"/>
          <w:sz w:val="24"/>
          <w:szCs w:val="24"/>
        </w:rPr>
        <w:t xml:space="preserve"> в нарушение на принципа, регламентиран в</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от ЗЗЛД.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Предписания са издадени и във връзка с определяне нивата на въздействие на обработваните от АЛД регистри с лични данни относно изискванията на Наредба </w:t>
      </w:r>
      <w:r w:rsidR="009A2D9F" w:rsidRPr="00FD4C39">
        <w:rPr>
          <w:rFonts w:ascii="Times New Roman" w:eastAsia="Calibri" w:hAnsi="Times New Roman" w:cs="Times New Roman"/>
          <w:sz w:val="24"/>
          <w:szCs w:val="24"/>
        </w:rPr>
        <w:t>№ </w:t>
      </w:r>
      <w:r w:rsidR="001E10C8">
        <w:rPr>
          <w:rFonts w:ascii="Times New Roman" w:eastAsia="Calibri" w:hAnsi="Times New Roman" w:cs="Times New Roman"/>
          <w:sz w:val="24"/>
          <w:szCs w:val="24"/>
        </w:rPr>
        <w:t xml:space="preserve">1 от 30 януари </w:t>
      </w:r>
      <w:r w:rsidRPr="00FD4C39">
        <w:rPr>
          <w:rFonts w:ascii="Times New Roman" w:eastAsia="Calibri" w:hAnsi="Times New Roman" w:cs="Times New Roman"/>
          <w:sz w:val="24"/>
          <w:szCs w:val="24"/>
        </w:rPr>
        <w:t>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минималното ниво на технически и организационни мерки и допустимия вид защита на личните данни.</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 на последно място предписания с</w:t>
      </w:r>
      <w:r w:rsidR="001E10C8">
        <w:rPr>
          <w:rFonts w:ascii="Times New Roman" w:eastAsia="Calibri" w:hAnsi="Times New Roman" w:cs="Times New Roman"/>
          <w:sz w:val="24"/>
          <w:szCs w:val="24"/>
        </w:rPr>
        <w:t>е издават</w:t>
      </w:r>
      <w:r w:rsidRPr="00FD4C39">
        <w:rPr>
          <w:rFonts w:ascii="Times New Roman" w:eastAsia="Calibri" w:hAnsi="Times New Roman" w:cs="Times New Roman"/>
          <w:sz w:val="24"/>
          <w:szCs w:val="24"/>
        </w:rPr>
        <w:t xml:space="preserve"> относно предприемане на конкретни мерки за осигуряване на необходимото ниво на защита на личните данни.</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От общо издадените през 2014</w:t>
      </w:r>
      <w:r w:rsidR="004D42A2">
        <w:rPr>
          <w:rFonts w:ascii="Times New Roman" w:eastAsia="Calibri" w:hAnsi="Times New Roman" w:cs="Times New Roman"/>
          <w:sz w:val="24"/>
          <w:szCs w:val="24"/>
        </w:rPr>
        <w:t> г.</w:t>
      </w:r>
      <w:r w:rsidR="001E10C8">
        <w:rPr>
          <w:rFonts w:ascii="Times New Roman" w:eastAsia="Calibri" w:hAnsi="Times New Roman" w:cs="Times New Roman"/>
          <w:sz w:val="24"/>
          <w:szCs w:val="24"/>
        </w:rPr>
        <w:t xml:space="preserve"> 38 ЗП</w:t>
      </w:r>
      <w:r w:rsidRPr="00FD4C39">
        <w:rPr>
          <w:rFonts w:ascii="Times New Roman" w:eastAsia="Calibri" w:hAnsi="Times New Roman" w:cs="Times New Roman"/>
          <w:sz w:val="24"/>
          <w:szCs w:val="24"/>
        </w:rPr>
        <w:t xml:space="preserve"> в определените от </w:t>
      </w:r>
      <w:r w:rsidR="00FE7018" w:rsidRPr="00FD4C39">
        <w:rPr>
          <w:rFonts w:ascii="Times New Roman" w:eastAsia="Calibri" w:hAnsi="Times New Roman" w:cs="Times New Roman"/>
          <w:sz w:val="24"/>
          <w:szCs w:val="24"/>
        </w:rPr>
        <w:t>КЗЛД</w:t>
      </w:r>
      <w:r w:rsidR="001E10C8">
        <w:rPr>
          <w:rFonts w:ascii="Times New Roman" w:eastAsia="Calibri" w:hAnsi="Times New Roman" w:cs="Times New Roman"/>
          <w:sz w:val="24"/>
          <w:szCs w:val="24"/>
        </w:rPr>
        <w:t xml:space="preserve"> срокове се изпълняват</w:t>
      </w:r>
      <w:r w:rsidRPr="00FD4C39">
        <w:rPr>
          <w:rFonts w:ascii="Times New Roman" w:eastAsia="Calibri" w:hAnsi="Times New Roman" w:cs="Times New Roman"/>
          <w:sz w:val="24"/>
          <w:szCs w:val="24"/>
        </w:rPr>
        <w:t xml:space="preserve"> 18, а останалите 20 са в процес на изпълнение.</w:t>
      </w:r>
    </w:p>
    <w:p w:rsidR="00955C09" w:rsidRPr="00FD4C39" w:rsidRDefault="00955C09" w:rsidP="007B189E">
      <w:pPr>
        <w:spacing w:after="0" w:line="360" w:lineRule="auto"/>
        <w:ind w:firstLine="709"/>
        <w:jc w:val="both"/>
        <w:rPr>
          <w:rFonts w:ascii="Times New Roman" w:eastAsia="Calibri" w:hAnsi="Times New Roman" w:cs="Times New Roman"/>
          <w:i/>
          <w:sz w:val="24"/>
          <w:szCs w:val="24"/>
        </w:rPr>
      </w:pPr>
    </w:p>
    <w:p w:rsidR="00A434A5" w:rsidRPr="00FD4C39" w:rsidRDefault="00695797" w:rsidP="007B189E">
      <w:pPr>
        <w:spacing w:after="0" w:line="360" w:lineRule="auto"/>
        <w:ind w:firstLine="709"/>
        <w:jc w:val="both"/>
        <w:rPr>
          <w:rFonts w:ascii="Times New Roman" w:eastAsia="Calibri" w:hAnsi="Times New Roman" w:cs="Times New Roman"/>
          <w:i/>
          <w:sz w:val="24"/>
          <w:szCs w:val="24"/>
        </w:rPr>
      </w:pPr>
      <w:r w:rsidRPr="00FD4C39">
        <w:rPr>
          <w:rFonts w:ascii="Times New Roman" w:eastAsia="Calibri" w:hAnsi="Times New Roman" w:cs="Times New Roman"/>
          <w:i/>
          <w:sz w:val="24"/>
          <w:szCs w:val="24"/>
        </w:rPr>
        <w:t>2.</w:t>
      </w:r>
      <w:proofErr w:type="spellStart"/>
      <w:r w:rsidRPr="00FD4C39">
        <w:rPr>
          <w:rFonts w:ascii="Times New Roman" w:eastAsia="Calibri" w:hAnsi="Times New Roman" w:cs="Times New Roman"/>
          <w:i/>
          <w:sz w:val="24"/>
          <w:szCs w:val="24"/>
        </w:rPr>
        <w:t>2</w:t>
      </w:r>
      <w:proofErr w:type="spellEnd"/>
      <w:r w:rsidRPr="00FD4C39">
        <w:rPr>
          <w:rFonts w:ascii="Times New Roman" w:eastAsia="Calibri" w:hAnsi="Times New Roman" w:cs="Times New Roman"/>
          <w:i/>
          <w:sz w:val="24"/>
          <w:szCs w:val="24"/>
        </w:rPr>
        <w:t>.</w:t>
      </w:r>
      <w:r w:rsidR="00A434A5" w:rsidRPr="00FD4C39">
        <w:rPr>
          <w:rFonts w:ascii="Times New Roman" w:eastAsia="Calibri" w:hAnsi="Times New Roman" w:cs="Times New Roman"/>
          <w:i/>
          <w:sz w:val="24"/>
          <w:szCs w:val="24"/>
        </w:rPr>
        <w:t xml:space="preserve"> </w:t>
      </w:r>
      <w:proofErr w:type="spellStart"/>
      <w:r w:rsidR="00A434A5" w:rsidRPr="00FD4C39">
        <w:rPr>
          <w:rFonts w:ascii="Times New Roman" w:eastAsia="Calibri" w:hAnsi="Times New Roman" w:cs="Times New Roman"/>
          <w:i/>
          <w:sz w:val="24"/>
          <w:szCs w:val="24"/>
        </w:rPr>
        <w:t>Административнонаказателни</w:t>
      </w:r>
      <w:proofErr w:type="spellEnd"/>
      <w:r w:rsidR="00A434A5" w:rsidRPr="00FD4C39">
        <w:rPr>
          <w:rFonts w:ascii="Times New Roman" w:eastAsia="Calibri" w:hAnsi="Times New Roman" w:cs="Times New Roman"/>
          <w:i/>
          <w:sz w:val="24"/>
          <w:szCs w:val="24"/>
        </w:rPr>
        <w:t xml:space="preserve"> производства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Съгласно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43,</w:t>
      </w:r>
      <w:r w:rsidR="00884B97">
        <w:rPr>
          <w:rFonts w:ascii="Times New Roman" w:eastAsia="Calibri" w:hAnsi="Times New Roman" w:cs="Times New Roman"/>
          <w:sz w:val="24"/>
          <w:szCs w:val="24"/>
        </w:rPr>
        <w:t xml:space="preserve"> ал. </w:t>
      </w:r>
      <w:r w:rsidR="001E10C8">
        <w:rPr>
          <w:rFonts w:ascii="Times New Roman" w:eastAsia="Calibri" w:hAnsi="Times New Roman" w:cs="Times New Roman"/>
          <w:sz w:val="24"/>
          <w:szCs w:val="24"/>
        </w:rPr>
        <w:t>4 от ЗЗЛД</w:t>
      </w:r>
      <w:r w:rsidRPr="00FD4C39">
        <w:rPr>
          <w:rFonts w:ascii="Times New Roman" w:eastAsia="Calibri" w:hAnsi="Times New Roman" w:cs="Times New Roman"/>
          <w:sz w:val="24"/>
          <w:szCs w:val="24"/>
        </w:rPr>
        <w:t xml:space="preserve"> установяването на нарушенията, издаването, обжалването и изпълнението на наказателни постановления (НП) се извършват по реда на ЗАНН.</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Актове за установяване на административни нарушения (АУАН) на разпоредби от ЗЗЛД се съставят от член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или от упъл</w:t>
      </w:r>
      <w:r w:rsidR="001E10C8">
        <w:rPr>
          <w:rFonts w:ascii="Times New Roman" w:eastAsia="Calibri" w:hAnsi="Times New Roman" w:cs="Times New Roman"/>
          <w:sz w:val="24"/>
          <w:szCs w:val="24"/>
        </w:rPr>
        <w:t>номощени от нея длъжностни лица</w:t>
      </w:r>
      <w:r w:rsidRPr="00FD4C39">
        <w:rPr>
          <w:rFonts w:ascii="Times New Roman" w:eastAsia="Calibri" w:hAnsi="Times New Roman" w:cs="Times New Roman"/>
          <w:sz w:val="24"/>
          <w:szCs w:val="24"/>
        </w:rPr>
        <w:t xml:space="preserve"> съгласно изискванията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43,</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1 от ЗЗЛД, а НП се издават от Председателя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43,</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 от ЗЗЛД.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изпълнение на правомощията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8 от ЗЗЛД да осъществява контрол чрез извършване на проверки за спазване на нормативните актове в областта на защитата на личните данни,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50 броя установени нарушения на различни разпоредби от ЗЗЛД с</w:t>
      </w:r>
      <w:r w:rsidR="003C790A">
        <w:rPr>
          <w:rFonts w:ascii="Times New Roman" w:eastAsia="Calibri" w:hAnsi="Times New Roman" w:cs="Times New Roman"/>
          <w:sz w:val="24"/>
          <w:szCs w:val="24"/>
        </w:rPr>
        <w:t>е съставят</w:t>
      </w:r>
      <w:r w:rsidRPr="00FD4C39">
        <w:rPr>
          <w:rFonts w:ascii="Times New Roman" w:eastAsia="Calibri" w:hAnsi="Times New Roman" w:cs="Times New Roman"/>
          <w:sz w:val="24"/>
          <w:szCs w:val="24"/>
        </w:rPr>
        <w:t xml:space="preserve"> 48 АУАН, въз основа на които Председателят на </w:t>
      </w:r>
      <w:r w:rsidR="00FE7018" w:rsidRPr="00FD4C39">
        <w:rPr>
          <w:rFonts w:ascii="Times New Roman" w:eastAsia="Calibri" w:hAnsi="Times New Roman" w:cs="Times New Roman"/>
          <w:sz w:val="24"/>
          <w:szCs w:val="24"/>
        </w:rPr>
        <w:t>КЗЛД</w:t>
      </w:r>
      <w:r w:rsidR="003C790A">
        <w:rPr>
          <w:rFonts w:ascii="Times New Roman" w:eastAsia="Calibri" w:hAnsi="Times New Roman" w:cs="Times New Roman"/>
          <w:sz w:val="24"/>
          <w:szCs w:val="24"/>
        </w:rPr>
        <w:t xml:space="preserve"> издава</w:t>
      </w:r>
      <w:r w:rsidRPr="00FD4C39">
        <w:rPr>
          <w:rFonts w:ascii="Times New Roman" w:eastAsia="Calibri" w:hAnsi="Times New Roman" w:cs="Times New Roman"/>
          <w:sz w:val="24"/>
          <w:szCs w:val="24"/>
        </w:rPr>
        <w:t xml:space="preserve"> 48 НП.</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Както през предходни години, така и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се наблюдава устойчива тенденция на затруднения при връчване на съставенит</w:t>
      </w:r>
      <w:r w:rsidR="003C790A">
        <w:rPr>
          <w:rFonts w:ascii="Times New Roman" w:eastAsia="Calibri" w:hAnsi="Times New Roman" w:cs="Times New Roman"/>
          <w:sz w:val="24"/>
          <w:szCs w:val="24"/>
        </w:rPr>
        <w:t>е АУАН чрез общините в страната</w:t>
      </w:r>
      <w:r w:rsidRPr="00FD4C39">
        <w:rPr>
          <w:rFonts w:ascii="Times New Roman" w:eastAsia="Calibri" w:hAnsi="Times New Roman" w:cs="Times New Roman"/>
          <w:sz w:val="24"/>
          <w:szCs w:val="24"/>
        </w:rPr>
        <w:t xml:space="preserve"> съгласно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43,</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4 от ЗАНН. В някои случаи АУАН се връчват на лица без представителна власт, в други случаи не се подписва разписката, с която АЛД удостоверява, че е уведомен за правото си в 3-дневен срок да представи възражения срещу акта, което налага връщането им за ново надлежно връчване, или не са връчени писмените доказателства към съставения акт. С оглед щателно издирване и връчване на АУАН и НП, макар и не като практика,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иска и получава съдействие от органите на Министерство</w:t>
      </w:r>
      <w:r w:rsidR="003C790A">
        <w:rPr>
          <w:rFonts w:ascii="Times New Roman" w:eastAsia="Calibri" w:hAnsi="Times New Roman" w:cs="Times New Roman"/>
          <w:sz w:val="24"/>
          <w:szCs w:val="24"/>
        </w:rPr>
        <w:t>то</w:t>
      </w:r>
      <w:r w:rsidRPr="00FD4C39">
        <w:rPr>
          <w:rFonts w:ascii="Times New Roman" w:eastAsia="Calibri" w:hAnsi="Times New Roman" w:cs="Times New Roman"/>
          <w:sz w:val="24"/>
          <w:szCs w:val="24"/>
        </w:rPr>
        <w:t xml:space="preserve"> на вътрешните работи в страната.</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Едно от най-често срещаните нарушения на ЗЗЛД е свързано с неизпълнение на задължението на АЛД за подаване на заявление за регистрация в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преди започване на об</w:t>
      </w:r>
      <w:r w:rsidR="003C790A">
        <w:rPr>
          <w:rFonts w:ascii="Times New Roman" w:eastAsia="Calibri" w:hAnsi="Times New Roman" w:cs="Times New Roman"/>
          <w:sz w:val="24"/>
          <w:szCs w:val="24"/>
        </w:rPr>
        <w:t xml:space="preserve">работването на лични данни (чл. </w:t>
      </w:r>
      <w:r w:rsidRPr="00FD4C39">
        <w:rPr>
          <w:rFonts w:ascii="Times New Roman" w:eastAsia="Calibri" w:hAnsi="Times New Roman" w:cs="Times New Roman"/>
          <w:sz w:val="24"/>
          <w:szCs w:val="24"/>
        </w:rPr>
        <w:t>17,</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от ЗЗЛД). Наравно с това нарушение се забелязва и голям брой издадени НП за неизпълнение на задължението на АЛД, вменено им с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18,</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 от ЗЗЛД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за актуализация на подадената информация по отношение на водените от тях регистри с лични данни.</w:t>
      </w:r>
    </w:p>
    <w:p w:rsidR="00A434A5" w:rsidRPr="00FD4C39" w:rsidRDefault="003C790A"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трето място са издаваните</w:t>
      </w:r>
      <w:r w:rsidR="00A434A5" w:rsidRPr="00FD4C39">
        <w:rPr>
          <w:rFonts w:ascii="Times New Roman" w:eastAsia="Calibri" w:hAnsi="Times New Roman" w:cs="Times New Roman"/>
          <w:sz w:val="24"/>
          <w:szCs w:val="24"/>
        </w:rPr>
        <w:t xml:space="preserve"> НП за неизпълнение на разпоредбата на</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23,</w:t>
      </w:r>
      <w:r w:rsidR="00884B97">
        <w:rPr>
          <w:rFonts w:ascii="Times New Roman" w:eastAsia="Calibri" w:hAnsi="Times New Roman" w:cs="Times New Roman"/>
          <w:sz w:val="24"/>
          <w:szCs w:val="24"/>
        </w:rPr>
        <w:t xml:space="preserve"> ал. </w:t>
      </w:r>
      <w:r w:rsidR="00A434A5" w:rsidRPr="00FD4C39">
        <w:rPr>
          <w:rFonts w:ascii="Times New Roman" w:eastAsia="Calibri" w:hAnsi="Times New Roman" w:cs="Times New Roman"/>
          <w:sz w:val="24"/>
          <w:szCs w:val="24"/>
        </w:rPr>
        <w:t>1 от ЗЗЛД</w:t>
      </w:r>
      <w:r w:rsidR="004D42A2">
        <w:rPr>
          <w:rFonts w:ascii="Times New Roman" w:eastAsia="Calibri" w:hAnsi="Times New Roman" w:cs="Times New Roman"/>
          <w:sz w:val="24"/>
          <w:szCs w:val="24"/>
        </w:rPr>
        <w:t xml:space="preserve"> – </w:t>
      </w:r>
      <w:r w:rsidR="00A434A5" w:rsidRPr="00FD4C39">
        <w:rPr>
          <w:rFonts w:ascii="Times New Roman" w:eastAsia="Calibri" w:hAnsi="Times New Roman" w:cs="Times New Roman"/>
          <w:sz w:val="24"/>
          <w:szCs w:val="24"/>
        </w:rPr>
        <w:t>непредприемане на необходимите технически и организационни мерки, за да бъдат защитени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(6 НП).</w:t>
      </w:r>
    </w:p>
    <w:p w:rsidR="0020461C" w:rsidRPr="0032580E" w:rsidRDefault="0020461C" w:rsidP="0020461C">
      <w:pPr>
        <w:spacing w:after="0" w:line="360" w:lineRule="auto"/>
        <w:ind w:firstLine="709"/>
        <w:jc w:val="both"/>
        <w:rPr>
          <w:rFonts w:ascii="Times New Roman" w:eastAsia="Calibri" w:hAnsi="Times New Roman" w:cs="Times New Roman"/>
          <w:sz w:val="24"/>
          <w:szCs w:val="24"/>
        </w:rPr>
      </w:pPr>
      <w:r w:rsidRPr="007B189E">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7B189E">
        <w:rPr>
          <w:rFonts w:ascii="Times New Roman" w:eastAsia="Calibri" w:hAnsi="Times New Roman" w:cs="Times New Roman"/>
          <w:sz w:val="24"/>
          <w:szCs w:val="24"/>
        </w:rPr>
        <w:t xml:space="preserve"> са издадени 48 НП, като 9 от тях са въз основа на съставени актове от края на 2013</w:t>
      </w:r>
      <w:r w:rsidR="004D42A2">
        <w:rPr>
          <w:rFonts w:ascii="Times New Roman" w:eastAsia="Calibri" w:hAnsi="Times New Roman" w:cs="Times New Roman"/>
          <w:sz w:val="24"/>
          <w:szCs w:val="24"/>
        </w:rPr>
        <w:t> г.</w:t>
      </w:r>
      <w:r w:rsidRPr="00754BB3">
        <w:rPr>
          <w:rFonts w:ascii="Times New Roman" w:eastAsia="Calibri" w:hAnsi="Times New Roman" w:cs="Times New Roman"/>
          <w:sz w:val="24"/>
          <w:szCs w:val="24"/>
        </w:rPr>
        <w:t xml:space="preserve"> Наложени са наказания с НП общо в размер на 108 700 лв. Събраните суми през 2014</w:t>
      </w:r>
      <w:r w:rsidR="004D42A2">
        <w:rPr>
          <w:rFonts w:ascii="Times New Roman" w:eastAsia="Calibri" w:hAnsi="Times New Roman" w:cs="Times New Roman"/>
          <w:sz w:val="24"/>
          <w:szCs w:val="24"/>
        </w:rPr>
        <w:t> г.</w:t>
      </w:r>
      <w:r w:rsidRPr="00754BB3">
        <w:rPr>
          <w:rFonts w:ascii="Times New Roman" w:eastAsia="Calibri" w:hAnsi="Times New Roman" w:cs="Times New Roman"/>
          <w:sz w:val="24"/>
          <w:szCs w:val="24"/>
        </w:rPr>
        <w:t xml:space="preserve"> по наказателни постановления са в размер на 99 438 лв. (30 188 лв. от тях са събрани принудително от НАП).</w:t>
      </w:r>
      <w:r>
        <w:rPr>
          <w:rFonts w:ascii="Times New Roman" w:eastAsia="Calibri" w:hAnsi="Times New Roman" w:cs="Times New Roman"/>
          <w:sz w:val="24"/>
          <w:szCs w:val="24"/>
        </w:rPr>
        <w:t xml:space="preserve"> </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От издадените през годината НП в съдебна фа</w:t>
      </w:r>
      <w:r w:rsidR="003C790A">
        <w:rPr>
          <w:rFonts w:ascii="Times New Roman" w:eastAsia="Calibri" w:hAnsi="Times New Roman" w:cs="Times New Roman"/>
          <w:sz w:val="24"/>
          <w:szCs w:val="24"/>
        </w:rPr>
        <w:t>за са 21. Без да се обжалват</w:t>
      </w:r>
      <w:r w:rsidR="003D7C3C" w:rsidRPr="00FD4C39">
        <w:rPr>
          <w:rFonts w:ascii="Times New Roman" w:eastAsia="Calibri" w:hAnsi="Times New Roman" w:cs="Times New Roman"/>
          <w:sz w:val="24"/>
          <w:szCs w:val="24"/>
        </w:rPr>
        <w:t>,</w:t>
      </w:r>
      <w:r w:rsidR="00955BF5" w:rsidRPr="00FD4C39">
        <w:rPr>
          <w:rFonts w:ascii="Times New Roman" w:eastAsia="Calibri" w:hAnsi="Times New Roman" w:cs="Times New Roman"/>
          <w:sz w:val="24"/>
          <w:szCs w:val="24"/>
        </w:rPr>
        <w:t xml:space="preserve"> са платени 8 </w:t>
      </w:r>
      <w:r w:rsidRPr="00FD4C39">
        <w:rPr>
          <w:rFonts w:ascii="Times New Roman" w:eastAsia="Calibri" w:hAnsi="Times New Roman" w:cs="Times New Roman"/>
          <w:sz w:val="24"/>
          <w:szCs w:val="24"/>
        </w:rPr>
        <w:t>НП с общ размер 6</w:t>
      </w:r>
      <w:r w:rsidR="003C790A">
        <w:rPr>
          <w:rFonts w:ascii="Times New Roman" w:eastAsia="Calibri" w:hAnsi="Times New Roman" w:cs="Times New Roman"/>
          <w:sz w:val="24"/>
          <w:szCs w:val="24"/>
        </w:rPr>
        <w:t>000 лв., за които налаганите</w:t>
      </w:r>
      <w:r w:rsidRPr="00FD4C39">
        <w:rPr>
          <w:rFonts w:ascii="Times New Roman" w:eastAsia="Calibri" w:hAnsi="Times New Roman" w:cs="Times New Roman"/>
          <w:sz w:val="24"/>
          <w:szCs w:val="24"/>
        </w:rPr>
        <w:t xml:space="preserve"> наказания са към минималния размер, предвиден в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събиране на вземанията по влезли в законна сила НП, на основание и по реда на Данъчно</w:t>
      </w:r>
      <w:r w:rsidR="003C790A">
        <w:rPr>
          <w:rFonts w:ascii="Times New Roman" w:eastAsia="Calibri" w:hAnsi="Times New Roman" w:cs="Times New Roman"/>
          <w:sz w:val="24"/>
          <w:szCs w:val="24"/>
        </w:rPr>
        <w:t>-</w:t>
      </w:r>
      <w:r w:rsidRPr="00FD4C39">
        <w:rPr>
          <w:rFonts w:ascii="Times New Roman" w:eastAsia="Calibri" w:hAnsi="Times New Roman" w:cs="Times New Roman"/>
          <w:sz w:val="24"/>
          <w:szCs w:val="24"/>
        </w:rPr>
        <w:t>осигурителния процесуален кодекс, до нарушителите се изпращат покани за доброволно изпълнение. Ако нарушителят не извърши плащане в срока, преписките се изпращат в Национална</w:t>
      </w:r>
      <w:r w:rsidR="003C790A">
        <w:rPr>
          <w:rFonts w:ascii="Times New Roman" w:eastAsia="Calibri" w:hAnsi="Times New Roman" w:cs="Times New Roman"/>
          <w:sz w:val="24"/>
          <w:szCs w:val="24"/>
        </w:rPr>
        <w:t>та</w:t>
      </w:r>
      <w:r w:rsidRPr="00FD4C39">
        <w:rPr>
          <w:rFonts w:ascii="Times New Roman" w:eastAsia="Calibri" w:hAnsi="Times New Roman" w:cs="Times New Roman"/>
          <w:sz w:val="24"/>
          <w:szCs w:val="24"/>
        </w:rPr>
        <w:t xml:space="preserve"> агенция по приходите (НАП). Към настоящия момент за принудителн</w:t>
      </w:r>
      <w:r w:rsidR="00165649" w:rsidRPr="00FD4C39">
        <w:rPr>
          <w:rFonts w:ascii="Times New Roman" w:eastAsia="Calibri" w:hAnsi="Times New Roman" w:cs="Times New Roman"/>
          <w:sz w:val="24"/>
          <w:szCs w:val="24"/>
        </w:rPr>
        <w:t xml:space="preserve">о събиране в НАП се намират 21 </w:t>
      </w:r>
      <w:r w:rsidRPr="00FD4C39">
        <w:rPr>
          <w:rFonts w:ascii="Times New Roman" w:eastAsia="Calibri" w:hAnsi="Times New Roman" w:cs="Times New Roman"/>
          <w:sz w:val="24"/>
          <w:szCs w:val="24"/>
        </w:rPr>
        <w:t>НП.</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От решените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в съдебна фаза дела, образувани по жалби срещу НП, издадени през пр</w:t>
      </w:r>
      <w:r w:rsidR="003C790A">
        <w:rPr>
          <w:rFonts w:ascii="Times New Roman" w:eastAsia="Calibri" w:hAnsi="Times New Roman" w:cs="Times New Roman"/>
          <w:sz w:val="24"/>
          <w:szCs w:val="24"/>
        </w:rPr>
        <w:t>едходни години, изцяло се отменят 3, потвърждават се</w:t>
      </w:r>
      <w:r w:rsidRPr="00FD4C39">
        <w:rPr>
          <w:rFonts w:ascii="Times New Roman" w:eastAsia="Calibri" w:hAnsi="Times New Roman" w:cs="Times New Roman"/>
          <w:sz w:val="24"/>
          <w:szCs w:val="24"/>
        </w:rPr>
        <w:t xml:space="preserve"> 16, като по 4 от </w:t>
      </w:r>
      <w:r w:rsidRPr="00FD4C39">
        <w:rPr>
          <w:rFonts w:ascii="Times New Roman" w:eastAsia="Calibri" w:hAnsi="Times New Roman" w:cs="Times New Roman"/>
          <w:sz w:val="24"/>
          <w:szCs w:val="24"/>
        </w:rPr>
        <w:lastRenderedPageBreak/>
        <w:t xml:space="preserve">тях </w:t>
      </w:r>
      <w:r w:rsidR="003C790A">
        <w:rPr>
          <w:rFonts w:ascii="Times New Roman" w:eastAsia="Calibri" w:hAnsi="Times New Roman" w:cs="Times New Roman"/>
          <w:sz w:val="24"/>
          <w:szCs w:val="24"/>
        </w:rPr>
        <w:t>се постановява</w:t>
      </w:r>
      <w:r w:rsidRPr="00FD4C39">
        <w:rPr>
          <w:rFonts w:ascii="Times New Roman" w:eastAsia="Calibri" w:hAnsi="Times New Roman" w:cs="Times New Roman"/>
          <w:sz w:val="24"/>
          <w:szCs w:val="24"/>
        </w:rPr>
        <w:t xml:space="preserve"> намаляване на размера на санкцията. Предмет на съдебен контрол към момента са обжалвани 30 НП.</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Във връзка образуваните в съда дела по жалби срещу НП се осъществява процесуално представителство от служители, притежаващи юридическо образование и правоспособност.</w:t>
      </w:r>
    </w:p>
    <w:p w:rsidR="00A434A5" w:rsidRPr="00FD4C39" w:rsidRDefault="003C790A" w:rsidP="003C790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w:t>
      </w:r>
      <w:r w:rsidR="00A434A5" w:rsidRPr="00FD4C39">
        <w:rPr>
          <w:rFonts w:ascii="Times New Roman" w:eastAsia="Calibri" w:hAnsi="Times New Roman" w:cs="Times New Roman"/>
          <w:sz w:val="24"/>
          <w:szCs w:val="24"/>
        </w:rPr>
        <w:t>долу с</w:t>
      </w:r>
      <w:r>
        <w:rPr>
          <w:rFonts w:ascii="Times New Roman" w:eastAsia="Calibri" w:hAnsi="Times New Roman" w:cs="Times New Roman"/>
          <w:sz w:val="24"/>
          <w:szCs w:val="24"/>
        </w:rPr>
        <w:t>е посочват</w:t>
      </w:r>
      <w:r w:rsidR="00A434A5" w:rsidRPr="00FD4C39">
        <w:rPr>
          <w:rFonts w:ascii="Times New Roman" w:eastAsia="Calibri" w:hAnsi="Times New Roman" w:cs="Times New Roman"/>
          <w:sz w:val="24"/>
          <w:szCs w:val="24"/>
        </w:rPr>
        <w:t xml:space="preserve"> някои по-съществени и значими казуси от съдебната практика, по които съдилищата в страната са се произнесли с различни по вид решения. При наличи</w:t>
      </w:r>
      <w:r>
        <w:rPr>
          <w:rFonts w:ascii="Times New Roman" w:eastAsia="Calibri" w:hAnsi="Times New Roman" w:cs="Times New Roman"/>
          <w:sz w:val="24"/>
          <w:szCs w:val="24"/>
        </w:rPr>
        <w:t>е на съответни правни основания</w:t>
      </w:r>
      <w:r w:rsidR="00A434A5" w:rsidRPr="00FD4C39">
        <w:rPr>
          <w:rFonts w:ascii="Times New Roman" w:eastAsia="Calibri" w:hAnsi="Times New Roman" w:cs="Times New Roman"/>
          <w:sz w:val="24"/>
          <w:szCs w:val="24"/>
        </w:rPr>
        <w:t xml:space="preserve"> </w:t>
      </w:r>
      <w:proofErr w:type="spellStart"/>
      <w:r w:rsidR="00A434A5" w:rsidRPr="00FD4C39">
        <w:rPr>
          <w:rFonts w:ascii="Times New Roman" w:eastAsia="Calibri" w:hAnsi="Times New Roman" w:cs="Times New Roman"/>
          <w:sz w:val="24"/>
          <w:szCs w:val="24"/>
        </w:rPr>
        <w:t>първоинстанционните</w:t>
      </w:r>
      <w:proofErr w:type="spellEnd"/>
      <w:r w:rsidR="00A434A5" w:rsidRPr="00FD4C39">
        <w:rPr>
          <w:rFonts w:ascii="Times New Roman" w:eastAsia="Calibri" w:hAnsi="Times New Roman" w:cs="Times New Roman"/>
          <w:sz w:val="24"/>
          <w:szCs w:val="24"/>
        </w:rPr>
        <w:t xml:space="preserve"> съдебни реш</w:t>
      </w:r>
      <w:r>
        <w:rPr>
          <w:rFonts w:ascii="Times New Roman" w:eastAsia="Calibri" w:hAnsi="Times New Roman" w:cs="Times New Roman"/>
          <w:sz w:val="24"/>
          <w:szCs w:val="24"/>
        </w:rPr>
        <w:t>ения, с които изцяло се отменят</w:t>
      </w:r>
      <w:r w:rsidR="00A434A5" w:rsidRPr="00FD4C39">
        <w:rPr>
          <w:rFonts w:ascii="Times New Roman" w:eastAsia="Calibri" w:hAnsi="Times New Roman" w:cs="Times New Roman"/>
          <w:sz w:val="24"/>
          <w:szCs w:val="24"/>
        </w:rPr>
        <w:t xml:space="preserve"> издадени НП, с</w:t>
      </w:r>
      <w:r>
        <w:rPr>
          <w:rFonts w:ascii="Times New Roman" w:eastAsia="Calibri" w:hAnsi="Times New Roman" w:cs="Times New Roman"/>
          <w:sz w:val="24"/>
          <w:szCs w:val="24"/>
        </w:rPr>
        <w:t xml:space="preserve">е обжалват </w:t>
      </w:r>
      <w:r w:rsidR="00A434A5" w:rsidRPr="00FD4C39">
        <w:rPr>
          <w:rFonts w:ascii="Times New Roman" w:eastAsia="Calibri" w:hAnsi="Times New Roman" w:cs="Times New Roman"/>
          <w:sz w:val="24"/>
          <w:szCs w:val="24"/>
        </w:rPr>
        <w:t xml:space="preserve">пред по-горна инстанция. </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Така например за извършени нарушения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3 от ЗЗЛД, за което з</w:t>
      </w:r>
      <w:r w:rsidR="005A233F" w:rsidRPr="00FD4C39">
        <w:rPr>
          <w:rFonts w:ascii="Times New Roman" w:eastAsia="Calibri" w:hAnsi="Times New Roman" w:cs="Times New Roman"/>
          <w:sz w:val="24"/>
          <w:szCs w:val="24"/>
        </w:rPr>
        <w:t xml:space="preserve">аконодателят е предвидил </w:t>
      </w:r>
      <w:r w:rsidRPr="00FD4C39">
        <w:rPr>
          <w:rFonts w:ascii="Times New Roman" w:eastAsia="Calibri" w:hAnsi="Times New Roman" w:cs="Times New Roman"/>
          <w:sz w:val="24"/>
          <w:szCs w:val="24"/>
        </w:rPr>
        <w:t>най гол</w:t>
      </w:r>
      <w:r w:rsidR="00CC41AB" w:rsidRPr="00FD4C39">
        <w:rPr>
          <w:rFonts w:ascii="Times New Roman" w:eastAsia="Calibri" w:hAnsi="Times New Roman" w:cs="Times New Roman"/>
          <w:sz w:val="24"/>
          <w:szCs w:val="24"/>
        </w:rPr>
        <w:t>ям размер на наказанието (от 10 </w:t>
      </w:r>
      <w:r w:rsidRPr="00FD4C39">
        <w:rPr>
          <w:rFonts w:ascii="Times New Roman" w:eastAsia="Calibri" w:hAnsi="Times New Roman" w:cs="Times New Roman"/>
          <w:sz w:val="24"/>
          <w:szCs w:val="24"/>
        </w:rPr>
        <w:t>000 до 100</w:t>
      </w:r>
      <w:r w:rsidR="00CC41A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000 лв.), през 2014</w:t>
      </w:r>
      <w:r w:rsidR="004D42A2">
        <w:rPr>
          <w:rFonts w:ascii="Times New Roman" w:eastAsia="Calibri" w:hAnsi="Times New Roman" w:cs="Times New Roman"/>
          <w:sz w:val="24"/>
          <w:szCs w:val="24"/>
        </w:rPr>
        <w:t> г.</w:t>
      </w:r>
      <w:r w:rsidR="003C790A">
        <w:rPr>
          <w:rFonts w:ascii="Times New Roman" w:eastAsia="Calibri" w:hAnsi="Times New Roman" w:cs="Times New Roman"/>
          <w:sz w:val="24"/>
          <w:szCs w:val="24"/>
        </w:rPr>
        <w:t xml:space="preserve"> съдът потвърждава две НП (с налагани</w:t>
      </w:r>
      <w:r w:rsidRPr="00FD4C39">
        <w:rPr>
          <w:rFonts w:ascii="Times New Roman" w:eastAsia="Calibri" w:hAnsi="Times New Roman" w:cs="Times New Roman"/>
          <w:sz w:val="24"/>
          <w:szCs w:val="24"/>
        </w:rPr>
        <w:t xml:space="preserve"> имуществени санкции съответно за 15</w:t>
      </w:r>
      <w:r w:rsidR="00CC41A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000</w:t>
      </w:r>
      <w:r w:rsidR="000A1260" w:rsidRPr="00FD4C39">
        <w:rPr>
          <w:rFonts w:ascii="Times New Roman" w:eastAsia="Calibri" w:hAnsi="Times New Roman" w:cs="Times New Roman"/>
          <w:sz w:val="24"/>
          <w:szCs w:val="24"/>
        </w:rPr>
        <w:t xml:space="preserve"> лв. </w:t>
      </w:r>
      <w:r w:rsidRPr="00FD4C39">
        <w:rPr>
          <w:rFonts w:ascii="Times New Roman" w:eastAsia="Calibri" w:hAnsi="Times New Roman" w:cs="Times New Roman"/>
          <w:sz w:val="24"/>
          <w:szCs w:val="24"/>
        </w:rPr>
        <w:t xml:space="preserve">и 11 000 лв.), по едно размерът на имуществената санкция </w:t>
      </w:r>
      <w:r w:rsidR="003C790A">
        <w:rPr>
          <w:rFonts w:ascii="Times New Roman" w:eastAsia="Calibri" w:hAnsi="Times New Roman" w:cs="Times New Roman"/>
          <w:sz w:val="24"/>
          <w:szCs w:val="24"/>
        </w:rPr>
        <w:t>се намалява</w:t>
      </w:r>
      <w:r w:rsidRPr="00FD4C39">
        <w:rPr>
          <w:rFonts w:ascii="Times New Roman" w:eastAsia="Calibri" w:hAnsi="Times New Roman" w:cs="Times New Roman"/>
          <w:sz w:val="24"/>
          <w:szCs w:val="24"/>
        </w:rPr>
        <w:t xml:space="preserve"> от 20</w:t>
      </w:r>
      <w:r w:rsidR="00CC41A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000 на 10</w:t>
      </w:r>
      <w:r w:rsidR="00CC41A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000</w:t>
      </w:r>
      <w:r w:rsidR="000A1260" w:rsidRPr="00FD4C39">
        <w:rPr>
          <w:rFonts w:ascii="Times New Roman" w:eastAsia="Calibri" w:hAnsi="Times New Roman" w:cs="Times New Roman"/>
          <w:sz w:val="24"/>
          <w:szCs w:val="24"/>
        </w:rPr>
        <w:t xml:space="preserve"> лв. </w:t>
      </w:r>
      <w:r w:rsidR="003C790A">
        <w:rPr>
          <w:rFonts w:ascii="Times New Roman" w:eastAsia="Calibri" w:hAnsi="Times New Roman" w:cs="Times New Roman"/>
          <w:sz w:val="24"/>
          <w:szCs w:val="24"/>
        </w:rPr>
        <w:t xml:space="preserve">и едно НП се </w:t>
      </w:r>
      <w:r w:rsidRPr="00FD4C39">
        <w:rPr>
          <w:rFonts w:ascii="Times New Roman" w:eastAsia="Calibri" w:hAnsi="Times New Roman" w:cs="Times New Roman"/>
          <w:sz w:val="24"/>
          <w:szCs w:val="24"/>
        </w:rPr>
        <w:t>отмен</w:t>
      </w:r>
      <w:r w:rsidR="003C790A">
        <w:rPr>
          <w:rFonts w:ascii="Times New Roman" w:eastAsia="Calibri" w:hAnsi="Times New Roman" w:cs="Times New Roman"/>
          <w:sz w:val="24"/>
          <w:szCs w:val="24"/>
        </w:rPr>
        <w:t>я</w:t>
      </w:r>
      <w:r w:rsidRPr="00FD4C39">
        <w:rPr>
          <w:rFonts w:ascii="Times New Roman" w:eastAsia="Calibri" w:hAnsi="Times New Roman" w:cs="Times New Roman"/>
          <w:sz w:val="24"/>
          <w:szCs w:val="24"/>
        </w:rPr>
        <w:t xml:space="preserve"> изцяло.</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един от слу</w:t>
      </w:r>
      <w:r w:rsidR="003C790A">
        <w:rPr>
          <w:rFonts w:ascii="Times New Roman" w:eastAsia="Calibri" w:hAnsi="Times New Roman" w:cs="Times New Roman"/>
          <w:sz w:val="24"/>
          <w:szCs w:val="24"/>
        </w:rPr>
        <w:t>чаите, в който съдът потвърждава</w:t>
      </w:r>
      <w:r w:rsidRPr="00FD4C39">
        <w:rPr>
          <w:rFonts w:ascii="Times New Roman" w:eastAsia="Calibri" w:hAnsi="Times New Roman" w:cs="Times New Roman"/>
          <w:sz w:val="24"/>
          <w:szCs w:val="24"/>
        </w:rPr>
        <w:t xml:space="preserve"> НП, АЛД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Българска телекомуникационна компания</w:t>
      </w:r>
      <w:r w:rsidR="003C790A">
        <w:rPr>
          <w:rFonts w:ascii="Times New Roman" w:eastAsia="Calibri" w:hAnsi="Times New Roman" w:cs="Times New Roman"/>
          <w:sz w:val="24"/>
          <w:szCs w:val="24"/>
        </w:rPr>
        <w:t>“ ЕАД) се санкционира</w:t>
      </w:r>
      <w:r w:rsidRPr="00FD4C39">
        <w:rPr>
          <w:rFonts w:ascii="Times New Roman" w:eastAsia="Calibri" w:hAnsi="Times New Roman" w:cs="Times New Roman"/>
          <w:sz w:val="24"/>
          <w:szCs w:val="24"/>
        </w:rPr>
        <w:t xml:space="preserve">, тъй като към направено заявление за </w:t>
      </w:r>
      <w:r w:rsidR="003C790A">
        <w:rPr>
          <w:rFonts w:ascii="Times New Roman" w:eastAsia="Calibri" w:hAnsi="Times New Roman" w:cs="Times New Roman"/>
          <w:sz w:val="24"/>
          <w:szCs w:val="24"/>
        </w:rPr>
        <w:t>преносимост на телефонен номер съхранява</w:t>
      </w:r>
      <w:r w:rsidRPr="00FD4C39">
        <w:rPr>
          <w:rFonts w:ascii="Times New Roman" w:eastAsia="Calibri" w:hAnsi="Times New Roman" w:cs="Times New Roman"/>
          <w:sz w:val="24"/>
          <w:szCs w:val="24"/>
        </w:rPr>
        <w:t xml:space="preserve"> и копие на документа му за самоличност като по този начин личните данни на физическото лице с</w:t>
      </w:r>
      <w:r w:rsidR="003C790A">
        <w:rPr>
          <w:rFonts w:ascii="Times New Roman" w:eastAsia="Calibri" w:hAnsi="Times New Roman" w:cs="Times New Roman"/>
          <w:sz w:val="24"/>
          <w:szCs w:val="24"/>
        </w:rPr>
        <w:t>е обработват</w:t>
      </w:r>
      <w:r w:rsidRPr="00FD4C39">
        <w:rPr>
          <w:rFonts w:ascii="Times New Roman" w:eastAsia="Calibri" w:hAnsi="Times New Roman" w:cs="Times New Roman"/>
          <w:sz w:val="24"/>
          <w:szCs w:val="24"/>
        </w:rPr>
        <w:t xml:space="preserve"> в обем, надхвърлящ целите на заявлението за преносимост на номер и сключения договор. В другия случай (</w:t>
      </w:r>
      <w:r w:rsidR="004931E5" w:rsidRPr="00FD4C39">
        <w:rPr>
          <w:rFonts w:ascii="Times New Roman" w:eastAsia="Calibri" w:hAnsi="Times New Roman" w:cs="Times New Roman"/>
          <w:sz w:val="24"/>
          <w:szCs w:val="24"/>
        </w:rPr>
        <w:t>„</w:t>
      </w:r>
      <w:proofErr w:type="spellStart"/>
      <w:r w:rsidR="003C790A">
        <w:rPr>
          <w:rFonts w:ascii="Times New Roman" w:eastAsia="Calibri" w:hAnsi="Times New Roman" w:cs="Times New Roman"/>
          <w:sz w:val="24"/>
          <w:szCs w:val="24"/>
        </w:rPr>
        <w:t>Профи</w:t>
      </w:r>
      <w:proofErr w:type="spellEnd"/>
      <w:r w:rsidR="003C790A">
        <w:rPr>
          <w:rFonts w:ascii="Times New Roman" w:eastAsia="Calibri" w:hAnsi="Times New Roman" w:cs="Times New Roman"/>
          <w:sz w:val="24"/>
          <w:szCs w:val="24"/>
        </w:rPr>
        <w:t xml:space="preserve"> кредит България“</w:t>
      </w:r>
      <w:r w:rsidRPr="00FD4C39">
        <w:rPr>
          <w:rFonts w:ascii="Times New Roman" w:eastAsia="Calibri" w:hAnsi="Times New Roman" w:cs="Times New Roman"/>
          <w:sz w:val="24"/>
          <w:szCs w:val="24"/>
        </w:rPr>
        <w:t xml:space="preserve"> ЕООД), при сключване на трудови договори и договори за сътрудничество с физически лица, АЛД извършва действия по съхранение на копия от документи за самоличност на служители и изпълнители по граждански договори, без тези данни да са съотносими, свързани и ненадхвърлящи целите, за които данните се обработват, с което е нарушена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3 от ЗЗЛД. </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Като мотив за отмяна на НП, с което на АЛД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Автобус транс</w:t>
      </w:r>
      <w:r w:rsidR="003C790A">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ЕООД) </w:t>
      </w:r>
      <w:r w:rsidR="003C790A">
        <w:rPr>
          <w:rFonts w:ascii="Times New Roman" w:eastAsia="Calibri" w:hAnsi="Times New Roman" w:cs="Times New Roman"/>
          <w:sz w:val="24"/>
          <w:szCs w:val="24"/>
        </w:rPr>
        <w:t>се налага</w:t>
      </w:r>
      <w:r w:rsidRPr="00FD4C39">
        <w:rPr>
          <w:rFonts w:ascii="Times New Roman" w:eastAsia="Calibri" w:hAnsi="Times New Roman" w:cs="Times New Roman"/>
          <w:sz w:val="24"/>
          <w:szCs w:val="24"/>
        </w:rPr>
        <w:t xml:space="preserve"> иму</w:t>
      </w:r>
      <w:r w:rsidR="00CC41AB" w:rsidRPr="00FD4C39">
        <w:rPr>
          <w:rFonts w:ascii="Times New Roman" w:eastAsia="Calibri" w:hAnsi="Times New Roman" w:cs="Times New Roman"/>
          <w:sz w:val="24"/>
          <w:szCs w:val="24"/>
        </w:rPr>
        <w:t>ществена санкция в размер на 11 </w:t>
      </w:r>
      <w:r w:rsidRPr="00FD4C39">
        <w:rPr>
          <w:rFonts w:ascii="Times New Roman" w:eastAsia="Calibri" w:hAnsi="Times New Roman" w:cs="Times New Roman"/>
          <w:sz w:val="24"/>
          <w:szCs w:val="24"/>
        </w:rPr>
        <w:t>000</w:t>
      </w:r>
      <w:r w:rsidR="000A1260" w:rsidRPr="00FD4C39">
        <w:rPr>
          <w:rFonts w:ascii="Times New Roman" w:eastAsia="Calibri" w:hAnsi="Times New Roman" w:cs="Times New Roman"/>
          <w:sz w:val="24"/>
          <w:szCs w:val="24"/>
        </w:rPr>
        <w:t xml:space="preserve"> лв. </w:t>
      </w:r>
      <w:r w:rsidRPr="00FD4C39">
        <w:rPr>
          <w:rFonts w:ascii="Times New Roman" w:eastAsia="Calibri" w:hAnsi="Times New Roman" w:cs="Times New Roman"/>
          <w:sz w:val="24"/>
          <w:szCs w:val="24"/>
        </w:rPr>
        <w:t>за нарушение на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3 от ЗЗЛД, изразяващо се в съхранение на копия от документите за самоличност, Административен съд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Разград</w:t>
      </w:r>
      <w:r w:rsidR="003C790A">
        <w:rPr>
          <w:rFonts w:ascii="Times New Roman" w:eastAsia="Calibri" w:hAnsi="Times New Roman" w:cs="Times New Roman"/>
          <w:sz w:val="24"/>
          <w:szCs w:val="24"/>
        </w:rPr>
        <w:t>,</w:t>
      </w:r>
      <w:r w:rsidR="009E1AC5">
        <w:rPr>
          <w:rFonts w:ascii="Times New Roman" w:eastAsia="Calibri" w:hAnsi="Times New Roman" w:cs="Times New Roman"/>
          <w:sz w:val="24"/>
          <w:szCs w:val="24"/>
        </w:rPr>
        <w:t xml:space="preserve"> посочва</w:t>
      </w:r>
      <w:r w:rsidRPr="00FD4C39">
        <w:rPr>
          <w:rFonts w:ascii="Times New Roman" w:eastAsia="Calibri" w:hAnsi="Times New Roman" w:cs="Times New Roman"/>
          <w:sz w:val="24"/>
          <w:szCs w:val="24"/>
        </w:rPr>
        <w:t xml:space="preserve">, че в АУАН и НП не е описано конкретно обработването на кои точно данни, съдържащи се в копията на документите за самоличност на работниците са </w:t>
      </w:r>
      <w:proofErr w:type="spellStart"/>
      <w:r w:rsidRPr="00FD4C39">
        <w:rPr>
          <w:rFonts w:ascii="Times New Roman" w:eastAsia="Calibri" w:hAnsi="Times New Roman" w:cs="Times New Roman"/>
          <w:sz w:val="24"/>
          <w:szCs w:val="24"/>
        </w:rPr>
        <w:t>неотносими</w:t>
      </w:r>
      <w:proofErr w:type="spellEnd"/>
      <w:r w:rsidRPr="00FD4C39">
        <w:rPr>
          <w:rFonts w:ascii="Times New Roman" w:eastAsia="Calibri" w:hAnsi="Times New Roman" w:cs="Times New Roman"/>
          <w:sz w:val="24"/>
          <w:szCs w:val="24"/>
        </w:rPr>
        <w:t>, несвързани и ненадхвърлящи целите на извършваната от дружеството</w:t>
      </w:r>
      <w:r w:rsidR="009E1AC5">
        <w:rPr>
          <w:rFonts w:ascii="Times New Roman" w:eastAsia="Calibri" w:hAnsi="Times New Roman" w:cs="Times New Roman"/>
          <w:sz w:val="24"/>
          <w:szCs w:val="24"/>
        </w:rPr>
        <w:t xml:space="preserve"> дейност. В тази връзка съдът приема</w:t>
      </w:r>
      <w:r w:rsidRPr="00FD4C39">
        <w:rPr>
          <w:rFonts w:ascii="Times New Roman" w:eastAsia="Calibri" w:hAnsi="Times New Roman" w:cs="Times New Roman"/>
          <w:sz w:val="24"/>
          <w:szCs w:val="24"/>
        </w:rPr>
        <w:t xml:space="preserve">, че са ограничени правата на жалбоподателя и възможността му да организира адекватно защитата си. </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Във връзка с наложена санкция на АЛД за нарушение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от ЗЗЛ</w:t>
      </w:r>
      <w:r w:rsidR="009E1AC5">
        <w:rPr>
          <w:rFonts w:ascii="Times New Roman" w:eastAsia="Calibri" w:hAnsi="Times New Roman" w:cs="Times New Roman"/>
          <w:sz w:val="24"/>
          <w:szCs w:val="24"/>
        </w:rPr>
        <w:t>Д, съдът приема</w:t>
      </w:r>
      <w:r w:rsidRPr="00FD4C39">
        <w:rPr>
          <w:rFonts w:ascii="Times New Roman" w:eastAsia="Calibri" w:hAnsi="Times New Roman" w:cs="Times New Roman"/>
          <w:sz w:val="24"/>
          <w:szCs w:val="24"/>
        </w:rPr>
        <w:t xml:space="preserve">, че вмененото на АЛД нарушение предполага установяване по несъмнен начин на конкретна дата, на която са настъпили обстоятелства, различни от тези, довели до освобождаване на АЛД от регистрация. Именно на тази дата, според </w:t>
      </w:r>
      <w:proofErr w:type="spellStart"/>
      <w:r w:rsidRPr="00FD4C39">
        <w:rPr>
          <w:rFonts w:ascii="Times New Roman" w:eastAsia="Calibri" w:hAnsi="Times New Roman" w:cs="Times New Roman"/>
          <w:sz w:val="24"/>
          <w:szCs w:val="24"/>
        </w:rPr>
        <w:t>въззивната</w:t>
      </w:r>
      <w:proofErr w:type="spellEnd"/>
      <w:r w:rsidRPr="00FD4C39">
        <w:rPr>
          <w:rFonts w:ascii="Times New Roman" w:eastAsia="Calibri" w:hAnsi="Times New Roman" w:cs="Times New Roman"/>
          <w:sz w:val="24"/>
          <w:szCs w:val="24"/>
        </w:rPr>
        <w:t xml:space="preserve"> инстанция, следва да е възникнало задължението за регис</w:t>
      </w:r>
      <w:r w:rsidR="009E1AC5">
        <w:rPr>
          <w:rFonts w:ascii="Times New Roman" w:eastAsia="Calibri" w:hAnsi="Times New Roman" w:cs="Times New Roman"/>
          <w:sz w:val="24"/>
          <w:szCs w:val="24"/>
        </w:rPr>
        <w:t>трация. В конкретния случай не се посочва</w:t>
      </w:r>
      <w:r w:rsidRPr="00FD4C39">
        <w:rPr>
          <w:rFonts w:ascii="Times New Roman" w:eastAsia="Calibri" w:hAnsi="Times New Roman" w:cs="Times New Roman"/>
          <w:sz w:val="24"/>
          <w:szCs w:val="24"/>
        </w:rPr>
        <w:t xml:space="preserve"> дата на извършване на нарушението, а единствено датата на извършената проверка от страна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w:t>
      </w:r>
    </w:p>
    <w:p w:rsidR="00A434A5" w:rsidRPr="00FD4C39" w:rsidRDefault="009E1AC5"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Едно НП се</w:t>
      </w:r>
      <w:r w:rsidR="00A434A5" w:rsidRPr="00FD4C39">
        <w:rPr>
          <w:rFonts w:ascii="Times New Roman" w:eastAsia="Calibri" w:hAnsi="Times New Roman" w:cs="Times New Roman"/>
          <w:sz w:val="24"/>
          <w:szCs w:val="24"/>
        </w:rPr>
        <w:t xml:space="preserve"> отмен</w:t>
      </w:r>
      <w:r>
        <w:rPr>
          <w:rFonts w:ascii="Times New Roman" w:eastAsia="Calibri" w:hAnsi="Times New Roman" w:cs="Times New Roman"/>
          <w:sz w:val="24"/>
          <w:szCs w:val="24"/>
        </w:rPr>
        <w:t>я</w:t>
      </w:r>
      <w:r w:rsidR="00A434A5" w:rsidRPr="00FD4C39">
        <w:rPr>
          <w:rFonts w:ascii="Times New Roman" w:eastAsia="Calibri" w:hAnsi="Times New Roman" w:cs="Times New Roman"/>
          <w:sz w:val="24"/>
          <w:szCs w:val="24"/>
        </w:rPr>
        <w:t xml:space="preserve"> като незаконосъобразно с мотив </w:t>
      </w:r>
      <w:r w:rsidR="004931E5" w:rsidRPr="00FD4C39">
        <w:rPr>
          <w:rFonts w:ascii="Times New Roman" w:eastAsia="Calibri" w:hAnsi="Times New Roman" w:cs="Times New Roman"/>
          <w:sz w:val="24"/>
          <w:szCs w:val="24"/>
        </w:rPr>
        <w:t>„</w:t>
      </w:r>
      <w:r w:rsidR="00A434A5" w:rsidRPr="00FD4C39">
        <w:rPr>
          <w:rFonts w:ascii="Times New Roman" w:eastAsia="Calibri" w:hAnsi="Times New Roman" w:cs="Times New Roman"/>
          <w:sz w:val="24"/>
          <w:szCs w:val="24"/>
        </w:rPr>
        <w:t>неправилна квалификация</w:t>
      </w:r>
      <w:r>
        <w:rPr>
          <w:rFonts w:ascii="Times New Roman" w:eastAsia="Calibri" w:hAnsi="Times New Roman" w:cs="Times New Roman"/>
          <w:sz w:val="24"/>
          <w:szCs w:val="24"/>
        </w:rPr>
        <w:t>“</w:t>
      </w:r>
      <w:r w:rsidR="00A434A5" w:rsidRPr="00FD4C39">
        <w:rPr>
          <w:rFonts w:ascii="Times New Roman" w:eastAsia="Calibri" w:hAnsi="Times New Roman" w:cs="Times New Roman"/>
          <w:sz w:val="24"/>
          <w:szCs w:val="24"/>
        </w:rPr>
        <w:t xml:space="preserve"> на извършеното нарушение. На АЛД (</w:t>
      </w:r>
      <w:r w:rsidR="004931E5" w:rsidRPr="00FD4C39">
        <w:rPr>
          <w:rFonts w:ascii="Times New Roman" w:eastAsia="Calibri" w:hAnsi="Times New Roman" w:cs="Times New Roman"/>
          <w:sz w:val="24"/>
          <w:szCs w:val="24"/>
        </w:rPr>
        <w:t>„</w:t>
      </w:r>
      <w:r w:rsidR="00A434A5" w:rsidRPr="00FD4C39">
        <w:rPr>
          <w:rFonts w:ascii="Times New Roman" w:eastAsia="Calibri" w:hAnsi="Times New Roman" w:cs="Times New Roman"/>
          <w:sz w:val="24"/>
          <w:szCs w:val="24"/>
        </w:rPr>
        <w:t>НСБ</w:t>
      </w:r>
      <w:r w:rsidR="004D42A2">
        <w:rPr>
          <w:rFonts w:ascii="Times New Roman" w:eastAsia="Calibri" w:hAnsi="Times New Roman" w:cs="Times New Roman"/>
          <w:sz w:val="24"/>
          <w:szCs w:val="24"/>
        </w:rPr>
        <w:t xml:space="preserve"> – </w:t>
      </w:r>
      <w:r>
        <w:rPr>
          <w:rFonts w:ascii="Times New Roman" w:eastAsia="Calibri" w:hAnsi="Times New Roman" w:cs="Times New Roman"/>
          <w:sz w:val="24"/>
          <w:szCs w:val="24"/>
        </w:rPr>
        <w:t>Инженеринг“ ООД) се</w:t>
      </w:r>
      <w:r w:rsidR="00A434A5" w:rsidRPr="00FD4C39">
        <w:rPr>
          <w:rFonts w:ascii="Times New Roman" w:eastAsia="Calibri" w:hAnsi="Times New Roman" w:cs="Times New Roman"/>
          <w:sz w:val="24"/>
          <w:szCs w:val="24"/>
        </w:rPr>
        <w:t xml:space="preserve"> състав</w:t>
      </w:r>
      <w:r>
        <w:rPr>
          <w:rFonts w:ascii="Times New Roman" w:eastAsia="Calibri" w:hAnsi="Times New Roman" w:cs="Times New Roman"/>
          <w:sz w:val="24"/>
          <w:szCs w:val="24"/>
        </w:rPr>
        <w:t>я</w:t>
      </w:r>
      <w:r w:rsidR="00A434A5" w:rsidRPr="00FD4C39">
        <w:rPr>
          <w:rFonts w:ascii="Times New Roman" w:eastAsia="Calibri" w:hAnsi="Times New Roman" w:cs="Times New Roman"/>
          <w:sz w:val="24"/>
          <w:szCs w:val="24"/>
        </w:rPr>
        <w:t xml:space="preserve"> наказателно постановление за нарушение на</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17,</w:t>
      </w:r>
      <w:r w:rsidR="00884B97">
        <w:rPr>
          <w:rFonts w:ascii="Times New Roman" w:eastAsia="Calibri" w:hAnsi="Times New Roman" w:cs="Times New Roman"/>
          <w:sz w:val="24"/>
          <w:szCs w:val="24"/>
        </w:rPr>
        <w:t xml:space="preserve"> ал. </w:t>
      </w:r>
      <w:r>
        <w:rPr>
          <w:rFonts w:ascii="Times New Roman" w:eastAsia="Calibri" w:hAnsi="Times New Roman" w:cs="Times New Roman"/>
          <w:sz w:val="24"/>
          <w:szCs w:val="24"/>
        </w:rPr>
        <w:t>1 от ЗЗЛД, като според съда</w:t>
      </w:r>
      <w:r w:rsidR="00A434A5" w:rsidRPr="00FD4C39">
        <w:rPr>
          <w:rFonts w:ascii="Times New Roman" w:eastAsia="Calibri" w:hAnsi="Times New Roman" w:cs="Times New Roman"/>
          <w:sz w:val="24"/>
          <w:szCs w:val="24"/>
        </w:rPr>
        <w:t xml:space="preserve"> описаното в акта и НП съответства на нарушение по</w:t>
      </w:r>
      <w:r w:rsidR="00884B97">
        <w:rPr>
          <w:rFonts w:ascii="Times New Roman" w:eastAsia="Calibri" w:hAnsi="Times New Roman" w:cs="Times New Roman"/>
          <w:sz w:val="24"/>
          <w:szCs w:val="24"/>
        </w:rPr>
        <w:t xml:space="preserve"> чл. </w:t>
      </w:r>
      <w:r w:rsidR="00A434A5" w:rsidRPr="00FD4C39">
        <w:rPr>
          <w:rFonts w:ascii="Times New Roman" w:eastAsia="Calibri" w:hAnsi="Times New Roman" w:cs="Times New Roman"/>
          <w:sz w:val="24"/>
          <w:szCs w:val="24"/>
        </w:rPr>
        <w:t>17,</w:t>
      </w:r>
      <w:r w:rsidR="00884B97">
        <w:rPr>
          <w:rFonts w:ascii="Times New Roman" w:eastAsia="Calibri" w:hAnsi="Times New Roman" w:cs="Times New Roman"/>
          <w:sz w:val="24"/>
          <w:szCs w:val="24"/>
        </w:rPr>
        <w:t xml:space="preserve"> ал. </w:t>
      </w:r>
      <w:r w:rsidR="00A434A5" w:rsidRPr="00FD4C39">
        <w:rPr>
          <w:rFonts w:ascii="Times New Roman" w:eastAsia="Calibri" w:hAnsi="Times New Roman" w:cs="Times New Roman"/>
          <w:sz w:val="24"/>
          <w:szCs w:val="24"/>
        </w:rPr>
        <w:t>3 от ЗЗЛД.</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Всички съдебни решени</w:t>
      </w:r>
      <w:r w:rsidR="009E1AC5">
        <w:rPr>
          <w:rFonts w:ascii="Times New Roman" w:eastAsia="Calibri" w:hAnsi="Times New Roman" w:cs="Times New Roman"/>
          <w:sz w:val="24"/>
          <w:szCs w:val="24"/>
        </w:rPr>
        <w:t>я и особено техните мотиви</w:t>
      </w:r>
      <w:r w:rsidRPr="00FD4C39">
        <w:rPr>
          <w:rFonts w:ascii="Times New Roman" w:eastAsia="Calibri" w:hAnsi="Times New Roman" w:cs="Times New Roman"/>
          <w:sz w:val="24"/>
          <w:szCs w:val="24"/>
        </w:rPr>
        <w:t xml:space="preserve"> се анализират задълбочено, с оглед законосъобразното им прилагане при осъществяване на контролната дейност и най-вече за отстраняване на допуснати слабости и пропуски в дейността по установяване на нарушенията на ЗЗЛД и тяхното документиране в съответствие с разпоредбите на ЗАНН. Като резултат може да се посочи повишаване нивото на правна квалификация на служители</w:t>
      </w:r>
      <w:r w:rsidR="00CF16EB" w:rsidRPr="00FD4C39">
        <w:rPr>
          <w:rFonts w:ascii="Times New Roman" w:eastAsia="Calibri" w:hAnsi="Times New Roman" w:cs="Times New Roman"/>
          <w:sz w:val="24"/>
          <w:szCs w:val="24"/>
        </w:rPr>
        <w:t>те</w:t>
      </w:r>
      <w:r w:rsidRPr="00FD4C39">
        <w:rPr>
          <w:rFonts w:ascii="Times New Roman" w:eastAsia="Calibri" w:hAnsi="Times New Roman" w:cs="Times New Roman"/>
          <w:sz w:val="24"/>
          <w:szCs w:val="24"/>
        </w:rPr>
        <w:t xml:space="preserve">, упълномощени да съставят АУАН при осъществяване на контролната дейност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w:t>
      </w:r>
    </w:p>
    <w:p w:rsidR="00A434A5" w:rsidRPr="00FD4C39" w:rsidRDefault="00A434A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Приоритет в </w:t>
      </w:r>
      <w:proofErr w:type="spellStart"/>
      <w:r w:rsidRPr="00FD4C39">
        <w:rPr>
          <w:rFonts w:ascii="Times New Roman" w:eastAsia="Calibri" w:hAnsi="Times New Roman" w:cs="Times New Roman"/>
          <w:sz w:val="24"/>
          <w:szCs w:val="24"/>
        </w:rPr>
        <w:t>административнонаказателната</w:t>
      </w:r>
      <w:proofErr w:type="spellEnd"/>
      <w:r w:rsidRPr="00FD4C39">
        <w:rPr>
          <w:rFonts w:ascii="Times New Roman" w:eastAsia="Calibri" w:hAnsi="Times New Roman" w:cs="Times New Roman"/>
          <w:sz w:val="24"/>
          <w:szCs w:val="24"/>
        </w:rPr>
        <w:t xml:space="preserve"> дейност е запазване на устойчива тенденция за трайно поддържане на сравнително нисък процент на отменени от съда НП.</w:t>
      </w:r>
    </w:p>
    <w:p w:rsidR="00253EE4" w:rsidRPr="00FD4C39" w:rsidRDefault="00253EE4">
      <w:pPr>
        <w:rPr>
          <w:rFonts w:ascii="Times New Roman" w:eastAsia="Calibri" w:hAnsi="Times New Roman" w:cs="Times New Roman"/>
          <w:sz w:val="24"/>
          <w:szCs w:val="24"/>
        </w:rPr>
      </w:pPr>
      <w:r w:rsidRPr="00FD4C39">
        <w:rPr>
          <w:rFonts w:ascii="Times New Roman" w:eastAsia="Calibri" w:hAnsi="Times New Roman" w:cs="Times New Roman"/>
          <w:sz w:val="24"/>
          <w:szCs w:val="24"/>
        </w:rPr>
        <w:br w:type="page"/>
      </w:r>
    </w:p>
    <w:p w:rsidR="000F1A9D" w:rsidRPr="00FD4C39" w:rsidRDefault="000F1A9D"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V. Контролна дейност върху политически субекти</w:t>
      </w:r>
    </w:p>
    <w:p w:rsidR="0069463D" w:rsidRPr="00FD4C39" w:rsidRDefault="0069463D" w:rsidP="007B189E">
      <w:pPr>
        <w:spacing w:after="0" w:line="360" w:lineRule="auto"/>
        <w:ind w:firstLine="709"/>
        <w:jc w:val="both"/>
        <w:rPr>
          <w:rFonts w:ascii="Times New Roman" w:eastAsia="Calibri" w:hAnsi="Times New Roman" w:cs="Times New Roman"/>
          <w:b/>
          <w:sz w:val="24"/>
          <w:szCs w:val="24"/>
        </w:rPr>
      </w:pP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резултат от създадената за първи път възможно</w:t>
      </w:r>
      <w:r w:rsidR="009E1AC5">
        <w:rPr>
          <w:rFonts w:ascii="Times New Roman" w:eastAsia="Calibri" w:hAnsi="Times New Roman" w:cs="Times New Roman"/>
          <w:sz w:val="24"/>
          <w:szCs w:val="24"/>
        </w:rPr>
        <w:t>ст, с приетия през м. март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нов Изборен кодекс, всеки избирател да прави справка на електронната страница на Централна избирателна комисия (ЦИК) в списъците, съдържащи имената, единния граждански номер и саморъчен подпис на избирателите, подкрепящи регистрацията на отделните политически субекти през отчетния период в КЗЛД</w:t>
      </w:r>
      <w:r w:rsidR="009E1AC5">
        <w:rPr>
          <w:rFonts w:ascii="Times New Roman" w:eastAsia="Calibri" w:hAnsi="Times New Roman" w:cs="Times New Roman"/>
          <w:sz w:val="24"/>
          <w:szCs w:val="24"/>
        </w:rPr>
        <w:t>, се получават</w:t>
      </w:r>
      <w:r w:rsidRPr="00FD4C39">
        <w:rPr>
          <w:rFonts w:ascii="Times New Roman" w:eastAsia="Calibri" w:hAnsi="Times New Roman" w:cs="Times New Roman"/>
          <w:sz w:val="24"/>
          <w:szCs w:val="24"/>
        </w:rPr>
        <w:t xml:space="preserve"> стотици жалби и сигнали за злоупотреба с лични данни при регистрацията на политическите субекти за участие в изборите</w:t>
      </w:r>
      <w:r w:rsidRPr="00FD4C39">
        <w:rPr>
          <w:rFonts w:ascii="Times New Roman" w:eastAsia="Calibri" w:hAnsi="Times New Roman" w:cs="Times New Roman"/>
          <w:bCs/>
          <w:sz w:val="24"/>
          <w:szCs w:val="24"/>
        </w:rPr>
        <w:t xml:space="preserve"> за членове на Европейския парламент </w:t>
      </w:r>
      <w:r w:rsidR="009E1AC5">
        <w:rPr>
          <w:rFonts w:ascii="Times New Roman" w:eastAsia="Calibri" w:hAnsi="Times New Roman" w:cs="Times New Roman"/>
          <w:bCs/>
          <w:sz w:val="24"/>
          <w:szCs w:val="24"/>
        </w:rPr>
        <w:t>от Република България</w:t>
      </w:r>
      <w:r w:rsidRPr="00FD4C39">
        <w:rPr>
          <w:rFonts w:ascii="Times New Roman" w:eastAsia="Calibri" w:hAnsi="Times New Roman" w:cs="Times New Roman"/>
          <w:bCs/>
          <w:sz w:val="24"/>
          <w:szCs w:val="24"/>
        </w:rPr>
        <w:t xml:space="preserve"> на 25 май 2014</w:t>
      </w:r>
      <w:r w:rsidR="004D42A2">
        <w:rPr>
          <w:rFonts w:ascii="Times New Roman" w:eastAsia="Calibri" w:hAnsi="Times New Roman" w:cs="Times New Roman"/>
          <w:bCs/>
          <w:sz w:val="24"/>
          <w:szCs w:val="24"/>
        </w:rPr>
        <w:t> г.</w:t>
      </w:r>
    </w:p>
    <w:p w:rsidR="000F1A9D" w:rsidRPr="00FD4C39" w:rsidRDefault="009E1AC5" w:rsidP="007B189E">
      <w:pPr>
        <w:tabs>
          <w:tab w:val="left" w:pos="1276"/>
          <w:tab w:val="left" w:pos="1701"/>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тази връзка КЗЛД незабавно инициира и провежда</w:t>
      </w:r>
      <w:r w:rsidR="000F1A9D" w:rsidRPr="00FD4C39">
        <w:rPr>
          <w:rFonts w:ascii="Times New Roman" w:eastAsia="Calibri" w:hAnsi="Times New Roman" w:cs="Times New Roman"/>
          <w:sz w:val="24"/>
          <w:szCs w:val="24"/>
        </w:rPr>
        <w:t xml:space="preserve"> работна среща с ЦИК. Целта е подобряване на сигурността на данните и недопускане на нерегламенти</w:t>
      </w:r>
      <w:r>
        <w:rPr>
          <w:rFonts w:ascii="Times New Roman" w:eastAsia="Calibri" w:hAnsi="Times New Roman" w:cs="Times New Roman"/>
          <w:sz w:val="24"/>
          <w:szCs w:val="24"/>
        </w:rPr>
        <w:t>ран достъп до тях. КЗЛД издава</w:t>
      </w:r>
      <w:r w:rsidR="000F1A9D" w:rsidRPr="00FD4C39">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задължително предписание и ЦИК въвежда</w:t>
      </w:r>
      <w:r w:rsidR="000F1A9D" w:rsidRPr="00FD4C39">
        <w:rPr>
          <w:rFonts w:ascii="Times New Roman" w:eastAsia="Calibri" w:hAnsi="Times New Roman" w:cs="Times New Roman"/>
          <w:sz w:val="24"/>
          <w:szCs w:val="24"/>
        </w:rPr>
        <w:t xml:space="preserve"> допълнителни мерки за защита, за да се гарантира по-високо ниво на защита на личните данни. Из</w:t>
      </w:r>
      <w:r>
        <w:rPr>
          <w:rFonts w:ascii="Times New Roman" w:eastAsia="Calibri" w:hAnsi="Times New Roman" w:cs="Times New Roman"/>
          <w:sz w:val="24"/>
          <w:szCs w:val="24"/>
        </w:rPr>
        <w:t xml:space="preserve">пълнението на това предписание се констатира при </w:t>
      </w:r>
      <w:proofErr w:type="spellStart"/>
      <w:r>
        <w:rPr>
          <w:rFonts w:ascii="Times New Roman" w:eastAsia="Calibri" w:hAnsi="Times New Roman" w:cs="Times New Roman"/>
          <w:sz w:val="24"/>
          <w:szCs w:val="24"/>
        </w:rPr>
        <w:t>последващ</w:t>
      </w:r>
      <w:r w:rsidR="000F1A9D" w:rsidRPr="00FD4C39">
        <w:rPr>
          <w:rFonts w:ascii="Times New Roman" w:eastAsia="Calibri" w:hAnsi="Times New Roman" w:cs="Times New Roman"/>
          <w:sz w:val="24"/>
          <w:szCs w:val="24"/>
        </w:rPr>
        <w:t>ата</w:t>
      </w:r>
      <w:proofErr w:type="spellEnd"/>
      <w:r w:rsidR="000F1A9D" w:rsidRPr="00FD4C39">
        <w:rPr>
          <w:rFonts w:ascii="Times New Roman" w:eastAsia="Calibri" w:hAnsi="Times New Roman" w:cs="Times New Roman"/>
          <w:sz w:val="24"/>
          <w:szCs w:val="24"/>
        </w:rPr>
        <w:t xml:space="preserve"> проверка на ЦИК и поддържаните от нея регистри, в качеството й на АЛД.</w:t>
      </w:r>
    </w:p>
    <w:p w:rsidR="000F1A9D" w:rsidRPr="00FD4C39" w:rsidRDefault="009E1AC5" w:rsidP="007B189E">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Междувременно в КЗЛД постъпват директно или се препращат</w:t>
      </w:r>
      <w:r w:rsidR="000F1A9D" w:rsidRPr="00FD4C39">
        <w:rPr>
          <w:rFonts w:ascii="Times New Roman" w:eastAsia="Calibri" w:hAnsi="Times New Roman" w:cs="Times New Roman"/>
          <w:sz w:val="24"/>
          <w:szCs w:val="24"/>
        </w:rPr>
        <w:t xml:space="preserve"> по компетентност от ЦИК и Прокуратурата 1380 жалби и сигнали от граждани с твърдения, че без тяхно съгласие личните им данни фигурират в подписки на политически субекти</w:t>
      </w:r>
      <w:r w:rsidR="000F1A9D" w:rsidRPr="00FD4C39">
        <w:rPr>
          <w:rFonts w:ascii="Times New Roman" w:hAnsi="Times New Roman" w:cs="Times New Roman"/>
          <w:sz w:val="24"/>
          <w:szCs w:val="24"/>
        </w:rPr>
        <w:t>.</w:t>
      </w:r>
    </w:p>
    <w:p w:rsidR="00695EBF" w:rsidRPr="00FD4C39" w:rsidRDefault="00695EBF" w:rsidP="007B189E">
      <w:pPr>
        <w:spacing w:after="0" w:line="360" w:lineRule="auto"/>
        <w:ind w:firstLine="709"/>
        <w:jc w:val="both"/>
        <w:rPr>
          <w:rFonts w:ascii="Times New Roman" w:eastAsia="Calibri" w:hAnsi="Times New Roman" w:cs="Times New Roman"/>
          <w:b/>
          <w:sz w:val="24"/>
          <w:szCs w:val="24"/>
        </w:rPr>
      </w:pPr>
    </w:p>
    <w:p w:rsidR="000F1A9D" w:rsidRPr="00FD4C39" w:rsidRDefault="000F1A9D"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1. Проверки (методика за извършване на проверките, действия по извършване на проверките, резултати)</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w:t>
      </w:r>
      <w:r w:rsidR="009E1AC5">
        <w:rPr>
          <w:rFonts w:ascii="Times New Roman" w:eastAsia="Calibri" w:hAnsi="Times New Roman" w:cs="Times New Roman"/>
          <w:sz w:val="24"/>
          <w:szCs w:val="24"/>
        </w:rPr>
        <w:t>контекста на надзорната дейност</w:t>
      </w:r>
      <w:r w:rsidRPr="00FD4C39">
        <w:rPr>
          <w:rFonts w:ascii="Times New Roman" w:eastAsia="Calibri" w:hAnsi="Times New Roman" w:cs="Times New Roman"/>
          <w:sz w:val="24"/>
          <w:szCs w:val="24"/>
        </w:rPr>
        <w:t xml:space="preserve"> успоредно със стартиралите административни производства по разглеждане на постъп</w:t>
      </w:r>
      <w:r w:rsidR="009E1AC5">
        <w:rPr>
          <w:rFonts w:ascii="Times New Roman" w:eastAsia="Calibri" w:hAnsi="Times New Roman" w:cs="Times New Roman"/>
          <w:sz w:val="24"/>
          <w:szCs w:val="24"/>
        </w:rPr>
        <w:t>илите жалби, с решение на КЗЛД се</w:t>
      </w:r>
      <w:r w:rsidRPr="00FD4C39">
        <w:rPr>
          <w:rFonts w:ascii="Times New Roman" w:eastAsia="Calibri" w:hAnsi="Times New Roman" w:cs="Times New Roman"/>
          <w:sz w:val="24"/>
          <w:szCs w:val="24"/>
        </w:rPr>
        <w:t xml:space="preserve"> прие</w:t>
      </w:r>
      <w:r w:rsidR="009E1AC5">
        <w:rPr>
          <w:rFonts w:ascii="Times New Roman" w:eastAsia="Calibri" w:hAnsi="Times New Roman" w:cs="Times New Roman"/>
          <w:sz w:val="24"/>
          <w:szCs w:val="24"/>
        </w:rPr>
        <w:t>ма</w:t>
      </w:r>
      <w:r w:rsidRPr="00FD4C39">
        <w:rPr>
          <w:rFonts w:ascii="Times New Roman" w:eastAsia="Calibri" w:hAnsi="Times New Roman" w:cs="Times New Roman"/>
          <w:sz w:val="24"/>
          <w:szCs w:val="24"/>
        </w:rPr>
        <w:t xml:space="preserve"> да се извършат проверки на всички политически субекти, подали документи за регистрация в ЦИК за участие в изборите </w:t>
      </w:r>
      <w:r w:rsidRPr="00FD4C39">
        <w:rPr>
          <w:rFonts w:ascii="Times New Roman" w:eastAsia="Calibri" w:hAnsi="Times New Roman" w:cs="Times New Roman"/>
          <w:bCs/>
          <w:sz w:val="24"/>
          <w:szCs w:val="24"/>
        </w:rPr>
        <w:t xml:space="preserve">за членове на Европейския парламент </w:t>
      </w:r>
      <w:r w:rsidR="00DF0C58">
        <w:rPr>
          <w:rFonts w:ascii="Times New Roman" w:eastAsia="Calibri" w:hAnsi="Times New Roman" w:cs="Times New Roman"/>
          <w:bCs/>
          <w:sz w:val="24"/>
          <w:szCs w:val="24"/>
        </w:rPr>
        <w:t>от Република България</w:t>
      </w:r>
      <w:r w:rsidRPr="00FD4C39">
        <w:rPr>
          <w:rFonts w:ascii="Times New Roman" w:eastAsia="Calibri" w:hAnsi="Times New Roman" w:cs="Times New Roman"/>
          <w:bCs/>
          <w:sz w:val="24"/>
          <w:szCs w:val="24"/>
        </w:rPr>
        <w:t xml:space="preserve"> на 25 май 2014</w:t>
      </w:r>
      <w:r w:rsidR="004D42A2">
        <w:rPr>
          <w:rFonts w:ascii="Times New Roman" w:eastAsia="Calibri" w:hAnsi="Times New Roman" w:cs="Times New Roman"/>
          <w:bCs/>
          <w:sz w:val="24"/>
          <w:szCs w:val="24"/>
        </w:rPr>
        <w:t> г.</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извършване на проверките КЗЛД сформира 4 екипа с ръководители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членовете на КЗЛД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Цанко Цолов, Цветелин </w:t>
      </w:r>
      <w:proofErr w:type="spellStart"/>
      <w:r w:rsidRPr="00FD4C39">
        <w:rPr>
          <w:rFonts w:ascii="Times New Roman" w:eastAsia="Calibri" w:hAnsi="Times New Roman" w:cs="Times New Roman"/>
          <w:sz w:val="24"/>
          <w:szCs w:val="24"/>
        </w:rPr>
        <w:t>Софрониев</w:t>
      </w:r>
      <w:proofErr w:type="spellEnd"/>
      <w:r w:rsidRPr="00FD4C39">
        <w:rPr>
          <w:rFonts w:ascii="Times New Roman" w:eastAsia="Calibri" w:hAnsi="Times New Roman" w:cs="Times New Roman"/>
          <w:sz w:val="24"/>
          <w:szCs w:val="24"/>
        </w:rPr>
        <w:t xml:space="preserve">, Мария Матева и Веселин Целков. За целите на извършване на проверките със свое решение КЗЛД приема методика, с която се създават правила за реализирането на възложените задачи за извършване на контрол върху дейността на всички политически субекти, подали документи за регистрация в ЦИК за участие в изборите </w:t>
      </w:r>
      <w:r w:rsidRPr="00FD4C39">
        <w:rPr>
          <w:rFonts w:ascii="Times New Roman" w:eastAsia="Calibri" w:hAnsi="Times New Roman" w:cs="Times New Roman"/>
          <w:bCs/>
          <w:sz w:val="24"/>
          <w:szCs w:val="24"/>
        </w:rPr>
        <w:t xml:space="preserve">за членове на Европейския </w:t>
      </w:r>
      <w:r w:rsidRPr="00FD4C39">
        <w:rPr>
          <w:rFonts w:ascii="Times New Roman" w:eastAsia="Calibri" w:hAnsi="Times New Roman" w:cs="Times New Roman"/>
          <w:bCs/>
          <w:sz w:val="24"/>
          <w:szCs w:val="24"/>
        </w:rPr>
        <w:lastRenderedPageBreak/>
        <w:t xml:space="preserve">парламент </w:t>
      </w:r>
      <w:r w:rsidR="00DF0C58">
        <w:rPr>
          <w:rFonts w:ascii="Times New Roman" w:eastAsia="Calibri" w:hAnsi="Times New Roman" w:cs="Times New Roman"/>
          <w:bCs/>
          <w:sz w:val="24"/>
          <w:szCs w:val="24"/>
        </w:rPr>
        <w:t>от Република България</w:t>
      </w:r>
      <w:r w:rsidRPr="00FD4C39">
        <w:rPr>
          <w:rFonts w:ascii="Times New Roman" w:eastAsia="Calibri" w:hAnsi="Times New Roman" w:cs="Times New Roman"/>
          <w:bCs/>
          <w:sz w:val="24"/>
          <w:szCs w:val="24"/>
        </w:rPr>
        <w:t xml:space="preserve"> на 25 май 2014</w:t>
      </w:r>
      <w:r w:rsidR="004D42A2">
        <w:rPr>
          <w:rFonts w:ascii="Times New Roman" w:eastAsia="Calibri" w:hAnsi="Times New Roman" w:cs="Times New Roman"/>
          <w:bCs/>
          <w:sz w:val="24"/>
          <w:szCs w:val="24"/>
        </w:rPr>
        <w:t> г.</w:t>
      </w:r>
      <w:r w:rsidRPr="00FD4C39">
        <w:rPr>
          <w:rFonts w:ascii="Times New Roman" w:eastAsia="Calibri" w:hAnsi="Times New Roman" w:cs="Times New Roman"/>
          <w:bCs/>
          <w:sz w:val="24"/>
          <w:szCs w:val="24"/>
        </w:rPr>
        <w:t xml:space="preserve"> Методиката има за цел </w:t>
      </w:r>
      <w:r w:rsidRPr="00FD4C39">
        <w:rPr>
          <w:rFonts w:ascii="Times New Roman" w:eastAsia="Calibri" w:hAnsi="Times New Roman" w:cs="Times New Roman"/>
          <w:sz w:val="24"/>
          <w:szCs w:val="24"/>
        </w:rPr>
        <w:t xml:space="preserve">да изработи общи критерии, подходи и способи за контрол и проверка, както и да определи кръга от права, задължения и </w:t>
      </w:r>
      <w:r w:rsidR="00DF0C58">
        <w:rPr>
          <w:rFonts w:ascii="Times New Roman" w:eastAsia="Calibri" w:hAnsi="Times New Roman" w:cs="Times New Roman"/>
          <w:sz w:val="24"/>
          <w:szCs w:val="24"/>
        </w:rPr>
        <w:t>отговорности. В нея се разписват</w:t>
      </w:r>
      <w:r w:rsidRPr="00FD4C39">
        <w:rPr>
          <w:rFonts w:ascii="Times New Roman" w:eastAsia="Calibri" w:hAnsi="Times New Roman" w:cs="Times New Roman"/>
          <w:sz w:val="24"/>
          <w:szCs w:val="24"/>
        </w:rPr>
        <w:t xml:space="preserve"> всички необходими действия на екипите за извършване на проверките. През отчетния период е осъществено и допълнително обучение на участващите в проверките експерти. </w:t>
      </w:r>
      <w:r w:rsidR="00DF0C58">
        <w:rPr>
          <w:rFonts w:ascii="Times New Roman" w:eastAsia="Calibri" w:hAnsi="Times New Roman" w:cs="Times New Roman"/>
          <w:sz w:val="24"/>
          <w:szCs w:val="24"/>
        </w:rPr>
        <w:t>Всеки от екипите задължително включва</w:t>
      </w:r>
      <w:r w:rsidRPr="00FD4C39">
        <w:rPr>
          <w:rFonts w:ascii="Times New Roman" w:eastAsia="Calibri" w:hAnsi="Times New Roman" w:cs="Times New Roman"/>
          <w:sz w:val="24"/>
          <w:szCs w:val="24"/>
        </w:rPr>
        <w:t xml:space="preserve"> </w:t>
      </w:r>
      <w:r w:rsidR="00D1598C" w:rsidRPr="00FD4C39">
        <w:rPr>
          <w:rFonts w:ascii="Times New Roman" w:eastAsia="Calibri" w:hAnsi="Times New Roman" w:cs="Times New Roman"/>
          <w:sz w:val="24"/>
          <w:szCs w:val="24"/>
        </w:rPr>
        <w:t xml:space="preserve">юристи и </w:t>
      </w:r>
      <w:r w:rsidRPr="00FD4C39">
        <w:rPr>
          <w:rFonts w:ascii="Times New Roman" w:eastAsia="Calibri" w:hAnsi="Times New Roman" w:cs="Times New Roman"/>
          <w:sz w:val="24"/>
          <w:szCs w:val="24"/>
        </w:rPr>
        <w:t xml:space="preserve">експерти </w:t>
      </w:r>
      <w:r w:rsidR="00D1598C" w:rsidRPr="00FD4C39">
        <w:rPr>
          <w:rFonts w:ascii="Times New Roman" w:eastAsia="Calibri" w:hAnsi="Times New Roman" w:cs="Times New Roman"/>
          <w:sz w:val="24"/>
          <w:szCs w:val="24"/>
        </w:rPr>
        <w:t>по информационни технологии</w:t>
      </w:r>
      <w:r w:rsidRPr="00FD4C39">
        <w:rPr>
          <w:rFonts w:ascii="Times New Roman" w:eastAsia="Calibri" w:hAnsi="Times New Roman" w:cs="Times New Roman"/>
          <w:sz w:val="24"/>
          <w:szCs w:val="24"/>
        </w:rPr>
        <w:t>.</w:t>
      </w:r>
      <w:r w:rsidR="00DF0C58">
        <w:rPr>
          <w:rFonts w:ascii="Times New Roman" w:eastAsia="Calibri" w:hAnsi="Times New Roman" w:cs="Times New Roman"/>
          <w:sz w:val="24"/>
          <w:szCs w:val="24"/>
        </w:rPr>
        <w:t xml:space="preserve"> При извършване на проверките се използват</w:t>
      </w:r>
      <w:r w:rsidRPr="00FD4C39">
        <w:rPr>
          <w:rFonts w:ascii="Times New Roman" w:eastAsia="Calibri" w:hAnsi="Times New Roman" w:cs="Times New Roman"/>
          <w:sz w:val="24"/>
          <w:szCs w:val="24"/>
        </w:rPr>
        <w:t xml:space="preserve"> и утвърдени от КЗЛД въпросник и контролен лист.</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Контролните действия на КЗЛД обхващат не само проверка на фактите и обстоятелствата, свързани с постъпилите сигнали и жалби към всеки един политически субект, но и начина на събиране, допълнително обработване и унищожаване на лични данни от партиите и инициативните комитети във връзка с изборите. Целта на проверките е и спазването на ЗЗЛД при обработване на данни и на други категории физически лица във връзка с функционирането на партиите като юридически субекти: участници в подписки, </w:t>
      </w:r>
      <w:proofErr w:type="spellStart"/>
      <w:r w:rsidRPr="00FD4C39">
        <w:rPr>
          <w:rFonts w:ascii="Times New Roman" w:eastAsia="Calibri" w:hAnsi="Times New Roman" w:cs="Times New Roman"/>
          <w:sz w:val="24"/>
          <w:szCs w:val="24"/>
        </w:rPr>
        <w:t>застъпници</w:t>
      </w:r>
      <w:proofErr w:type="spellEnd"/>
      <w:r w:rsidRPr="00FD4C39">
        <w:rPr>
          <w:rFonts w:ascii="Times New Roman" w:eastAsia="Calibri" w:hAnsi="Times New Roman" w:cs="Times New Roman"/>
          <w:sz w:val="24"/>
          <w:szCs w:val="24"/>
        </w:rPr>
        <w:t>, представители на политически партии, страни по трудови и граждански договори, дарители, контрагенти.</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 оглед осъществяване на прозрачност и информ</w:t>
      </w:r>
      <w:r w:rsidR="00DF0C58">
        <w:rPr>
          <w:rFonts w:ascii="Times New Roman" w:eastAsia="Calibri" w:hAnsi="Times New Roman" w:cs="Times New Roman"/>
          <w:sz w:val="24"/>
          <w:szCs w:val="24"/>
        </w:rPr>
        <w:t>ираност на обществото, КЗЛД поканва</w:t>
      </w:r>
      <w:r w:rsidRPr="00FD4C39">
        <w:rPr>
          <w:rFonts w:ascii="Times New Roman" w:eastAsia="Calibri" w:hAnsi="Times New Roman" w:cs="Times New Roman"/>
          <w:sz w:val="24"/>
          <w:szCs w:val="24"/>
        </w:rPr>
        <w:t xml:space="preserve"> за участие като наблюдатели представители на неправителствените организации (НПО) от обществения съвет на ЦИК и др., осъществяващи защита на гражданските права и мониторинг н</w:t>
      </w:r>
      <w:r w:rsidR="00DF0C58">
        <w:rPr>
          <w:rFonts w:ascii="Times New Roman" w:eastAsia="Calibri" w:hAnsi="Times New Roman" w:cs="Times New Roman"/>
          <w:sz w:val="24"/>
          <w:szCs w:val="24"/>
        </w:rPr>
        <w:t>а институциите. Наблюдателите се запознават</w:t>
      </w:r>
      <w:r w:rsidRPr="00FD4C39">
        <w:rPr>
          <w:rFonts w:ascii="Times New Roman" w:eastAsia="Calibri" w:hAnsi="Times New Roman" w:cs="Times New Roman"/>
          <w:sz w:val="24"/>
          <w:szCs w:val="24"/>
        </w:rPr>
        <w:t xml:space="preserve"> с правата им и с методиката за извършван</w:t>
      </w:r>
      <w:r w:rsidR="00DF0C58">
        <w:rPr>
          <w:rFonts w:ascii="Times New Roman" w:eastAsia="Calibri" w:hAnsi="Times New Roman" w:cs="Times New Roman"/>
          <w:sz w:val="24"/>
          <w:szCs w:val="24"/>
        </w:rPr>
        <w:t>е на проверките. За целта те подписват</w:t>
      </w:r>
      <w:r w:rsidRPr="00FD4C39">
        <w:rPr>
          <w:rFonts w:ascii="Times New Roman" w:eastAsia="Calibri" w:hAnsi="Times New Roman" w:cs="Times New Roman"/>
          <w:sz w:val="24"/>
          <w:szCs w:val="24"/>
        </w:rPr>
        <w:t xml:space="preserve"> декларации за </w:t>
      </w:r>
      <w:proofErr w:type="spellStart"/>
      <w:r w:rsidRPr="00FD4C39">
        <w:rPr>
          <w:rFonts w:ascii="Times New Roman" w:eastAsia="Calibri" w:hAnsi="Times New Roman" w:cs="Times New Roman"/>
          <w:sz w:val="24"/>
          <w:szCs w:val="24"/>
        </w:rPr>
        <w:t>конфиденциалност</w:t>
      </w:r>
      <w:proofErr w:type="spellEnd"/>
      <w:r w:rsidRPr="00FD4C39">
        <w:rPr>
          <w:rFonts w:ascii="Times New Roman" w:eastAsia="Calibri" w:hAnsi="Times New Roman" w:cs="Times New Roman"/>
          <w:sz w:val="24"/>
          <w:szCs w:val="24"/>
        </w:rPr>
        <w:t>, а за тяхната легитимация по време на проверките с</w:t>
      </w:r>
      <w:r w:rsidR="00DF0C58">
        <w:rPr>
          <w:rFonts w:ascii="Times New Roman" w:eastAsia="Calibri" w:hAnsi="Times New Roman" w:cs="Times New Roman"/>
          <w:sz w:val="24"/>
          <w:szCs w:val="24"/>
        </w:rPr>
        <w:t>е издават</w:t>
      </w:r>
      <w:r w:rsidRPr="00FD4C39">
        <w:rPr>
          <w:rFonts w:ascii="Times New Roman" w:eastAsia="Calibri" w:hAnsi="Times New Roman" w:cs="Times New Roman"/>
          <w:sz w:val="24"/>
          <w:szCs w:val="24"/>
        </w:rPr>
        <w:t xml:space="preserve"> специални удостоверения. По своя п</w:t>
      </w:r>
      <w:r w:rsidR="00DF0C58">
        <w:rPr>
          <w:rFonts w:ascii="Times New Roman" w:eastAsia="Calibri" w:hAnsi="Times New Roman" w:cs="Times New Roman"/>
          <w:sz w:val="24"/>
          <w:szCs w:val="24"/>
        </w:rPr>
        <w:t>реценка в част от проверките вземат</w:t>
      </w:r>
      <w:r w:rsidRPr="00FD4C39">
        <w:rPr>
          <w:rFonts w:ascii="Times New Roman" w:eastAsia="Calibri" w:hAnsi="Times New Roman" w:cs="Times New Roman"/>
          <w:sz w:val="24"/>
          <w:szCs w:val="24"/>
        </w:rPr>
        <w:t xml:space="preserve"> участие представители на Институт</w:t>
      </w:r>
      <w:r w:rsidR="00DF0C58">
        <w:rPr>
          <w:rFonts w:ascii="Times New Roman" w:eastAsia="Calibri" w:hAnsi="Times New Roman" w:cs="Times New Roman"/>
          <w:sz w:val="24"/>
          <w:szCs w:val="24"/>
        </w:rPr>
        <w:t>а</w:t>
      </w:r>
      <w:r w:rsidRPr="00FD4C39">
        <w:rPr>
          <w:rFonts w:ascii="Times New Roman" w:eastAsia="Calibri" w:hAnsi="Times New Roman" w:cs="Times New Roman"/>
          <w:sz w:val="24"/>
          <w:szCs w:val="24"/>
        </w:rPr>
        <w:t xml:space="preserve"> за развитие на публичната среда, Български</w:t>
      </w:r>
      <w:r w:rsidR="00DF0C58">
        <w:rPr>
          <w:rFonts w:ascii="Times New Roman" w:eastAsia="Calibri" w:hAnsi="Times New Roman" w:cs="Times New Roman"/>
          <w:sz w:val="24"/>
          <w:szCs w:val="24"/>
        </w:rPr>
        <w:t>я</w:t>
      </w:r>
      <w:r w:rsidRPr="00FD4C39">
        <w:rPr>
          <w:rFonts w:ascii="Times New Roman" w:eastAsia="Calibri" w:hAnsi="Times New Roman" w:cs="Times New Roman"/>
          <w:sz w:val="24"/>
          <w:szCs w:val="24"/>
        </w:rPr>
        <w:t xml:space="preserve"> институт за правни инициативи и Фондация „Институт за модерна политика</w:t>
      </w:r>
      <w:r w:rsidR="00DF0C58">
        <w:rPr>
          <w:rFonts w:ascii="Times New Roman" w:eastAsia="Calibri" w:hAnsi="Times New Roman" w:cs="Times New Roman"/>
          <w:sz w:val="24"/>
          <w:szCs w:val="24"/>
        </w:rPr>
        <w:t>“</w:t>
      </w:r>
      <w:r w:rsidRPr="00FD4C39">
        <w:rPr>
          <w:rFonts w:ascii="Times New Roman" w:eastAsia="Calibri" w:hAnsi="Times New Roman" w:cs="Times New Roman"/>
          <w:sz w:val="24"/>
          <w:szCs w:val="24"/>
        </w:rPr>
        <w:t>.</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периода от 2 юли до 25 юли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проверяващите екипи извършват проверк</w:t>
      </w:r>
      <w:r w:rsidR="00DF0C58">
        <w:rPr>
          <w:rFonts w:ascii="Times New Roman" w:eastAsia="Calibri" w:hAnsi="Times New Roman" w:cs="Times New Roman"/>
          <w:sz w:val="24"/>
          <w:szCs w:val="24"/>
        </w:rPr>
        <w:t xml:space="preserve">и на 54 политически субекта (44 </w:t>
      </w:r>
      <w:r w:rsidRPr="00FD4C39">
        <w:rPr>
          <w:rFonts w:ascii="Times New Roman" w:eastAsia="Calibri" w:hAnsi="Times New Roman" w:cs="Times New Roman"/>
          <w:sz w:val="24"/>
          <w:szCs w:val="24"/>
        </w:rPr>
        <w:t xml:space="preserve">партии и </w:t>
      </w:r>
      <w:r w:rsidR="00DF0C58">
        <w:rPr>
          <w:rFonts w:ascii="Times New Roman" w:eastAsia="Calibri" w:hAnsi="Times New Roman" w:cs="Times New Roman"/>
          <w:sz w:val="24"/>
          <w:szCs w:val="24"/>
        </w:rPr>
        <w:t xml:space="preserve">10 </w:t>
      </w:r>
      <w:r w:rsidRPr="00FD4C39">
        <w:rPr>
          <w:rFonts w:ascii="Times New Roman" w:eastAsia="Calibri" w:hAnsi="Times New Roman" w:cs="Times New Roman"/>
          <w:sz w:val="24"/>
          <w:szCs w:val="24"/>
        </w:rPr>
        <w:t>инициативни комитета). Основната цел на КЗЛД е преустановяване на възможността за злоупотреби с личните данни на гражданите, участващи в подписки и проверка за спазване на ЗЗЛД от страна на политическите субекти. При проверките с</w:t>
      </w:r>
      <w:r w:rsidR="00DF0C58">
        <w:rPr>
          <w:rFonts w:ascii="Times New Roman" w:eastAsia="Calibri" w:hAnsi="Times New Roman" w:cs="Times New Roman"/>
          <w:sz w:val="24"/>
          <w:szCs w:val="24"/>
        </w:rPr>
        <w:t>е използват</w:t>
      </w:r>
      <w:r w:rsidRPr="00FD4C39">
        <w:rPr>
          <w:rFonts w:ascii="Times New Roman" w:eastAsia="Calibri" w:hAnsi="Times New Roman" w:cs="Times New Roman"/>
          <w:sz w:val="24"/>
          <w:szCs w:val="24"/>
        </w:rPr>
        <w:t xml:space="preserve"> методите на попълване на въпросници, интервюта и проверка на регистрите с лични данни по видовете сигурност.</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От извършените проверки се установява, че </w:t>
      </w:r>
      <w:r w:rsidRPr="00FD4C39">
        <w:rPr>
          <w:rFonts w:ascii="Times New Roman" w:eastAsia="Calibri" w:hAnsi="Times New Roman" w:cs="Times New Roman"/>
          <w:bCs/>
          <w:sz w:val="24"/>
          <w:szCs w:val="24"/>
        </w:rPr>
        <w:t>13 политически субекти спазват изискванията в областта на защитата на личните данни</w:t>
      </w:r>
      <w:r w:rsidRPr="00FD4C39">
        <w:rPr>
          <w:rFonts w:ascii="Times New Roman" w:eastAsia="Calibri" w:hAnsi="Times New Roman" w:cs="Times New Roman"/>
          <w:sz w:val="24"/>
          <w:szCs w:val="24"/>
        </w:rPr>
        <w:t xml:space="preserve">. За пропуски в изпълнение на задълженията по ЗЗЛД </w:t>
      </w:r>
      <w:r w:rsidRPr="00FD4C39">
        <w:rPr>
          <w:rFonts w:ascii="Times New Roman" w:eastAsia="Calibri" w:hAnsi="Times New Roman" w:cs="Times New Roman"/>
          <w:bCs/>
          <w:sz w:val="24"/>
          <w:szCs w:val="24"/>
        </w:rPr>
        <w:t xml:space="preserve">на 24 политически партии и инициативни комитети, като АЛД, </w:t>
      </w:r>
      <w:r w:rsidR="00DF0C58">
        <w:rPr>
          <w:rFonts w:ascii="Times New Roman" w:eastAsia="Calibri" w:hAnsi="Times New Roman" w:cs="Times New Roman"/>
          <w:bCs/>
          <w:sz w:val="24"/>
          <w:szCs w:val="24"/>
        </w:rPr>
        <w:lastRenderedPageBreak/>
        <w:t>КЗЛД издав</w:t>
      </w:r>
      <w:r w:rsidRPr="00FD4C39">
        <w:rPr>
          <w:rFonts w:ascii="Times New Roman" w:eastAsia="Calibri" w:hAnsi="Times New Roman" w:cs="Times New Roman"/>
          <w:bCs/>
          <w:sz w:val="24"/>
          <w:szCs w:val="24"/>
        </w:rPr>
        <w:t>а 23 ЗП</w:t>
      </w:r>
      <w:r w:rsidRPr="00FD4C39">
        <w:rPr>
          <w:rFonts w:ascii="Times New Roman" w:eastAsia="Calibri" w:hAnsi="Times New Roman" w:cs="Times New Roman"/>
          <w:sz w:val="24"/>
          <w:szCs w:val="24"/>
        </w:rPr>
        <w:t xml:space="preserve">, за които </w:t>
      </w:r>
      <w:r w:rsidR="00DF0C58">
        <w:rPr>
          <w:rFonts w:ascii="Times New Roman" w:eastAsia="Calibri" w:hAnsi="Times New Roman" w:cs="Times New Roman"/>
          <w:sz w:val="24"/>
          <w:szCs w:val="24"/>
        </w:rPr>
        <w:t>се дава</w:t>
      </w:r>
      <w:r w:rsidRPr="00FD4C39">
        <w:rPr>
          <w:rFonts w:ascii="Times New Roman" w:eastAsia="Calibri" w:hAnsi="Times New Roman" w:cs="Times New Roman"/>
          <w:sz w:val="24"/>
          <w:szCs w:val="24"/>
        </w:rPr>
        <w:t xml:space="preserve"> максимален едномесечен срок за отстраняването им. За констатираните нарушения </w:t>
      </w:r>
      <w:r w:rsidR="00DF0C58">
        <w:rPr>
          <w:rFonts w:ascii="Times New Roman" w:eastAsia="Calibri" w:hAnsi="Times New Roman" w:cs="Times New Roman"/>
          <w:bCs/>
          <w:sz w:val="24"/>
          <w:szCs w:val="24"/>
        </w:rPr>
        <w:t>се съставят и връчват</w:t>
      </w:r>
      <w:r w:rsidRPr="00FD4C39">
        <w:rPr>
          <w:rFonts w:ascii="Times New Roman" w:eastAsia="Calibri" w:hAnsi="Times New Roman" w:cs="Times New Roman"/>
          <w:bCs/>
          <w:sz w:val="24"/>
          <w:szCs w:val="24"/>
        </w:rPr>
        <w:t xml:space="preserve"> 32 АУАН на политически субекти</w:t>
      </w:r>
      <w:r w:rsidRPr="00FD4C39">
        <w:rPr>
          <w:rFonts w:ascii="Times New Roman" w:eastAsia="Calibri" w:hAnsi="Times New Roman" w:cs="Times New Roman"/>
          <w:sz w:val="24"/>
          <w:szCs w:val="24"/>
        </w:rPr>
        <w:t xml:space="preserve">. </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Най-много констатирани нарушения са свързани с неспазване на разпоредбите на Глава трета от ЗЗЛД, отнасящи се до задълженията на политическите субекти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 и</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18,</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 за регистрация и/или актуализация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преди да започне обработването на лични данни или настъпила промяна от първоначалното заявление за регистрация.</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нарушения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17,</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от ЗЗЛД с</w:t>
      </w:r>
      <w:r w:rsidR="00DF0C58">
        <w:rPr>
          <w:rFonts w:ascii="Times New Roman" w:eastAsia="Calibri" w:hAnsi="Times New Roman" w:cs="Times New Roman"/>
          <w:sz w:val="24"/>
          <w:szCs w:val="24"/>
        </w:rPr>
        <w:t>е съставят</w:t>
      </w:r>
      <w:r w:rsidRPr="00FD4C39">
        <w:rPr>
          <w:rFonts w:ascii="Times New Roman" w:eastAsia="Calibri" w:hAnsi="Times New Roman" w:cs="Times New Roman"/>
          <w:sz w:val="24"/>
          <w:szCs w:val="24"/>
        </w:rPr>
        <w:t xml:space="preserve"> 14 АУАН, 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18,</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 от ЗЗЛД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18 АУАН. Нарушенията се изразяват в това, че политическите субекти изобщо не са по</w:t>
      </w:r>
      <w:r w:rsidR="00DF0C58">
        <w:rPr>
          <w:rFonts w:ascii="Times New Roman" w:eastAsia="Calibri" w:hAnsi="Times New Roman" w:cs="Times New Roman"/>
          <w:sz w:val="24"/>
          <w:szCs w:val="24"/>
        </w:rPr>
        <w:t>давали заявление за регистрация</w:t>
      </w:r>
      <w:r w:rsidRPr="00FD4C39">
        <w:rPr>
          <w:rFonts w:ascii="Times New Roman" w:eastAsia="Calibri" w:hAnsi="Times New Roman" w:cs="Times New Roman"/>
          <w:sz w:val="24"/>
          <w:szCs w:val="24"/>
        </w:rPr>
        <w:t xml:space="preserve"> или имат такова, но не са заявили регистър, свързан с обработване на лични данни на физически лица</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участници в подписка</w:t>
      </w:r>
      <w:r w:rsidRPr="00FD4C39">
        <w:rPr>
          <w:rFonts w:ascii="Times New Roman" w:eastAsia="Calibri" w:hAnsi="Times New Roman" w:cs="Times New Roman"/>
          <w:bCs/>
          <w:sz w:val="24"/>
          <w:szCs w:val="24"/>
        </w:rPr>
        <w:t>,</w:t>
      </w:r>
      <w:r w:rsidRPr="00FD4C39">
        <w:rPr>
          <w:rFonts w:ascii="Times New Roman" w:eastAsia="Calibri" w:hAnsi="Times New Roman" w:cs="Times New Roman"/>
          <w:sz w:val="24"/>
          <w:szCs w:val="24"/>
        </w:rPr>
        <w:t xml:space="preserve"> подкрепящи регистрацията на политически субект за участие в избори за целите на регистрацията им, съгласно Изборния кодекс.</w:t>
      </w:r>
    </w:p>
    <w:p w:rsidR="000F1A9D" w:rsidRPr="00FD4C39" w:rsidRDefault="00DF0C58"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13 политически субекта се издават</w:t>
      </w:r>
      <w:r w:rsidR="000F1A9D" w:rsidRPr="00FD4C39">
        <w:rPr>
          <w:rFonts w:ascii="Times New Roman" w:eastAsia="Calibri" w:hAnsi="Times New Roman" w:cs="Times New Roman"/>
          <w:sz w:val="24"/>
          <w:szCs w:val="24"/>
        </w:rPr>
        <w:t xml:space="preserve"> ЗП да заявят регистри, свързани с обработване на лични данни на други категории физически лица</w:t>
      </w:r>
      <w:r w:rsidR="004D42A2">
        <w:rPr>
          <w:rFonts w:ascii="Times New Roman" w:eastAsia="Calibri" w:hAnsi="Times New Roman" w:cs="Times New Roman"/>
          <w:sz w:val="24"/>
          <w:szCs w:val="24"/>
        </w:rPr>
        <w:t xml:space="preserve"> – </w:t>
      </w:r>
      <w:r w:rsidR="000F1A9D" w:rsidRPr="00FD4C39">
        <w:rPr>
          <w:rFonts w:ascii="Times New Roman" w:eastAsia="Calibri" w:hAnsi="Times New Roman" w:cs="Times New Roman"/>
          <w:sz w:val="24"/>
          <w:szCs w:val="24"/>
        </w:rPr>
        <w:t xml:space="preserve">контрагенти, </w:t>
      </w:r>
      <w:proofErr w:type="spellStart"/>
      <w:r w:rsidR="000F1A9D" w:rsidRPr="00FD4C39">
        <w:rPr>
          <w:rFonts w:ascii="Times New Roman" w:eastAsia="Calibri" w:hAnsi="Times New Roman" w:cs="Times New Roman"/>
          <w:sz w:val="24"/>
          <w:szCs w:val="24"/>
        </w:rPr>
        <w:t>видеонаблюдение</w:t>
      </w:r>
      <w:proofErr w:type="spellEnd"/>
      <w:r w:rsidR="000F1A9D" w:rsidRPr="00FD4C39">
        <w:rPr>
          <w:rFonts w:ascii="Times New Roman" w:eastAsia="Calibri" w:hAnsi="Times New Roman" w:cs="Times New Roman"/>
          <w:sz w:val="24"/>
          <w:szCs w:val="24"/>
        </w:rPr>
        <w:t xml:space="preserve"> и др.</w:t>
      </w:r>
    </w:p>
    <w:p w:rsidR="000F1A9D" w:rsidRPr="00FD4C39" w:rsidRDefault="00DF0C58"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9 политически субекта се издават</w:t>
      </w:r>
      <w:r w:rsidR="000F1A9D" w:rsidRPr="00FD4C39">
        <w:rPr>
          <w:rFonts w:ascii="Times New Roman" w:eastAsia="Calibri" w:hAnsi="Times New Roman" w:cs="Times New Roman"/>
          <w:sz w:val="24"/>
          <w:szCs w:val="24"/>
        </w:rPr>
        <w:t xml:space="preserve"> ЗП за извършване на задължителна оценка на въздействието на поддържаните регистри с лични данни, т.е</w:t>
      </w:r>
      <w:r>
        <w:rPr>
          <w:rFonts w:ascii="Times New Roman" w:eastAsia="Calibri" w:hAnsi="Times New Roman" w:cs="Times New Roman"/>
          <w:sz w:val="24"/>
          <w:szCs w:val="24"/>
        </w:rPr>
        <w:t>.</w:t>
      </w:r>
      <w:r w:rsidR="000F1A9D" w:rsidRPr="00FD4C39">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извършване на</w:t>
      </w:r>
      <w:r w:rsidR="000F1A9D" w:rsidRPr="00FD4C39">
        <w:rPr>
          <w:rFonts w:ascii="Times New Roman" w:eastAsia="Calibri" w:hAnsi="Times New Roman" w:cs="Times New Roman"/>
          <w:sz w:val="24"/>
          <w:szCs w:val="24"/>
        </w:rPr>
        <w:t xml:space="preserve"> предварителна преценка на потенциалните рискове и опасности, които могат да настъпят при обработваните от тях лични данни, с цел предприемане на адекватни технически и организационни мерки за тяхната защита. Предписанията са във връзка с изискванията на Наредба № 1 от 30 януари 2013</w:t>
      </w:r>
      <w:r w:rsidR="004D42A2">
        <w:rPr>
          <w:rFonts w:ascii="Times New Roman" w:eastAsia="Calibri" w:hAnsi="Times New Roman" w:cs="Times New Roman"/>
          <w:sz w:val="24"/>
          <w:szCs w:val="24"/>
        </w:rPr>
        <w:t> г.</w:t>
      </w:r>
      <w:r w:rsidR="000F1A9D" w:rsidRPr="00FD4C39">
        <w:rPr>
          <w:rFonts w:ascii="Times New Roman" w:eastAsia="Calibri" w:hAnsi="Times New Roman" w:cs="Times New Roman"/>
          <w:sz w:val="24"/>
          <w:szCs w:val="24"/>
        </w:rPr>
        <w:t xml:space="preserve"> за минималното ниво на технически и организационни мерки и допустимия вид защита на личните данни.</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 6 политически су</w:t>
      </w:r>
      <w:r w:rsidR="00DF0C58">
        <w:rPr>
          <w:rFonts w:ascii="Times New Roman" w:eastAsia="Calibri" w:hAnsi="Times New Roman" w:cs="Times New Roman"/>
          <w:sz w:val="24"/>
          <w:szCs w:val="24"/>
        </w:rPr>
        <w:t>бекта се издават</w:t>
      </w:r>
      <w:r w:rsidRPr="00FD4C39">
        <w:rPr>
          <w:rFonts w:ascii="Times New Roman" w:eastAsia="Calibri" w:hAnsi="Times New Roman" w:cs="Times New Roman"/>
          <w:sz w:val="24"/>
          <w:szCs w:val="24"/>
        </w:rPr>
        <w:t xml:space="preserve"> предписания </w:t>
      </w:r>
      <w:r w:rsidR="00DF0C58">
        <w:rPr>
          <w:rFonts w:ascii="Times New Roman" w:eastAsia="Calibri" w:hAnsi="Times New Roman" w:cs="Times New Roman"/>
          <w:sz w:val="24"/>
          <w:szCs w:val="24"/>
        </w:rPr>
        <w:t>за преустановяване на</w:t>
      </w:r>
      <w:r w:rsidRPr="00FD4C39">
        <w:rPr>
          <w:rFonts w:ascii="Times New Roman" w:eastAsia="Calibri" w:hAnsi="Times New Roman" w:cs="Times New Roman"/>
          <w:sz w:val="24"/>
          <w:szCs w:val="24"/>
        </w:rPr>
        <w:t xml:space="preserve"> изискването и съхранение на копие от документ за самоличност на физически лица при сключване на трудов договор.</w:t>
      </w:r>
    </w:p>
    <w:p w:rsidR="000F1A9D" w:rsidRPr="00FD4C39" w:rsidRDefault="00DF0C58"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време на проверките се</w:t>
      </w:r>
      <w:r w:rsidR="000F1A9D" w:rsidRPr="00FD4C39">
        <w:rPr>
          <w:rFonts w:ascii="Times New Roman" w:eastAsia="Calibri" w:hAnsi="Times New Roman" w:cs="Times New Roman"/>
          <w:sz w:val="24"/>
          <w:szCs w:val="24"/>
        </w:rPr>
        <w:t xml:space="preserve"> установ</w:t>
      </w:r>
      <w:r>
        <w:rPr>
          <w:rFonts w:ascii="Times New Roman" w:eastAsia="Calibri" w:hAnsi="Times New Roman" w:cs="Times New Roman"/>
          <w:sz w:val="24"/>
          <w:szCs w:val="24"/>
        </w:rPr>
        <w:t>ява</w:t>
      </w:r>
      <w:r w:rsidR="000F1A9D" w:rsidRPr="00FD4C39">
        <w:rPr>
          <w:rFonts w:ascii="Times New Roman" w:eastAsia="Calibri" w:hAnsi="Times New Roman" w:cs="Times New Roman"/>
          <w:sz w:val="24"/>
          <w:szCs w:val="24"/>
        </w:rPr>
        <w:t>, че 5 политически субекта продължават да съхраняват копие на списъците от подписките</w:t>
      </w:r>
      <w:r>
        <w:rPr>
          <w:rFonts w:ascii="Times New Roman" w:eastAsia="Calibri" w:hAnsi="Times New Roman" w:cs="Times New Roman"/>
          <w:bCs/>
          <w:sz w:val="24"/>
          <w:szCs w:val="24"/>
        </w:rPr>
        <w:t>, за което</w:t>
      </w:r>
      <w:r w:rsidR="000F1A9D" w:rsidRPr="00FD4C39">
        <w:rPr>
          <w:rFonts w:ascii="Times New Roman" w:eastAsia="Calibri" w:hAnsi="Times New Roman" w:cs="Times New Roman"/>
          <w:bCs/>
          <w:sz w:val="24"/>
          <w:szCs w:val="24"/>
        </w:rPr>
        <w:t xml:space="preserve"> им</w:t>
      </w:r>
      <w:r>
        <w:rPr>
          <w:rFonts w:ascii="Times New Roman" w:eastAsia="Calibri" w:hAnsi="Times New Roman" w:cs="Times New Roman"/>
          <w:bCs/>
          <w:sz w:val="24"/>
          <w:szCs w:val="24"/>
        </w:rPr>
        <w:t xml:space="preserve"> се</w:t>
      </w:r>
      <w:r w:rsidR="000F1A9D" w:rsidRPr="00FD4C39">
        <w:rPr>
          <w:rFonts w:ascii="Times New Roman" w:eastAsia="Calibri" w:hAnsi="Times New Roman" w:cs="Times New Roman"/>
          <w:bCs/>
          <w:sz w:val="24"/>
          <w:szCs w:val="24"/>
        </w:rPr>
        <w:t xml:space="preserve"> изда</w:t>
      </w:r>
      <w:r>
        <w:rPr>
          <w:rFonts w:ascii="Times New Roman" w:eastAsia="Calibri" w:hAnsi="Times New Roman" w:cs="Times New Roman"/>
          <w:bCs/>
          <w:sz w:val="24"/>
          <w:szCs w:val="24"/>
        </w:rPr>
        <w:t>ват</w:t>
      </w:r>
      <w:r w:rsidR="000F1A9D" w:rsidRPr="00FD4C39">
        <w:rPr>
          <w:rFonts w:ascii="Times New Roman" w:eastAsia="Calibri" w:hAnsi="Times New Roman" w:cs="Times New Roman"/>
          <w:bCs/>
          <w:sz w:val="24"/>
          <w:szCs w:val="24"/>
        </w:rPr>
        <w:t xml:space="preserve"> ЗП да ги унищожат и представят </w:t>
      </w:r>
      <w:proofErr w:type="spellStart"/>
      <w:r w:rsidR="000F1A9D" w:rsidRPr="00FD4C39">
        <w:rPr>
          <w:rFonts w:ascii="Times New Roman" w:eastAsia="Calibri" w:hAnsi="Times New Roman" w:cs="Times New Roman"/>
          <w:bCs/>
          <w:sz w:val="24"/>
          <w:szCs w:val="24"/>
        </w:rPr>
        <w:t>относими</w:t>
      </w:r>
      <w:proofErr w:type="spellEnd"/>
      <w:r w:rsidR="000F1A9D" w:rsidRPr="00FD4C39">
        <w:rPr>
          <w:rFonts w:ascii="Times New Roman" w:eastAsia="Calibri" w:hAnsi="Times New Roman" w:cs="Times New Roman"/>
          <w:bCs/>
          <w:sz w:val="24"/>
          <w:szCs w:val="24"/>
        </w:rPr>
        <w:t xml:space="preserve"> доказателства.</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 нарушения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19 от ЗЗЛД на 3 политически субекта с</w:t>
      </w:r>
      <w:r w:rsidR="00DF0C58">
        <w:rPr>
          <w:rFonts w:ascii="Times New Roman" w:eastAsia="Calibri" w:hAnsi="Times New Roman" w:cs="Times New Roman"/>
          <w:sz w:val="24"/>
          <w:szCs w:val="24"/>
        </w:rPr>
        <w:t>е издават</w:t>
      </w:r>
      <w:r w:rsidRPr="00FD4C39">
        <w:rPr>
          <w:rFonts w:ascii="Times New Roman" w:eastAsia="Calibri" w:hAnsi="Times New Roman" w:cs="Times New Roman"/>
          <w:sz w:val="24"/>
          <w:szCs w:val="24"/>
        </w:rPr>
        <w:t xml:space="preserve"> ЗП да се предоставя на физическите лица</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кандидати за членове на партията, в писмен вид информация, която идентифицира администратора и неговия представител, както и </w:t>
      </w:r>
      <w:r w:rsidRPr="00FD4C39">
        <w:rPr>
          <w:rFonts w:ascii="Times New Roman" w:eastAsia="Calibri" w:hAnsi="Times New Roman" w:cs="Times New Roman"/>
          <w:sz w:val="24"/>
          <w:szCs w:val="24"/>
        </w:rPr>
        <w:lastRenderedPageBreak/>
        <w:t>целите на обработването на личните данни при обработването на лични данни при кандидатстване за членство.</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 осъществяване на проверка на един от политическите субекти на </w:t>
      </w:r>
      <w:r w:rsidR="00DF0C58">
        <w:rPr>
          <w:rFonts w:ascii="Times New Roman" w:eastAsia="Calibri" w:hAnsi="Times New Roman" w:cs="Times New Roman"/>
          <w:sz w:val="24"/>
          <w:szCs w:val="24"/>
        </w:rPr>
        <w:t>проверяващия екип не се</w:t>
      </w:r>
      <w:r w:rsidRPr="00FD4C39">
        <w:rPr>
          <w:rFonts w:ascii="Times New Roman" w:eastAsia="Calibri" w:hAnsi="Times New Roman" w:cs="Times New Roman"/>
          <w:sz w:val="24"/>
          <w:szCs w:val="24"/>
        </w:rPr>
        <w:t xml:space="preserve"> оказ</w:t>
      </w:r>
      <w:r w:rsidR="00DF0C58">
        <w:rPr>
          <w:rFonts w:ascii="Times New Roman" w:hAnsi="Times New Roman" w:cs="Times New Roman"/>
          <w:sz w:val="24"/>
          <w:szCs w:val="24"/>
        </w:rPr>
        <w:t>ва</w:t>
      </w:r>
      <w:r w:rsidRPr="00FD4C39">
        <w:rPr>
          <w:rFonts w:ascii="Times New Roman" w:eastAsia="Calibri" w:hAnsi="Times New Roman" w:cs="Times New Roman"/>
          <w:sz w:val="24"/>
          <w:szCs w:val="24"/>
        </w:rPr>
        <w:t xml:space="preserve"> съдействие, съгласно разпоредби</w:t>
      </w:r>
      <w:r w:rsidR="00DF0C58">
        <w:rPr>
          <w:rFonts w:ascii="Times New Roman" w:eastAsia="Calibri" w:hAnsi="Times New Roman" w:cs="Times New Roman"/>
          <w:sz w:val="24"/>
          <w:szCs w:val="24"/>
        </w:rPr>
        <w:t>те на</w:t>
      </w:r>
      <w:r w:rsidR="00884B97">
        <w:rPr>
          <w:rFonts w:ascii="Times New Roman" w:eastAsia="Calibri" w:hAnsi="Times New Roman" w:cs="Times New Roman"/>
          <w:sz w:val="24"/>
          <w:szCs w:val="24"/>
        </w:rPr>
        <w:t xml:space="preserve"> чл. </w:t>
      </w:r>
      <w:r w:rsidR="00DF0C58">
        <w:rPr>
          <w:rFonts w:ascii="Times New Roman" w:eastAsia="Calibri" w:hAnsi="Times New Roman" w:cs="Times New Roman"/>
          <w:sz w:val="24"/>
          <w:szCs w:val="24"/>
        </w:rPr>
        <w:t>22 от ЗЗЛД, за което се</w:t>
      </w:r>
      <w:r w:rsidRPr="00FD4C39">
        <w:rPr>
          <w:rFonts w:ascii="Times New Roman" w:eastAsia="Calibri" w:hAnsi="Times New Roman" w:cs="Times New Roman"/>
          <w:sz w:val="24"/>
          <w:szCs w:val="24"/>
        </w:rPr>
        <w:t xml:space="preserve"> състав</w:t>
      </w:r>
      <w:r w:rsidR="00DF0C58">
        <w:rPr>
          <w:rFonts w:ascii="Times New Roman" w:eastAsia="Calibri" w:hAnsi="Times New Roman" w:cs="Times New Roman"/>
          <w:sz w:val="24"/>
          <w:szCs w:val="24"/>
        </w:rPr>
        <w:t>я</w:t>
      </w:r>
      <w:r w:rsidRPr="00FD4C39">
        <w:rPr>
          <w:rFonts w:ascii="Times New Roman" w:eastAsia="Calibri" w:hAnsi="Times New Roman" w:cs="Times New Roman"/>
          <w:sz w:val="24"/>
          <w:szCs w:val="24"/>
        </w:rPr>
        <w:t xml:space="preserve"> акт за установяване на административно нарушение.</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От общо издадените 23 ЗП</w:t>
      </w:r>
      <w:r w:rsidR="00955C09"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9 с</w:t>
      </w:r>
      <w:r w:rsidR="00DF0C58">
        <w:rPr>
          <w:rFonts w:ascii="Times New Roman" w:eastAsia="Calibri" w:hAnsi="Times New Roman" w:cs="Times New Roman"/>
          <w:sz w:val="24"/>
          <w:szCs w:val="24"/>
        </w:rPr>
        <w:t>е изпълняват</w:t>
      </w:r>
      <w:r w:rsidRPr="00FD4C39">
        <w:rPr>
          <w:rFonts w:ascii="Times New Roman" w:eastAsia="Calibri" w:hAnsi="Times New Roman" w:cs="Times New Roman"/>
          <w:sz w:val="24"/>
          <w:szCs w:val="24"/>
        </w:rPr>
        <w:t xml:space="preserve"> в определените от КЗЛД срокове, а останалите са в процес на изпълнение.</w:t>
      </w:r>
    </w:p>
    <w:p w:rsidR="00096555"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Въз основа на съставените 32 АУАН към настоящия момент </w:t>
      </w:r>
      <w:r w:rsidR="008271A0">
        <w:rPr>
          <w:rFonts w:ascii="Times New Roman" w:eastAsia="Calibri" w:hAnsi="Times New Roman" w:cs="Times New Roman"/>
          <w:sz w:val="24"/>
          <w:szCs w:val="24"/>
        </w:rPr>
        <w:t>има</w:t>
      </w:r>
      <w:r w:rsidRPr="00FD4C39">
        <w:rPr>
          <w:rFonts w:ascii="Times New Roman" w:eastAsia="Calibri" w:hAnsi="Times New Roman" w:cs="Times New Roman"/>
          <w:sz w:val="24"/>
          <w:szCs w:val="24"/>
        </w:rPr>
        <w:t xml:space="preserve"> 26 НП</w:t>
      </w:r>
      <w:r w:rsidR="00096555" w:rsidRPr="00FD4C39">
        <w:rPr>
          <w:rFonts w:ascii="Times New Roman" w:eastAsia="Calibri" w:hAnsi="Times New Roman" w:cs="Times New Roman"/>
          <w:sz w:val="24"/>
          <w:szCs w:val="24"/>
        </w:rPr>
        <w:t>.</w:t>
      </w:r>
    </w:p>
    <w:p w:rsidR="00096555" w:rsidRPr="00FD4C39" w:rsidRDefault="00096555" w:rsidP="00096555">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 мотивирани резолюции на председателя на КЗЛД,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34,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3 и</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54 от ЗАНН с</w:t>
      </w:r>
      <w:r w:rsidR="008271A0">
        <w:rPr>
          <w:rFonts w:ascii="Times New Roman" w:eastAsia="Calibri" w:hAnsi="Times New Roman" w:cs="Times New Roman"/>
          <w:sz w:val="24"/>
          <w:szCs w:val="24"/>
        </w:rPr>
        <w:t xml:space="preserve">е прекратяват 2 </w:t>
      </w:r>
      <w:proofErr w:type="spellStart"/>
      <w:r w:rsidR="008271A0">
        <w:rPr>
          <w:rFonts w:ascii="Times New Roman" w:eastAsia="Calibri" w:hAnsi="Times New Roman" w:cs="Times New Roman"/>
          <w:sz w:val="24"/>
          <w:szCs w:val="24"/>
        </w:rPr>
        <w:t>административнонаказателни</w:t>
      </w:r>
      <w:proofErr w:type="spellEnd"/>
      <w:r w:rsidR="008271A0">
        <w:rPr>
          <w:rFonts w:ascii="Times New Roman" w:eastAsia="Calibri" w:hAnsi="Times New Roman" w:cs="Times New Roman"/>
          <w:sz w:val="24"/>
          <w:szCs w:val="24"/>
        </w:rPr>
        <w:t xml:space="preserve"> производства (АНП) </w:t>
      </w:r>
      <w:r w:rsidRPr="00FD4C39">
        <w:rPr>
          <w:rFonts w:ascii="Times New Roman" w:eastAsia="Calibri" w:hAnsi="Times New Roman" w:cs="Times New Roman"/>
          <w:sz w:val="24"/>
          <w:szCs w:val="24"/>
        </w:rPr>
        <w:t>против инициативни комитети, създадени по Закона за пряко участие н</w:t>
      </w:r>
      <w:r w:rsidR="008271A0">
        <w:rPr>
          <w:rFonts w:ascii="Times New Roman" w:eastAsia="Calibri" w:hAnsi="Times New Roman" w:cs="Times New Roman"/>
          <w:sz w:val="24"/>
          <w:szCs w:val="24"/>
        </w:rPr>
        <w:t>а гражданите в държавната власт</w:t>
      </w:r>
      <w:r w:rsidRPr="00FD4C39">
        <w:rPr>
          <w:rFonts w:ascii="Times New Roman" w:eastAsia="Calibri" w:hAnsi="Times New Roman" w:cs="Times New Roman"/>
          <w:sz w:val="24"/>
          <w:szCs w:val="24"/>
        </w:rPr>
        <w:t xml:space="preserve"> и местното самоуправление (ЗПУГДВМС) и Изборния кодекс. Съгласно разпоредбите н</w:t>
      </w:r>
      <w:r w:rsidR="008271A0">
        <w:rPr>
          <w:rFonts w:ascii="Times New Roman" w:eastAsia="Calibri" w:hAnsi="Times New Roman" w:cs="Times New Roman"/>
          <w:sz w:val="24"/>
          <w:szCs w:val="24"/>
        </w:rPr>
        <w:t xml:space="preserve">а цитираните нормативни актове </w:t>
      </w:r>
      <w:r w:rsidRPr="00FD4C39">
        <w:rPr>
          <w:rFonts w:ascii="Times New Roman" w:eastAsia="Calibri" w:hAnsi="Times New Roman" w:cs="Times New Roman"/>
          <w:sz w:val="24"/>
          <w:szCs w:val="24"/>
        </w:rPr>
        <w:t>инициативните комитети се създават с определена цел и действат като такива за определен период от време, предвиден в съответния закон. С оглед настъпилите обстоятелства и прекратяване на дейността, за която е създаден, поради липса на субект, спрямо когото д</w:t>
      </w:r>
      <w:r w:rsidR="008271A0">
        <w:rPr>
          <w:rFonts w:ascii="Times New Roman" w:eastAsia="Calibri" w:hAnsi="Times New Roman" w:cs="Times New Roman"/>
          <w:sz w:val="24"/>
          <w:szCs w:val="24"/>
        </w:rPr>
        <w:t xml:space="preserve">а се издаде НП, </w:t>
      </w:r>
      <w:proofErr w:type="spellStart"/>
      <w:r w:rsidR="008271A0">
        <w:rPr>
          <w:rFonts w:ascii="Times New Roman" w:eastAsia="Calibri" w:hAnsi="Times New Roman" w:cs="Times New Roman"/>
          <w:sz w:val="24"/>
          <w:szCs w:val="24"/>
        </w:rPr>
        <w:t>административнонаказващият</w:t>
      </w:r>
      <w:proofErr w:type="spellEnd"/>
      <w:r w:rsidR="008271A0">
        <w:rPr>
          <w:rFonts w:ascii="Times New Roman" w:eastAsia="Calibri" w:hAnsi="Times New Roman" w:cs="Times New Roman"/>
          <w:sz w:val="24"/>
          <w:szCs w:val="24"/>
        </w:rPr>
        <w:t xml:space="preserve"> орган</w:t>
      </w:r>
      <w:r w:rsidRPr="00FD4C39">
        <w:rPr>
          <w:rFonts w:ascii="Times New Roman" w:eastAsia="Calibri" w:hAnsi="Times New Roman" w:cs="Times New Roman"/>
          <w:sz w:val="24"/>
          <w:szCs w:val="24"/>
        </w:rPr>
        <w:t xml:space="preserve"> прекра</w:t>
      </w:r>
      <w:r w:rsidR="008271A0">
        <w:rPr>
          <w:rFonts w:ascii="Times New Roman" w:eastAsia="Calibri" w:hAnsi="Times New Roman" w:cs="Times New Roman"/>
          <w:sz w:val="24"/>
          <w:szCs w:val="24"/>
        </w:rPr>
        <w:t>тява</w:t>
      </w:r>
      <w:r w:rsidRPr="00FD4C39">
        <w:rPr>
          <w:rFonts w:ascii="Times New Roman" w:eastAsia="Calibri" w:hAnsi="Times New Roman" w:cs="Times New Roman"/>
          <w:sz w:val="24"/>
          <w:szCs w:val="24"/>
        </w:rPr>
        <w:t xml:space="preserve"> АНП.</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По връчените НП към настоящия момент </w:t>
      </w:r>
      <w:r w:rsidR="008271A0">
        <w:rPr>
          <w:rFonts w:ascii="Times New Roman" w:eastAsia="Calibri" w:hAnsi="Times New Roman" w:cs="Times New Roman"/>
          <w:sz w:val="24"/>
          <w:szCs w:val="24"/>
        </w:rPr>
        <w:t>има</w:t>
      </w:r>
      <w:r w:rsidRPr="00FD4C39">
        <w:rPr>
          <w:rFonts w:ascii="Times New Roman" w:eastAsia="Calibri" w:hAnsi="Times New Roman" w:cs="Times New Roman"/>
          <w:sz w:val="24"/>
          <w:szCs w:val="24"/>
        </w:rPr>
        <w:t xml:space="preserve"> жалби по 12 НП.</w:t>
      </w:r>
    </w:p>
    <w:p w:rsidR="0098132E" w:rsidRPr="00FD4C39" w:rsidRDefault="0098132E" w:rsidP="007B189E">
      <w:pPr>
        <w:spacing w:after="0" w:line="360" w:lineRule="auto"/>
        <w:ind w:firstLine="709"/>
        <w:jc w:val="both"/>
        <w:rPr>
          <w:rFonts w:ascii="Times New Roman" w:eastAsia="Calibri" w:hAnsi="Times New Roman" w:cs="Times New Roman"/>
          <w:b/>
          <w:sz w:val="24"/>
          <w:szCs w:val="24"/>
        </w:rPr>
      </w:pPr>
    </w:p>
    <w:p w:rsidR="000F1A9D" w:rsidRPr="00FD4C39" w:rsidRDefault="000F1A9D"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2. Разглеждане на жалби по реда на</w:t>
      </w:r>
      <w:r w:rsidR="00884B97">
        <w:rPr>
          <w:rFonts w:ascii="Times New Roman" w:eastAsia="Calibri" w:hAnsi="Times New Roman" w:cs="Times New Roman"/>
          <w:b/>
          <w:sz w:val="24"/>
          <w:szCs w:val="24"/>
        </w:rPr>
        <w:t xml:space="preserve"> чл. </w:t>
      </w:r>
      <w:r w:rsidRPr="00FD4C39">
        <w:rPr>
          <w:rFonts w:ascii="Times New Roman" w:eastAsia="Calibri" w:hAnsi="Times New Roman" w:cs="Times New Roman"/>
          <w:b/>
          <w:sz w:val="24"/>
          <w:szCs w:val="24"/>
        </w:rPr>
        <w:t>38 от ЗЗЛД</w:t>
      </w:r>
    </w:p>
    <w:p w:rsidR="00950B4C"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 отношение на постъпилите 1380 жалби и сигнали срещу политиче</w:t>
      </w:r>
      <w:r w:rsidR="008271A0">
        <w:rPr>
          <w:rFonts w:ascii="Times New Roman" w:eastAsia="Calibri" w:hAnsi="Times New Roman" w:cs="Times New Roman"/>
          <w:sz w:val="24"/>
          <w:szCs w:val="24"/>
        </w:rPr>
        <w:t>ски субекти през 2014</w:t>
      </w:r>
      <w:r w:rsidR="004D42A2">
        <w:rPr>
          <w:rFonts w:ascii="Times New Roman" w:eastAsia="Calibri" w:hAnsi="Times New Roman" w:cs="Times New Roman"/>
          <w:sz w:val="24"/>
          <w:szCs w:val="24"/>
        </w:rPr>
        <w:t> г.</w:t>
      </w:r>
      <w:r w:rsidR="008271A0">
        <w:rPr>
          <w:rFonts w:ascii="Times New Roman" w:eastAsia="Calibri" w:hAnsi="Times New Roman" w:cs="Times New Roman"/>
          <w:sz w:val="24"/>
          <w:szCs w:val="24"/>
        </w:rPr>
        <w:t xml:space="preserve"> КЗЛД предприема</w:t>
      </w:r>
      <w:r w:rsidRPr="00FD4C39">
        <w:rPr>
          <w:rFonts w:ascii="Times New Roman" w:eastAsia="Calibri" w:hAnsi="Times New Roman" w:cs="Times New Roman"/>
          <w:sz w:val="24"/>
          <w:szCs w:val="24"/>
        </w:rPr>
        <w:t xml:space="preserve"> следните действия:</w:t>
      </w:r>
      <w:r w:rsidR="00950B4C" w:rsidRPr="00FD4C39">
        <w:rPr>
          <w:rFonts w:ascii="Times New Roman" w:eastAsia="Calibri" w:hAnsi="Times New Roman" w:cs="Times New Roman"/>
          <w:sz w:val="24"/>
          <w:szCs w:val="24"/>
        </w:rPr>
        <w:t>.</w:t>
      </w:r>
    </w:p>
    <w:p w:rsidR="000F1A9D" w:rsidRPr="00FD4C39" w:rsidRDefault="000F1A9D" w:rsidP="007B189E">
      <w:pPr>
        <w:spacing w:after="0" w:line="360" w:lineRule="auto"/>
        <w:ind w:firstLine="709"/>
        <w:jc w:val="both"/>
        <w:rPr>
          <w:rFonts w:ascii="Times New Roman" w:eastAsia="Calibri" w:hAnsi="Times New Roman" w:cs="Times New Roman"/>
          <w:sz w:val="24"/>
          <w:szCs w:val="24"/>
          <w:highlight w:val="green"/>
        </w:rPr>
      </w:pPr>
      <w:r w:rsidRPr="00FD4C39">
        <w:rPr>
          <w:rFonts w:ascii="Times New Roman" w:eastAsia="Calibri" w:hAnsi="Times New Roman" w:cs="Times New Roman"/>
          <w:sz w:val="24"/>
          <w:szCs w:val="24"/>
        </w:rPr>
        <w:t>Подад</w:t>
      </w:r>
      <w:r w:rsidR="008271A0">
        <w:rPr>
          <w:rFonts w:ascii="Times New Roman" w:eastAsia="Calibri" w:hAnsi="Times New Roman" w:cs="Times New Roman"/>
          <w:sz w:val="24"/>
          <w:szCs w:val="24"/>
        </w:rPr>
        <w:t>ените жалби се групират</w:t>
      </w:r>
      <w:r w:rsidRPr="00FD4C39">
        <w:rPr>
          <w:rFonts w:ascii="Times New Roman" w:eastAsia="Calibri" w:hAnsi="Times New Roman" w:cs="Times New Roman"/>
          <w:sz w:val="24"/>
          <w:szCs w:val="24"/>
        </w:rPr>
        <w:t xml:space="preserve"> по политически субекти за целите на административните производст</w:t>
      </w:r>
      <w:r w:rsidR="008271A0">
        <w:rPr>
          <w:rFonts w:ascii="Times New Roman" w:eastAsia="Calibri" w:hAnsi="Times New Roman" w:cs="Times New Roman"/>
          <w:sz w:val="24"/>
          <w:szCs w:val="24"/>
        </w:rPr>
        <w:t>ва по реда на ЗЗЛД и АПК. КЗЛД изисква и получава</w:t>
      </w:r>
      <w:r w:rsidRPr="00FD4C39">
        <w:rPr>
          <w:rFonts w:ascii="Times New Roman" w:eastAsia="Calibri" w:hAnsi="Times New Roman" w:cs="Times New Roman"/>
          <w:sz w:val="24"/>
          <w:szCs w:val="24"/>
        </w:rPr>
        <w:t xml:space="preserve"> от ЦИК доказателства за наличието на личните данни на жалбоподателите в съответния списък на избирателите, подкрепящи регистрацията на политическите партии и на коалициите от партии.</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След анализ на жалбите се установява, че в повече от две трети от тях липсва информация, коят</w:t>
      </w:r>
      <w:r w:rsidR="008271A0">
        <w:rPr>
          <w:rFonts w:ascii="Times New Roman" w:eastAsia="Calibri" w:hAnsi="Times New Roman" w:cs="Times New Roman"/>
          <w:sz w:val="24"/>
          <w:szCs w:val="24"/>
        </w:rPr>
        <w:t>о да идентифицира лицето, подаващо</w:t>
      </w:r>
      <w:r w:rsidRPr="00FD4C39">
        <w:rPr>
          <w:rFonts w:ascii="Times New Roman" w:eastAsia="Calibri" w:hAnsi="Times New Roman" w:cs="Times New Roman"/>
          <w:sz w:val="24"/>
          <w:szCs w:val="24"/>
        </w:rPr>
        <w:t xml:space="preserve"> сигнала или жалбата. Въпреки предприетите действия за отстран</w:t>
      </w:r>
      <w:r w:rsidR="008271A0">
        <w:rPr>
          <w:rFonts w:ascii="Times New Roman" w:eastAsia="Calibri" w:hAnsi="Times New Roman" w:cs="Times New Roman"/>
          <w:sz w:val="24"/>
          <w:szCs w:val="24"/>
        </w:rPr>
        <w:t>яване на пропуските</w:t>
      </w:r>
      <w:r w:rsidRPr="00FD4C39">
        <w:rPr>
          <w:rFonts w:ascii="Times New Roman" w:eastAsia="Calibri" w:hAnsi="Times New Roman" w:cs="Times New Roman"/>
          <w:sz w:val="24"/>
          <w:szCs w:val="24"/>
        </w:rPr>
        <w:t xml:space="preserve"> не всички граждани представят единен граждански номер, адрес или подписват подадената до различните институции жалба или сигнал. </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От всички 1380 сигнала и жалби едва 496</w:t>
      </w:r>
      <w:r w:rsidRPr="00FD4C39">
        <w:rPr>
          <w:rFonts w:ascii="Times New Roman" w:eastAsia="Calibri" w:hAnsi="Times New Roman" w:cs="Times New Roman"/>
          <w:color w:val="FF0000"/>
          <w:sz w:val="24"/>
          <w:szCs w:val="24"/>
        </w:rPr>
        <w:t xml:space="preserve"> </w:t>
      </w:r>
      <w:r w:rsidRPr="00FD4C39">
        <w:rPr>
          <w:rFonts w:ascii="Times New Roman" w:eastAsia="Calibri" w:hAnsi="Times New Roman" w:cs="Times New Roman"/>
          <w:sz w:val="24"/>
          <w:szCs w:val="24"/>
        </w:rPr>
        <w:t>се оказват годни за разглеждане от КЗЛД и събиране на необходимите доказателства по тях. Всички те с</w:t>
      </w:r>
      <w:r w:rsidR="008271A0">
        <w:rPr>
          <w:rFonts w:ascii="Times New Roman" w:eastAsia="Calibri" w:hAnsi="Times New Roman" w:cs="Times New Roman"/>
          <w:sz w:val="24"/>
          <w:szCs w:val="24"/>
        </w:rPr>
        <w:t>е разглеждат</w:t>
      </w:r>
      <w:r w:rsidRPr="00FD4C39">
        <w:rPr>
          <w:rFonts w:ascii="Times New Roman" w:eastAsia="Calibri" w:hAnsi="Times New Roman" w:cs="Times New Roman"/>
          <w:sz w:val="24"/>
          <w:szCs w:val="24"/>
        </w:rPr>
        <w:t xml:space="preserve"> на открити заседания през отчетния период.  </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хода на разглеждане на жалбите КЗЛД </w:t>
      </w:r>
      <w:r w:rsidR="008271A0">
        <w:rPr>
          <w:rFonts w:ascii="Times New Roman" w:eastAsia="Calibri" w:hAnsi="Times New Roman" w:cs="Times New Roman"/>
          <w:sz w:val="24"/>
          <w:szCs w:val="24"/>
        </w:rPr>
        <w:t>взема</w:t>
      </w:r>
      <w:r w:rsidRPr="00FD4C39">
        <w:rPr>
          <w:rFonts w:ascii="Times New Roman" w:eastAsia="Calibri" w:hAnsi="Times New Roman" w:cs="Times New Roman"/>
          <w:sz w:val="24"/>
          <w:szCs w:val="24"/>
        </w:rPr>
        <w:t xml:space="preserve"> решение за наз</w:t>
      </w:r>
      <w:r w:rsidR="002466FF" w:rsidRPr="00FD4C39">
        <w:rPr>
          <w:rFonts w:ascii="Times New Roman" w:eastAsia="Calibri" w:hAnsi="Times New Roman" w:cs="Times New Roman"/>
          <w:sz w:val="24"/>
          <w:szCs w:val="24"/>
        </w:rPr>
        <w:t>на</w:t>
      </w:r>
      <w:r w:rsidRPr="00FD4C39">
        <w:rPr>
          <w:rFonts w:ascii="Times New Roman" w:eastAsia="Calibri" w:hAnsi="Times New Roman" w:cs="Times New Roman"/>
          <w:sz w:val="24"/>
          <w:szCs w:val="24"/>
        </w:rPr>
        <w:t xml:space="preserve">чаване на </w:t>
      </w:r>
      <w:r w:rsidRPr="00FD4C39">
        <w:rPr>
          <w:rFonts w:ascii="Times New Roman" w:hAnsi="Times New Roman" w:cs="Times New Roman"/>
          <w:sz w:val="24"/>
          <w:szCs w:val="24"/>
        </w:rPr>
        <w:t xml:space="preserve">експертизи на подписите на физическите лица, съдържащи се в съответните списъци на избиратели, подкрепящи регистрацията на партии и коалиции за </w:t>
      </w:r>
      <w:r w:rsidR="008271A0">
        <w:rPr>
          <w:rFonts w:ascii="Times New Roman" w:hAnsi="Times New Roman" w:cs="Times New Roman"/>
          <w:sz w:val="24"/>
          <w:szCs w:val="24"/>
        </w:rPr>
        <w:t>участие в изборите. За тази цел се</w:t>
      </w:r>
      <w:r w:rsidRPr="00FD4C39">
        <w:rPr>
          <w:rFonts w:ascii="Times New Roman" w:eastAsia="Calibri" w:hAnsi="Times New Roman" w:cs="Times New Roman"/>
          <w:sz w:val="24"/>
          <w:szCs w:val="24"/>
        </w:rPr>
        <w:t xml:space="preserve"> поиск</w:t>
      </w:r>
      <w:r w:rsidR="008271A0">
        <w:rPr>
          <w:rFonts w:ascii="Times New Roman" w:eastAsia="Calibri" w:hAnsi="Times New Roman" w:cs="Times New Roman"/>
          <w:sz w:val="24"/>
          <w:szCs w:val="24"/>
        </w:rPr>
        <w:t>ва</w:t>
      </w:r>
      <w:r w:rsidRPr="00FD4C39">
        <w:rPr>
          <w:rFonts w:ascii="Times New Roman" w:eastAsia="Calibri" w:hAnsi="Times New Roman" w:cs="Times New Roman"/>
          <w:sz w:val="24"/>
          <w:szCs w:val="24"/>
        </w:rPr>
        <w:t xml:space="preserve"> съдействие от </w:t>
      </w:r>
      <w:r w:rsidR="002466FF" w:rsidRPr="00FD4C39">
        <w:rPr>
          <w:rFonts w:ascii="Times New Roman" w:eastAsia="Calibri" w:hAnsi="Times New Roman" w:cs="Times New Roman"/>
          <w:sz w:val="24"/>
          <w:szCs w:val="24"/>
        </w:rPr>
        <w:t>МВР</w:t>
      </w:r>
      <w:r w:rsidR="008271A0">
        <w:rPr>
          <w:rFonts w:ascii="Times New Roman" w:eastAsia="Calibri" w:hAnsi="Times New Roman" w:cs="Times New Roman"/>
          <w:sz w:val="24"/>
          <w:szCs w:val="24"/>
        </w:rPr>
        <w:t xml:space="preserve"> за извършването на</w:t>
      </w:r>
      <w:r w:rsidRPr="00FD4C39">
        <w:rPr>
          <w:rFonts w:ascii="Times New Roman" w:eastAsia="Calibri" w:hAnsi="Times New Roman" w:cs="Times New Roman"/>
          <w:sz w:val="24"/>
          <w:szCs w:val="24"/>
        </w:rPr>
        <w:t xml:space="preserve"> </w:t>
      </w:r>
      <w:proofErr w:type="spellStart"/>
      <w:r w:rsidRPr="00FD4C39">
        <w:rPr>
          <w:rFonts w:ascii="Times New Roman" w:eastAsia="Calibri" w:hAnsi="Times New Roman" w:cs="Times New Roman"/>
          <w:sz w:val="24"/>
          <w:szCs w:val="24"/>
        </w:rPr>
        <w:t>графологични</w:t>
      </w:r>
      <w:proofErr w:type="spellEnd"/>
      <w:r w:rsidRPr="00FD4C39">
        <w:rPr>
          <w:rFonts w:ascii="Times New Roman" w:eastAsia="Calibri" w:hAnsi="Times New Roman" w:cs="Times New Roman"/>
          <w:sz w:val="24"/>
          <w:szCs w:val="24"/>
        </w:rPr>
        <w:t xml:space="preserve"> експертизи. В края на отчетния период над 156 граждани </w:t>
      </w:r>
      <w:r w:rsidR="008271A0">
        <w:rPr>
          <w:rFonts w:ascii="Times New Roman" w:eastAsia="Calibri" w:hAnsi="Times New Roman" w:cs="Times New Roman"/>
          <w:sz w:val="24"/>
          <w:szCs w:val="24"/>
        </w:rPr>
        <w:t>предоставят</w:t>
      </w:r>
      <w:r w:rsidRPr="00FD4C39">
        <w:rPr>
          <w:rFonts w:ascii="Times New Roman" w:eastAsia="Calibri" w:hAnsi="Times New Roman" w:cs="Times New Roman"/>
          <w:sz w:val="24"/>
          <w:szCs w:val="24"/>
        </w:rPr>
        <w:t xml:space="preserve"> </w:t>
      </w:r>
      <w:r w:rsidR="002466FF" w:rsidRPr="00FD4C39">
        <w:rPr>
          <w:rFonts w:ascii="Times New Roman" w:eastAsia="Calibri" w:hAnsi="Times New Roman" w:cs="Times New Roman"/>
          <w:sz w:val="24"/>
          <w:szCs w:val="24"/>
        </w:rPr>
        <w:t>необходимия</w:t>
      </w:r>
      <w:r w:rsidRPr="00FD4C39">
        <w:rPr>
          <w:rFonts w:ascii="Times New Roman" w:eastAsia="Calibri" w:hAnsi="Times New Roman" w:cs="Times New Roman"/>
          <w:sz w:val="24"/>
          <w:szCs w:val="24"/>
        </w:rPr>
        <w:t xml:space="preserve"> сравнителен материал. Очаква се рез</w:t>
      </w:r>
      <w:r w:rsidR="008271A0">
        <w:rPr>
          <w:rFonts w:ascii="Times New Roman" w:eastAsia="Calibri" w:hAnsi="Times New Roman" w:cs="Times New Roman"/>
          <w:sz w:val="24"/>
          <w:szCs w:val="24"/>
        </w:rPr>
        <w:t>ул</w:t>
      </w:r>
      <w:r w:rsidRPr="00FD4C39">
        <w:rPr>
          <w:rFonts w:ascii="Times New Roman" w:eastAsia="Calibri" w:hAnsi="Times New Roman" w:cs="Times New Roman"/>
          <w:sz w:val="24"/>
          <w:szCs w:val="24"/>
        </w:rPr>
        <w:t>татът от 4 областни дирекции на МВР. Постъпилият сравнителен материал се обобщава по партии и п</w:t>
      </w:r>
      <w:r w:rsidR="008271A0">
        <w:rPr>
          <w:rFonts w:ascii="Times New Roman" w:eastAsia="Calibri" w:hAnsi="Times New Roman" w:cs="Times New Roman"/>
          <w:sz w:val="24"/>
          <w:szCs w:val="24"/>
        </w:rPr>
        <w:t>оетапно се предоставя на Научно</w:t>
      </w:r>
      <w:r w:rsidRPr="00FD4C39">
        <w:rPr>
          <w:rFonts w:ascii="Times New Roman" w:eastAsia="Calibri" w:hAnsi="Times New Roman" w:cs="Times New Roman"/>
          <w:sz w:val="24"/>
          <w:szCs w:val="24"/>
        </w:rPr>
        <w:t xml:space="preserve">изследователския институт по криминалистика и криминология </w:t>
      </w:r>
      <w:r w:rsidR="002466FF" w:rsidRPr="00FD4C39">
        <w:rPr>
          <w:rFonts w:ascii="Times New Roman" w:eastAsia="Calibri" w:hAnsi="Times New Roman" w:cs="Times New Roman"/>
          <w:sz w:val="24"/>
          <w:szCs w:val="24"/>
        </w:rPr>
        <w:t xml:space="preserve">(НИКК) </w:t>
      </w:r>
      <w:r w:rsidRPr="00FD4C39">
        <w:rPr>
          <w:rFonts w:ascii="Times New Roman" w:eastAsia="Calibri" w:hAnsi="Times New Roman" w:cs="Times New Roman"/>
          <w:sz w:val="24"/>
          <w:szCs w:val="24"/>
        </w:rPr>
        <w:t xml:space="preserve">за извършване на възложените от КЗЛД експертизи. </w:t>
      </w:r>
    </w:p>
    <w:p w:rsidR="00950B4C" w:rsidRPr="00FD4C39" w:rsidRDefault="000F1A9D" w:rsidP="007B189E">
      <w:pPr>
        <w:tabs>
          <w:tab w:val="left" w:pos="851"/>
        </w:tabs>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 края на отчетния период производствата пред КЗЛД са ви</w:t>
      </w:r>
      <w:r w:rsidR="008271A0">
        <w:rPr>
          <w:rFonts w:ascii="Times New Roman" w:hAnsi="Times New Roman" w:cs="Times New Roman"/>
          <w:sz w:val="24"/>
          <w:szCs w:val="24"/>
        </w:rPr>
        <w:t>сящи и Комисията ще се произнася</w:t>
      </w:r>
      <w:r w:rsidRPr="00FD4C39">
        <w:rPr>
          <w:rFonts w:ascii="Times New Roman" w:hAnsi="Times New Roman" w:cs="Times New Roman"/>
          <w:sz w:val="24"/>
          <w:szCs w:val="24"/>
        </w:rPr>
        <w:t xml:space="preserve"> след представяне на заключенията от НИКК по възложените експертизи. </w:t>
      </w:r>
    </w:p>
    <w:p w:rsidR="000F1A9D" w:rsidRPr="00FD4C39" w:rsidRDefault="008271A0" w:rsidP="007B189E">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Идентични действия КЗЛД предприема</w:t>
      </w:r>
      <w:r w:rsidR="000F1A9D" w:rsidRPr="00FD4C39">
        <w:rPr>
          <w:rFonts w:ascii="Times New Roman" w:hAnsi="Times New Roman" w:cs="Times New Roman"/>
          <w:sz w:val="24"/>
          <w:szCs w:val="24"/>
        </w:rPr>
        <w:t xml:space="preserve"> и по</w:t>
      </w:r>
      <w:r w:rsidR="000F1A9D" w:rsidRPr="00FD4C39">
        <w:rPr>
          <w:rFonts w:ascii="Times New Roman" w:eastAsia="Calibri" w:hAnsi="Times New Roman" w:cs="Times New Roman"/>
          <w:b/>
          <w:sz w:val="24"/>
          <w:szCs w:val="24"/>
        </w:rPr>
        <w:t xml:space="preserve"> </w:t>
      </w:r>
      <w:r w:rsidR="000F1A9D" w:rsidRPr="00FD4C39">
        <w:rPr>
          <w:rFonts w:ascii="Times New Roman" w:eastAsia="Calibri" w:hAnsi="Times New Roman" w:cs="Times New Roman"/>
          <w:sz w:val="24"/>
          <w:szCs w:val="24"/>
        </w:rPr>
        <w:t xml:space="preserve">повод </w:t>
      </w:r>
      <w:r w:rsidR="000F1A9D" w:rsidRPr="00FD4C39">
        <w:rPr>
          <w:rFonts w:ascii="Times New Roman" w:hAnsi="Times New Roman" w:cs="Times New Roman"/>
          <w:sz w:val="24"/>
          <w:szCs w:val="24"/>
        </w:rPr>
        <w:t xml:space="preserve">постъпили 53 бр. жалби с твърдения за злоупотреби с лични данни при регистрацията на политически субекти за участие в </w:t>
      </w:r>
      <w:r w:rsidR="000F1A9D" w:rsidRPr="00FD4C39">
        <w:rPr>
          <w:rFonts w:ascii="Times New Roman" w:eastAsia="Calibri" w:hAnsi="Times New Roman" w:cs="Times New Roman"/>
          <w:sz w:val="24"/>
          <w:szCs w:val="24"/>
        </w:rPr>
        <w:t>из</w:t>
      </w:r>
      <w:r>
        <w:rPr>
          <w:rFonts w:ascii="Times New Roman" w:eastAsia="Calibri" w:hAnsi="Times New Roman" w:cs="Times New Roman"/>
          <w:sz w:val="24"/>
          <w:szCs w:val="24"/>
        </w:rPr>
        <w:t>борите за народни представители</w:t>
      </w:r>
      <w:r w:rsidR="000F1A9D" w:rsidRPr="00FD4C39">
        <w:rPr>
          <w:rFonts w:ascii="Times New Roman" w:eastAsia="Calibri" w:hAnsi="Times New Roman" w:cs="Times New Roman"/>
          <w:sz w:val="24"/>
          <w:szCs w:val="24"/>
        </w:rPr>
        <w:t xml:space="preserve"> </w:t>
      </w:r>
      <w:r w:rsidR="000F1A9D" w:rsidRPr="00FD4C39">
        <w:rPr>
          <w:rFonts w:ascii="Times New Roman" w:hAnsi="Times New Roman" w:cs="Times New Roman"/>
          <w:sz w:val="24"/>
          <w:szCs w:val="24"/>
        </w:rPr>
        <w:t>за Наро</w:t>
      </w:r>
      <w:r w:rsidR="00053134" w:rsidRPr="00FD4C39">
        <w:rPr>
          <w:rFonts w:ascii="Times New Roman" w:hAnsi="Times New Roman" w:cs="Times New Roman"/>
          <w:sz w:val="24"/>
          <w:szCs w:val="24"/>
        </w:rPr>
        <w:t>дно събрание на 5 октомври 2014</w:t>
      </w:r>
      <w:r w:rsidR="004D42A2">
        <w:rPr>
          <w:rFonts w:ascii="Times New Roman" w:hAnsi="Times New Roman" w:cs="Times New Roman"/>
          <w:sz w:val="24"/>
          <w:szCs w:val="24"/>
        </w:rPr>
        <w:t> г.</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p>
    <w:p w:rsidR="000F1A9D" w:rsidRPr="00FD4C39" w:rsidRDefault="000F1A9D"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3. Анализ и препоръки</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Въз основа на извършените проверки на политически субекти и с оглед установяване на практика, съобразена с изискванията на ЗЗЛД, относно обработване на лични данни от политическите субекти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АЛД, по повод провеждането на </w:t>
      </w:r>
      <w:r w:rsidR="008271A0">
        <w:rPr>
          <w:rFonts w:ascii="Times New Roman" w:eastAsia="Calibri" w:hAnsi="Times New Roman" w:cs="Times New Roman"/>
          <w:sz w:val="24"/>
          <w:szCs w:val="24"/>
        </w:rPr>
        <w:t>избори съгласно Изборния кодекс КЗЛД констатира</w:t>
      </w:r>
      <w:r w:rsidRPr="00FD4C39">
        <w:rPr>
          <w:rFonts w:ascii="Times New Roman" w:eastAsia="Calibri" w:hAnsi="Times New Roman" w:cs="Times New Roman"/>
          <w:sz w:val="24"/>
          <w:szCs w:val="24"/>
        </w:rPr>
        <w:t xml:space="preserve"> слабости и пропуски в дейността на политическите субекти в качеството им на АЛД, както следва:</w:t>
      </w:r>
    </w:p>
    <w:p w:rsidR="000F1A9D" w:rsidRPr="00FD4C39" w:rsidRDefault="000F1A9D" w:rsidP="00B901DE">
      <w:pPr>
        <w:pStyle w:val="ListParagraph"/>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неизпълнение на задължението за първоначална регистрация в КЗЛД;</w:t>
      </w:r>
    </w:p>
    <w:p w:rsidR="000F1A9D" w:rsidRPr="00FD4C39" w:rsidRDefault="000F1A9D" w:rsidP="00B901DE">
      <w:pPr>
        <w:pStyle w:val="ListParagraph"/>
        <w:numPr>
          <w:ilvl w:val="0"/>
          <w:numId w:val="1"/>
        </w:numPr>
        <w:tabs>
          <w:tab w:val="left" w:pos="993"/>
          <w:tab w:val="left" w:pos="1134"/>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неизпълнение на задължението за уведомяване на КЗЛД за нови регистри с лични данни;</w:t>
      </w:r>
    </w:p>
    <w:p w:rsidR="000F1A9D" w:rsidRPr="00FD4C39" w:rsidRDefault="000F1A9D" w:rsidP="00B901DE">
      <w:pPr>
        <w:pStyle w:val="ListParagraph"/>
        <w:numPr>
          <w:ilvl w:val="0"/>
          <w:numId w:val="1"/>
        </w:numPr>
        <w:tabs>
          <w:tab w:val="left" w:pos="993"/>
          <w:tab w:val="left" w:pos="1134"/>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липса или неактуализирани инструкции за защита на личните данни в съответствие с н</w:t>
      </w:r>
      <w:r w:rsidR="008271A0">
        <w:rPr>
          <w:rFonts w:ascii="Times New Roman" w:eastAsia="Calibri" w:hAnsi="Times New Roman" w:cs="Times New Roman"/>
          <w:sz w:val="24"/>
          <w:szCs w:val="24"/>
        </w:rPr>
        <w:t>овата Наредба №</w:t>
      </w:r>
      <w:r w:rsidRPr="00FD4C39">
        <w:rPr>
          <w:rFonts w:ascii="Times New Roman" w:eastAsia="Calibri" w:hAnsi="Times New Roman" w:cs="Times New Roman"/>
          <w:sz w:val="24"/>
          <w:szCs w:val="24"/>
        </w:rPr>
        <w:t>1 от 30 януари 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минималното ниво на технически и организационни мерки и допустимия вид защита на личните данни;</w:t>
      </w:r>
    </w:p>
    <w:p w:rsidR="000F1A9D" w:rsidRPr="00FD4C39" w:rsidRDefault="000F1A9D" w:rsidP="00B901DE">
      <w:pPr>
        <w:pStyle w:val="ListParagraph"/>
        <w:numPr>
          <w:ilvl w:val="0"/>
          <w:numId w:val="1"/>
        </w:numPr>
        <w:tabs>
          <w:tab w:val="left" w:pos="993"/>
          <w:tab w:val="left" w:pos="1134"/>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наличие на копие от документи, съдържащи лични данни, като например подписки, лични карти и други.</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В хода на проверкит</w:t>
      </w:r>
      <w:r w:rsidR="008271A0">
        <w:rPr>
          <w:rFonts w:ascii="Times New Roman" w:eastAsia="Calibri" w:hAnsi="Times New Roman" w:cs="Times New Roman"/>
          <w:sz w:val="24"/>
          <w:szCs w:val="24"/>
        </w:rPr>
        <w:t>е КЗЛД констатира</w:t>
      </w:r>
      <w:r w:rsidRPr="00FD4C39">
        <w:rPr>
          <w:rFonts w:ascii="Times New Roman" w:eastAsia="Calibri" w:hAnsi="Times New Roman" w:cs="Times New Roman"/>
          <w:sz w:val="24"/>
          <w:szCs w:val="24"/>
        </w:rPr>
        <w:t xml:space="preserve"> следните предпоставки за злоупотреба с лични данни във връзка с изборния процес:</w:t>
      </w:r>
    </w:p>
    <w:p w:rsidR="000F1A9D" w:rsidRPr="00FD4C39" w:rsidRDefault="000F1A9D" w:rsidP="00B901DE">
      <w:pPr>
        <w:pStyle w:val="ListParagraph"/>
        <w:numPr>
          <w:ilvl w:val="0"/>
          <w:numId w:val="2"/>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невъзможност за идентифициране на конкретната политическа партия, събирала подписи на граждани, в случаите, когато партията е част от състава на коалиция;</w:t>
      </w:r>
    </w:p>
    <w:p w:rsidR="000F1A9D" w:rsidRPr="00FD4C39" w:rsidRDefault="000F1A9D" w:rsidP="00B901DE">
      <w:pPr>
        <w:pStyle w:val="ListParagraph"/>
        <w:numPr>
          <w:ilvl w:val="0"/>
          <w:numId w:val="2"/>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невъзможност за идентифициране на конкретния представител на партия, пред когото са положени подписите.</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Въз основа на констатациите от проверките по повод провеждането на </w:t>
      </w:r>
      <w:r w:rsidR="008271A0">
        <w:rPr>
          <w:rFonts w:ascii="Times New Roman" w:eastAsia="Calibri" w:hAnsi="Times New Roman" w:cs="Times New Roman"/>
          <w:sz w:val="24"/>
          <w:szCs w:val="24"/>
        </w:rPr>
        <w:t>избори съгласно Изборния кодекс КЗЛД отправя</w:t>
      </w:r>
      <w:r w:rsidRPr="00FD4C39">
        <w:rPr>
          <w:rFonts w:ascii="Times New Roman" w:eastAsia="Calibri" w:hAnsi="Times New Roman" w:cs="Times New Roman"/>
          <w:sz w:val="24"/>
          <w:szCs w:val="24"/>
        </w:rPr>
        <w:t xml:space="preserve"> към ангажираните в изборния процес субекти следните препоръки:</w:t>
      </w:r>
    </w:p>
    <w:p w:rsidR="000F1A9D" w:rsidRPr="00FD4C39" w:rsidRDefault="000F1A9D"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Към политическите партии, инициативните комитети и регистрираните в изборите наблюдатели:</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Партиите и инициативните комитети за издигане на независими кандидати за народни представители, президент, вицепрезидент, членове на Европейския парламент, общински </w:t>
      </w:r>
      <w:proofErr w:type="spellStart"/>
      <w:r w:rsidRPr="00FD4C39">
        <w:rPr>
          <w:rFonts w:ascii="Times New Roman" w:eastAsia="Calibri" w:hAnsi="Times New Roman" w:cs="Times New Roman"/>
          <w:sz w:val="24"/>
          <w:szCs w:val="24"/>
        </w:rPr>
        <w:t>съветници</w:t>
      </w:r>
      <w:proofErr w:type="spellEnd"/>
      <w:r w:rsidRPr="00FD4C39">
        <w:rPr>
          <w:rFonts w:ascii="Times New Roman" w:eastAsia="Calibri" w:hAnsi="Times New Roman" w:cs="Times New Roman"/>
          <w:sz w:val="24"/>
          <w:szCs w:val="24"/>
        </w:rPr>
        <w:t xml:space="preserve"> и кметове, които се регистрират в ЦИК или съответната </w:t>
      </w:r>
      <w:r w:rsidR="00944C20" w:rsidRPr="00FD4C39">
        <w:rPr>
          <w:rFonts w:ascii="Times New Roman" w:eastAsia="Calibri" w:hAnsi="Times New Roman" w:cs="Times New Roman"/>
          <w:sz w:val="24"/>
          <w:szCs w:val="24"/>
        </w:rPr>
        <w:t>регионална/общинска избирателна комисия (</w:t>
      </w:r>
      <w:r w:rsidRPr="00FD4C39">
        <w:rPr>
          <w:rFonts w:ascii="Times New Roman" w:eastAsia="Calibri" w:hAnsi="Times New Roman" w:cs="Times New Roman"/>
          <w:sz w:val="24"/>
          <w:szCs w:val="24"/>
        </w:rPr>
        <w:t>РИК/ОИК</w:t>
      </w:r>
      <w:r w:rsidR="00944C20"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са АЛД и като такива подлежат на регистрация като АЛД</w:t>
      </w:r>
      <w:r w:rsidR="00C06D01"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в КЗЛД.</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Коалициит</w:t>
      </w:r>
      <w:r w:rsidR="008271A0">
        <w:rPr>
          <w:rFonts w:ascii="Times New Roman" w:eastAsia="Calibri" w:hAnsi="Times New Roman" w:cs="Times New Roman"/>
          <w:sz w:val="24"/>
          <w:szCs w:val="24"/>
        </w:rPr>
        <w:t>е от партии не са АЛД. Партиите</w:t>
      </w:r>
      <w:r w:rsidRPr="00FD4C39">
        <w:rPr>
          <w:rFonts w:ascii="Times New Roman" w:eastAsia="Calibri" w:hAnsi="Times New Roman" w:cs="Times New Roman"/>
          <w:sz w:val="24"/>
          <w:szCs w:val="24"/>
        </w:rPr>
        <w:t xml:space="preserve"> обаче, които участват на изборите съгласно Изборния кодекс в състав на коалиция с други партии, са АЛД по смисъла на ЗЗЛД и като такива също подлежат на задължителна регистрация.</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Политическите субекти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АЛД, следва да заявят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регистър, свързан с обработване на лични данни на физически лица</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участници в подписки за регистрация на политическия субект за участие в избори, съгласно Изборния кодекс, или референдуми и да въведат точни и ясни правила и процедури за събиране и съхраняване на подписки, в това число възможност за ясна идентификация, достъп до данните, корекции на събраните лични данни, период на съхранение и начин на унищожаване.</w:t>
      </w:r>
    </w:p>
    <w:p w:rsidR="000F1A9D" w:rsidRPr="00FD4C39" w:rsidRDefault="000F1A9D" w:rsidP="00CE7420">
      <w:pPr>
        <w:pStyle w:val="ListParagraph"/>
        <w:widowControl w:val="0"/>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Партиите и инициативните комитети следва да поддържат в актуално състояние информацията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Тези политически субекти следва да заявяват предварително регистрите с лични данни на различни категории физически лица, чиито данни обработват. При промяна на даннит</w:t>
      </w:r>
      <w:r w:rsidR="008271A0">
        <w:rPr>
          <w:rFonts w:ascii="Times New Roman" w:eastAsia="Calibri" w:hAnsi="Times New Roman" w:cs="Times New Roman"/>
          <w:sz w:val="24"/>
          <w:szCs w:val="24"/>
        </w:rPr>
        <w:t>е от първоначалната регистрация</w:t>
      </w:r>
      <w:r w:rsidRPr="00FD4C39">
        <w:rPr>
          <w:rFonts w:ascii="Times New Roman" w:eastAsia="Calibri" w:hAnsi="Times New Roman" w:cs="Times New Roman"/>
          <w:sz w:val="24"/>
          <w:szCs w:val="24"/>
        </w:rPr>
        <w:t xml:space="preserve"> това обстоятелство също следва да бъде заявено.</w:t>
      </w:r>
    </w:p>
    <w:p w:rsidR="000F1A9D" w:rsidRPr="00FD4C39" w:rsidRDefault="000F1A9D" w:rsidP="00CE7420">
      <w:pPr>
        <w:pStyle w:val="ListParagraph"/>
        <w:widowControl w:val="0"/>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Партиите и инициативните комитети задължително следва да извършват оценка на въздействието на поддържаните регистри с лични данни, т.е</w:t>
      </w:r>
      <w:r w:rsidR="008271A0">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да направят </w:t>
      </w:r>
      <w:r w:rsidRPr="00FD4C39">
        <w:rPr>
          <w:rFonts w:ascii="Times New Roman" w:eastAsia="Calibri" w:hAnsi="Times New Roman" w:cs="Times New Roman"/>
          <w:sz w:val="24"/>
          <w:szCs w:val="24"/>
        </w:rPr>
        <w:lastRenderedPageBreak/>
        <w:t>предварителна преценка на потенциалните рискове и опасности, които могат да настъпят при обработваните от тях лични данни, с цел предприемане на адекватни технически и организационни мерки за тяхната защита. КЗЛД е приела Наредба № 1 от 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минималните необходими мерки за защита, които АЛД следва да спазват и прилагат.</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Членовете на инициативните комитети са АЛД, но са освободени от задължение за регистрация с решение на КЗЛД от Протокол № 32 от 13 август 2014</w:t>
      </w:r>
      <w:r w:rsidR="004D42A2">
        <w:rPr>
          <w:rFonts w:ascii="Times New Roman" w:eastAsia="Calibri" w:hAnsi="Times New Roman" w:cs="Times New Roman"/>
          <w:sz w:val="24"/>
          <w:szCs w:val="24"/>
        </w:rPr>
        <w:t> г.</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Неправителствените организации, регистрирани като наблюдатели за изборите за народни представители, също са АЛД по смисъла на ЗЗЛД и като такива подлежат на регистрация в регистъра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2 от ЗЗЛД. Те следва да заявят регистър, свързан с обработване на лични данни на физически лица</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наблюдатели.</w:t>
      </w:r>
    </w:p>
    <w:p w:rsidR="000F1A9D" w:rsidRPr="00FD4C39" w:rsidRDefault="000F1A9D" w:rsidP="007B189E">
      <w:pPr>
        <w:tabs>
          <w:tab w:val="left" w:pos="1134"/>
        </w:tabs>
        <w:spacing w:after="0" w:line="360" w:lineRule="auto"/>
        <w:ind w:firstLine="709"/>
        <w:contextualSpacing/>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Към гражданите:</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Гражданите, които участват в подписките на политически партии и инициативни комитети за регистрация за изборите, съгласно Изборния кодекс, следва активно да упражняват правата си, в т.ч. да искат от политическите субекти информация относно целите на обработване (събиране, съхраняване и предаване) на техни лични данни, както и заличаване на събрани данни или коригиране на неточни данни. При искане за заличаване или коригиране на личните им данни, гражданите следва да се обръщат непосредствено към партиите и инициативните комитети.</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При констатирано нарушение на правата на физическите лица и с цел бърз</w:t>
      </w:r>
      <w:r w:rsidR="008271A0">
        <w:rPr>
          <w:rFonts w:ascii="Times New Roman" w:eastAsia="Calibri" w:hAnsi="Times New Roman" w:cs="Times New Roman"/>
          <w:sz w:val="24"/>
          <w:szCs w:val="24"/>
        </w:rPr>
        <w:t>ина на производството пред КЗЛД</w:t>
      </w:r>
      <w:r w:rsidRPr="00FD4C39">
        <w:rPr>
          <w:rFonts w:ascii="Times New Roman" w:eastAsia="Calibri" w:hAnsi="Times New Roman" w:cs="Times New Roman"/>
          <w:sz w:val="24"/>
          <w:szCs w:val="24"/>
        </w:rPr>
        <w:t xml:space="preserve"> избирателите следва да подават жалби и сигнали за злоупотреба с техните права директно в КЗЛД. На електронната страница на КЗЛД (</w:t>
      </w:r>
      <w:hyperlink r:id="rId17" w:history="1">
        <w:r w:rsidRPr="00FD4C39">
          <w:rPr>
            <w:rFonts w:ascii="Times New Roman" w:eastAsia="Calibri" w:hAnsi="Times New Roman" w:cs="Times New Roman"/>
            <w:color w:val="0000FF"/>
            <w:sz w:val="24"/>
            <w:szCs w:val="24"/>
            <w:u w:val="single"/>
          </w:rPr>
          <w:t>www.cpdp.bg</w:t>
        </w:r>
      </w:hyperlink>
      <w:r w:rsidRPr="00FD4C39">
        <w:rPr>
          <w:rFonts w:ascii="Times New Roman" w:eastAsia="Calibri" w:hAnsi="Times New Roman" w:cs="Times New Roman"/>
          <w:sz w:val="24"/>
          <w:szCs w:val="24"/>
        </w:rPr>
        <w:t>) е публикуван формуляр на жалба с необходимите реквизити.</w:t>
      </w:r>
    </w:p>
    <w:p w:rsidR="000F1A9D" w:rsidRPr="00FD4C39" w:rsidRDefault="000F1A9D" w:rsidP="00B901DE">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Гражданите имат правна възможност, при констатиране на нарушения, да упражнят правата си и по съдебен ред, а при съмнение за престъпление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пред съответната прокуратура.</w:t>
      </w:r>
    </w:p>
    <w:p w:rsidR="000F1A9D" w:rsidRPr="00FD4C39" w:rsidRDefault="000F1A9D" w:rsidP="007B189E">
      <w:pPr>
        <w:tabs>
          <w:tab w:val="left" w:pos="1134"/>
        </w:tabs>
        <w:spacing w:after="0" w:line="360" w:lineRule="auto"/>
        <w:ind w:firstLine="709"/>
        <w:contextualSpacing/>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Към ЦИК:</w:t>
      </w:r>
    </w:p>
    <w:p w:rsidR="000F1A9D" w:rsidRPr="00FD4C39" w:rsidRDefault="000F1A9D" w:rsidP="00CE7420">
      <w:pPr>
        <w:pStyle w:val="ListParagraph"/>
        <w:widowControl w:val="0"/>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Необходимо е ЦИК да предприеме мерки за идентифициране на АЛД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партиите, участващи в състава на коалиции, от чието име са събирали подписките.</w:t>
      </w:r>
    </w:p>
    <w:p w:rsidR="000F1A9D" w:rsidRPr="00FD4C39" w:rsidRDefault="000F1A9D" w:rsidP="00944C20">
      <w:pPr>
        <w:pStyle w:val="ListParagraph"/>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Необходимо е ЦИК да изисква от политическите субекти да представят информация за актуалното състояние на регистрацията им като АЛД</w:t>
      </w:r>
      <w:r w:rsidR="00F05714"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към датата на насрочване на изборите, но не по-късно от датата на подаване на подписките за регистрация.</w:t>
      </w:r>
    </w:p>
    <w:p w:rsidR="000F1A9D" w:rsidRPr="00FD4C39" w:rsidRDefault="000F1A9D" w:rsidP="00CE7420">
      <w:pPr>
        <w:pStyle w:val="ListParagraph"/>
        <w:widowControl w:val="0"/>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 провеждане на избори за народни представители, общински </w:t>
      </w:r>
      <w:proofErr w:type="spellStart"/>
      <w:r w:rsidRPr="00FD4C39">
        <w:rPr>
          <w:rFonts w:ascii="Times New Roman" w:eastAsia="Calibri" w:hAnsi="Times New Roman" w:cs="Times New Roman"/>
          <w:sz w:val="24"/>
          <w:szCs w:val="24"/>
        </w:rPr>
        <w:t>съветници</w:t>
      </w:r>
      <w:proofErr w:type="spellEnd"/>
      <w:r w:rsidRPr="00FD4C39">
        <w:rPr>
          <w:rFonts w:ascii="Times New Roman" w:eastAsia="Calibri" w:hAnsi="Times New Roman" w:cs="Times New Roman"/>
          <w:sz w:val="24"/>
          <w:szCs w:val="24"/>
        </w:rPr>
        <w:t xml:space="preserve"> и </w:t>
      </w:r>
      <w:r w:rsidRPr="00FD4C39">
        <w:rPr>
          <w:rFonts w:ascii="Times New Roman" w:eastAsia="Calibri" w:hAnsi="Times New Roman" w:cs="Times New Roman"/>
          <w:sz w:val="24"/>
          <w:szCs w:val="24"/>
        </w:rPr>
        <w:lastRenderedPageBreak/>
        <w:t>кметове е необходимо ЦИК да изработи указания към РИК/ОИК да изискват от инициативните комитети да представят информация за актуалното състояние на регистрацията им като АЛД</w:t>
      </w:r>
      <w:r w:rsidR="00F05714"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към датата на регистрация за участие в изборите.</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 време на цялата осъществена дейност във връзка с постъпилите жалби и проверки на политическите субект</w:t>
      </w:r>
      <w:r w:rsidR="008271A0">
        <w:rPr>
          <w:rFonts w:ascii="Times New Roman" w:eastAsia="Calibri" w:hAnsi="Times New Roman" w:cs="Times New Roman"/>
          <w:sz w:val="24"/>
          <w:szCs w:val="24"/>
        </w:rPr>
        <w:t>и КЗЛД получава</w:t>
      </w:r>
      <w:r w:rsidRPr="00FD4C39">
        <w:rPr>
          <w:rFonts w:ascii="Times New Roman" w:eastAsia="Calibri" w:hAnsi="Times New Roman" w:cs="Times New Roman"/>
          <w:sz w:val="24"/>
          <w:szCs w:val="24"/>
        </w:rPr>
        <w:t xml:space="preserve"> съдействие от страна на ЦИК, Прокуратурата на Република България, политическите партии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обекти на проверките, НПО и представителите на медиите, които отразяват дейността на КЗЛД и по този начин се постига прозрачност и информираност на обществото.</w:t>
      </w:r>
    </w:p>
    <w:p w:rsidR="000F1A9D" w:rsidRPr="00FD4C39" w:rsidRDefault="000F1A9D"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КЗЛД е отворена за бъдещи съвместни инициативи с всички заинтересовани страни, с цел задълбочен анализ, включително изработване на предложения за промени в изборното законодателство.</w:t>
      </w:r>
    </w:p>
    <w:p w:rsidR="0098132E" w:rsidRPr="00FD4C39" w:rsidRDefault="0098132E" w:rsidP="007B189E">
      <w:pPr>
        <w:spacing w:after="0" w:line="360" w:lineRule="auto"/>
        <w:ind w:firstLine="709"/>
        <w:jc w:val="both"/>
        <w:rPr>
          <w:rFonts w:ascii="Times New Roman" w:eastAsia="Calibri" w:hAnsi="Times New Roman" w:cs="Times New Roman"/>
          <w:b/>
          <w:sz w:val="24"/>
          <w:szCs w:val="24"/>
        </w:rPr>
      </w:pPr>
    </w:p>
    <w:p w:rsidR="000F1A9D" w:rsidRPr="00FD4C39" w:rsidRDefault="000F1A9D"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4. Изводи</w:t>
      </w:r>
    </w:p>
    <w:p w:rsidR="000F1A9D" w:rsidRPr="00FD4C39" w:rsidRDefault="000F1A9D"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Положителните резултати от предприетите от КЗЛД действия за преустановяване на възможността за злоупотреби с лични данни при събиране на подписи на поддръжници за регистрация на политически субекти за участие в избори се установяват от съотношението на броя постъпили в КЗЛД жалби и сигнали преди и след приключване на проверките:</w:t>
      </w:r>
    </w:p>
    <w:p w:rsidR="00382E04" w:rsidRPr="00FD4C39" w:rsidRDefault="000F1A9D" w:rsidP="00B901DE">
      <w:pPr>
        <w:pStyle w:val="ListParagraph"/>
        <w:numPr>
          <w:ilvl w:val="3"/>
          <w:numId w:val="17"/>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При провеждането на изборите за членове на Европейския парламент от Републ</w:t>
      </w:r>
      <w:r w:rsidR="004C5A76">
        <w:rPr>
          <w:rFonts w:ascii="Times New Roman" w:hAnsi="Times New Roman" w:cs="Times New Roman"/>
          <w:sz w:val="24"/>
          <w:szCs w:val="24"/>
        </w:rPr>
        <w:t>ика България на 25 май 2014</w:t>
      </w:r>
      <w:r w:rsidR="004D42A2">
        <w:rPr>
          <w:rFonts w:ascii="Times New Roman" w:hAnsi="Times New Roman" w:cs="Times New Roman"/>
          <w:sz w:val="24"/>
          <w:szCs w:val="24"/>
        </w:rPr>
        <w:t xml:space="preserve"> г. – </w:t>
      </w:r>
      <w:r w:rsidRPr="00FD4C39">
        <w:rPr>
          <w:rFonts w:ascii="Times New Roman" w:hAnsi="Times New Roman" w:cs="Times New Roman"/>
          <w:sz w:val="24"/>
          <w:szCs w:val="24"/>
        </w:rPr>
        <w:t>1380 бр. жалби и сигнали;</w:t>
      </w:r>
    </w:p>
    <w:p w:rsidR="000F1A9D" w:rsidRPr="00FD4C39" w:rsidRDefault="000F1A9D" w:rsidP="00B901DE">
      <w:pPr>
        <w:pStyle w:val="ListParagraph"/>
        <w:numPr>
          <w:ilvl w:val="3"/>
          <w:numId w:val="17"/>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При провеждането на избори за народни представители за Народно събрание на 5 октомври 2014</w:t>
      </w:r>
      <w:r w:rsidR="004D42A2">
        <w:rPr>
          <w:rFonts w:ascii="Times New Roman" w:hAnsi="Times New Roman" w:cs="Times New Roman"/>
          <w:sz w:val="24"/>
          <w:szCs w:val="24"/>
        </w:rPr>
        <w:t xml:space="preserve"> г. – </w:t>
      </w:r>
      <w:r w:rsidRPr="00FD4C39">
        <w:rPr>
          <w:rFonts w:ascii="Times New Roman" w:hAnsi="Times New Roman" w:cs="Times New Roman"/>
          <w:sz w:val="24"/>
          <w:szCs w:val="24"/>
        </w:rPr>
        <w:t xml:space="preserve">53 бр. жалби. </w:t>
      </w:r>
    </w:p>
    <w:p w:rsidR="00695EBF" w:rsidRPr="00FD4C39" w:rsidRDefault="000F1A9D" w:rsidP="00695EBF">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Прави впечатление, че след публикуване на образец на жалба</w:t>
      </w:r>
      <w:r w:rsidR="004C5A76">
        <w:rPr>
          <w:rFonts w:ascii="Times New Roman" w:hAnsi="Times New Roman" w:cs="Times New Roman"/>
          <w:sz w:val="24"/>
          <w:szCs w:val="24"/>
        </w:rPr>
        <w:t xml:space="preserve"> на интернет страницата на КЗЛД значително намалява</w:t>
      </w:r>
      <w:r w:rsidRPr="00FD4C39">
        <w:rPr>
          <w:rFonts w:ascii="Times New Roman" w:hAnsi="Times New Roman" w:cs="Times New Roman"/>
          <w:sz w:val="24"/>
          <w:szCs w:val="24"/>
        </w:rPr>
        <w:t xml:space="preserve"> броя</w:t>
      </w:r>
      <w:r w:rsidR="004C5A76">
        <w:rPr>
          <w:rFonts w:ascii="Times New Roman" w:hAnsi="Times New Roman" w:cs="Times New Roman"/>
          <w:sz w:val="24"/>
          <w:szCs w:val="24"/>
        </w:rPr>
        <w:t>т</w:t>
      </w:r>
      <w:r w:rsidRPr="00FD4C39">
        <w:rPr>
          <w:rFonts w:ascii="Times New Roman" w:hAnsi="Times New Roman" w:cs="Times New Roman"/>
          <w:sz w:val="24"/>
          <w:szCs w:val="24"/>
        </w:rPr>
        <w:t xml:space="preserve"> на сигналите и жалбите, подадени не по </w:t>
      </w:r>
      <w:proofErr w:type="spellStart"/>
      <w:r w:rsidRPr="00FD4C39">
        <w:rPr>
          <w:rFonts w:ascii="Times New Roman" w:hAnsi="Times New Roman" w:cs="Times New Roman"/>
          <w:sz w:val="24"/>
          <w:szCs w:val="24"/>
        </w:rPr>
        <w:t>законоустановения</w:t>
      </w:r>
      <w:proofErr w:type="spellEnd"/>
      <w:r w:rsidRPr="00FD4C39">
        <w:rPr>
          <w:rFonts w:ascii="Times New Roman" w:hAnsi="Times New Roman" w:cs="Times New Roman"/>
          <w:sz w:val="24"/>
          <w:szCs w:val="24"/>
        </w:rPr>
        <w:t xml:space="preserve"> ред. Това дава възможност на първо място физическото лице ефективно да търси защита на нарушени права и на следващо място улеснява КЗЛД при изясняване на фактите и обстоятелствата,</w:t>
      </w:r>
      <w:r w:rsidR="00695EBF" w:rsidRPr="00FD4C39">
        <w:rPr>
          <w:rFonts w:ascii="Times New Roman" w:hAnsi="Times New Roman" w:cs="Times New Roman"/>
          <w:sz w:val="24"/>
          <w:szCs w:val="24"/>
        </w:rPr>
        <w:t xml:space="preserve"> посочени в конкретната жалба. </w:t>
      </w:r>
    </w:p>
    <w:p w:rsidR="00695EBF" w:rsidRPr="00FD4C39" w:rsidRDefault="000F1A9D" w:rsidP="00695EBF">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Разбирането на КЗЛД е, че следва да се акцентира върху информираност на физическите лица за правата и задълженията им по Изборния кодекс, както и върху добросъвестността на лицата, които са отговорни за събиране на подписи на поддръжници с цел недопускане употребата на лични данни в противоречие със ЗЗЛД.</w:t>
      </w:r>
    </w:p>
    <w:p w:rsidR="000F1A9D" w:rsidRPr="00FD4C39" w:rsidRDefault="000F1A9D" w:rsidP="00EE4610">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Прави впечатление, че след извършените проверки на политически субекти за участие в изборите за членове на Европейския парламент от Република България, в края на отчетния период 90% </w:t>
      </w:r>
      <w:r w:rsidR="00F05714" w:rsidRPr="00FD4C39">
        <w:rPr>
          <w:rFonts w:ascii="Times New Roman" w:hAnsi="Times New Roman" w:cs="Times New Roman"/>
          <w:sz w:val="24"/>
          <w:szCs w:val="24"/>
        </w:rPr>
        <w:t xml:space="preserve">от политическите субекти </w:t>
      </w:r>
      <w:r w:rsidR="004C5A76">
        <w:rPr>
          <w:rFonts w:ascii="Times New Roman" w:hAnsi="Times New Roman" w:cs="Times New Roman"/>
          <w:sz w:val="24"/>
          <w:szCs w:val="24"/>
        </w:rPr>
        <w:t>отстраняват</w:t>
      </w:r>
      <w:r w:rsidRPr="00FD4C39">
        <w:rPr>
          <w:rFonts w:ascii="Times New Roman" w:hAnsi="Times New Roman" w:cs="Times New Roman"/>
          <w:sz w:val="24"/>
          <w:szCs w:val="24"/>
        </w:rPr>
        <w:t xml:space="preserve"> установените </w:t>
      </w:r>
      <w:r w:rsidRPr="00FD4C39">
        <w:rPr>
          <w:rFonts w:ascii="Times New Roman" w:hAnsi="Times New Roman" w:cs="Times New Roman"/>
          <w:sz w:val="24"/>
          <w:szCs w:val="24"/>
        </w:rPr>
        <w:lastRenderedPageBreak/>
        <w:t>нарушения на ЗЗЛД, за които са били санкционирани. Това са нарушения, свързани с липса на подадено заявление за регистрация в КЗЛД и/или липсата на заявен регистър, свързан с обработване на лични данни на физически лица</w:t>
      </w:r>
      <w:r w:rsidR="004C5A76">
        <w:rPr>
          <w:rFonts w:ascii="Times New Roman" w:hAnsi="Times New Roman" w:cs="Times New Roman"/>
          <w:sz w:val="24"/>
          <w:szCs w:val="24"/>
        </w:rPr>
        <w:t xml:space="preserve"> </w:t>
      </w:r>
      <w:r w:rsidRPr="00FD4C39">
        <w:rPr>
          <w:rFonts w:ascii="Times New Roman" w:hAnsi="Times New Roman" w:cs="Times New Roman"/>
          <w:sz w:val="24"/>
          <w:szCs w:val="24"/>
        </w:rPr>
        <w:t xml:space="preserve">участници в подписка. Останалите 10%, които не са отстранили нарушенията, подлежат на </w:t>
      </w:r>
      <w:proofErr w:type="spellStart"/>
      <w:r w:rsidRPr="00FD4C39">
        <w:rPr>
          <w:rFonts w:ascii="Times New Roman" w:hAnsi="Times New Roman" w:cs="Times New Roman"/>
          <w:sz w:val="24"/>
          <w:szCs w:val="24"/>
        </w:rPr>
        <w:t>последваща</w:t>
      </w:r>
      <w:proofErr w:type="spellEnd"/>
      <w:r w:rsidRPr="00FD4C39">
        <w:rPr>
          <w:rFonts w:ascii="Times New Roman" w:hAnsi="Times New Roman" w:cs="Times New Roman"/>
          <w:sz w:val="24"/>
          <w:szCs w:val="24"/>
        </w:rPr>
        <w:t xml:space="preserve"> проверка през 2015</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(фиг. 7 и 8).</w:t>
      </w:r>
    </w:p>
    <w:p w:rsidR="00EE4610" w:rsidRPr="00FD4C39" w:rsidRDefault="00EE4610" w:rsidP="00F05714">
      <w:pPr>
        <w:spacing w:after="0" w:line="360" w:lineRule="auto"/>
        <w:ind w:firstLine="709"/>
        <w:jc w:val="both"/>
        <w:rPr>
          <w:rFonts w:ascii="Times New Roman" w:hAnsi="Times New Roman" w:cs="Times New Roman"/>
          <w:sz w:val="24"/>
          <w:szCs w:val="24"/>
        </w:rPr>
      </w:pPr>
    </w:p>
    <w:p w:rsidR="009F4F4C" w:rsidRPr="00FD4C39" w:rsidRDefault="00285EA3" w:rsidP="00EE4610">
      <w:pPr>
        <w:spacing w:after="0" w:line="360" w:lineRule="auto"/>
        <w:ind w:firstLine="993"/>
        <w:jc w:val="both"/>
        <w:rPr>
          <w:rFonts w:ascii="Times New Roman" w:hAnsi="Times New Roman" w:cs="Times New Roman"/>
          <w:sz w:val="24"/>
          <w:szCs w:val="24"/>
          <w:highlight w:val="yellow"/>
        </w:rPr>
      </w:pPr>
      <w:r w:rsidRPr="00FD4C39">
        <w:rPr>
          <w:rFonts w:ascii="Times New Roman" w:hAnsi="Times New Roman" w:cs="Times New Roman"/>
          <w:noProof/>
          <w:sz w:val="24"/>
          <w:szCs w:val="24"/>
        </w:rPr>
        <w:drawing>
          <wp:inline distT="0" distB="0" distL="0" distR="0" wp14:anchorId="2D88A29C" wp14:editId="6DD311BC">
            <wp:extent cx="5038725" cy="29622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4F4C" w:rsidRPr="00FD4C39" w:rsidRDefault="009400A9" w:rsidP="00CE7420">
      <w:pPr>
        <w:spacing w:after="0" w:line="240" w:lineRule="auto"/>
        <w:ind w:firstLine="709"/>
        <w:jc w:val="center"/>
        <w:rPr>
          <w:rFonts w:ascii="Times New Roman" w:hAnsi="Times New Roman" w:cs="Times New Roman"/>
          <w:b/>
          <w:sz w:val="24"/>
          <w:szCs w:val="24"/>
        </w:rPr>
      </w:pPr>
      <w:r w:rsidRPr="00FD4C39">
        <w:rPr>
          <w:rFonts w:ascii="Times New Roman" w:hAnsi="Times New Roman" w:cs="Times New Roman"/>
          <w:b/>
          <w:sz w:val="24"/>
          <w:szCs w:val="24"/>
        </w:rPr>
        <w:t xml:space="preserve">Фиг. </w:t>
      </w:r>
      <w:r w:rsidR="00EE083B" w:rsidRPr="00FD4C39">
        <w:rPr>
          <w:rFonts w:ascii="Times New Roman" w:hAnsi="Times New Roman" w:cs="Times New Roman"/>
          <w:b/>
          <w:sz w:val="24"/>
          <w:szCs w:val="24"/>
        </w:rPr>
        <w:t>8</w:t>
      </w:r>
    </w:p>
    <w:p w:rsidR="00CE7420" w:rsidRPr="00FD4C39" w:rsidRDefault="00CE7420" w:rsidP="00CE7420">
      <w:pPr>
        <w:spacing w:after="0" w:line="240" w:lineRule="auto"/>
        <w:ind w:firstLine="709"/>
        <w:jc w:val="center"/>
        <w:rPr>
          <w:rFonts w:ascii="Times New Roman" w:hAnsi="Times New Roman" w:cs="Times New Roman"/>
          <w:b/>
          <w:sz w:val="24"/>
          <w:szCs w:val="24"/>
        </w:rPr>
      </w:pPr>
    </w:p>
    <w:p w:rsidR="00384216" w:rsidRPr="00FD4C39" w:rsidRDefault="00384216" w:rsidP="00CE7420">
      <w:pPr>
        <w:spacing w:after="0" w:line="240" w:lineRule="auto"/>
        <w:ind w:firstLine="709"/>
        <w:jc w:val="center"/>
        <w:rPr>
          <w:rFonts w:ascii="Times New Roman" w:hAnsi="Times New Roman" w:cs="Times New Roman"/>
          <w:b/>
          <w:sz w:val="24"/>
          <w:szCs w:val="24"/>
        </w:rPr>
      </w:pPr>
    </w:p>
    <w:p w:rsidR="00CC6AD4" w:rsidRPr="00FD4C39" w:rsidRDefault="00CC6AD4" w:rsidP="00EE4610">
      <w:pPr>
        <w:spacing w:after="0" w:line="360" w:lineRule="auto"/>
        <w:ind w:firstLine="993"/>
        <w:rPr>
          <w:rFonts w:ascii="Times New Roman" w:hAnsi="Times New Roman" w:cs="Times New Roman"/>
          <w:b/>
          <w:sz w:val="24"/>
          <w:szCs w:val="24"/>
          <w:highlight w:val="yellow"/>
        </w:rPr>
      </w:pPr>
      <w:r w:rsidRPr="00FD4C39">
        <w:rPr>
          <w:rFonts w:ascii="Times New Roman" w:hAnsi="Times New Roman" w:cs="Times New Roman"/>
          <w:noProof/>
          <w:sz w:val="24"/>
          <w:szCs w:val="24"/>
        </w:rPr>
        <w:drawing>
          <wp:inline distT="0" distB="0" distL="0" distR="0" wp14:anchorId="555C5C0C" wp14:editId="534410D9">
            <wp:extent cx="5019675" cy="2914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4F4C" w:rsidRPr="00FD4C39" w:rsidRDefault="00EE083B" w:rsidP="007B189E">
      <w:pPr>
        <w:spacing w:after="0" w:line="360" w:lineRule="auto"/>
        <w:ind w:firstLine="709"/>
        <w:jc w:val="center"/>
        <w:rPr>
          <w:rFonts w:ascii="Times New Roman" w:hAnsi="Times New Roman" w:cs="Times New Roman"/>
          <w:b/>
          <w:sz w:val="24"/>
          <w:szCs w:val="24"/>
        </w:rPr>
      </w:pPr>
      <w:r w:rsidRPr="00FD4C39">
        <w:rPr>
          <w:rFonts w:ascii="Times New Roman" w:hAnsi="Times New Roman" w:cs="Times New Roman"/>
          <w:b/>
          <w:sz w:val="24"/>
          <w:szCs w:val="24"/>
        </w:rPr>
        <w:t>Фиг. 9</w:t>
      </w:r>
    </w:p>
    <w:p w:rsidR="00F05714" w:rsidRPr="00FD4C39" w:rsidRDefault="00F05714" w:rsidP="007B189E">
      <w:pPr>
        <w:spacing w:after="0" w:line="360" w:lineRule="auto"/>
        <w:ind w:firstLine="709"/>
        <w:jc w:val="center"/>
        <w:rPr>
          <w:rFonts w:ascii="Times New Roman" w:hAnsi="Times New Roman" w:cs="Times New Roman"/>
          <w:b/>
          <w:sz w:val="24"/>
          <w:szCs w:val="24"/>
        </w:rPr>
      </w:pPr>
    </w:p>
    <w:p w:rsidR="000F1A9D" w:rsidRPr="00FD4C39" w:rsidRDefault="000F1A9D"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lastRenderedPageBreak/>
        <w:t>Като положителен резултат от извършените проверки може да се посочи също така високият процент (90%) от политически субекти, участвали в изборите на народни представители през м. октомври 2014</w:t>
      </w:r>
      <w:r w:rsidR="004D42A2">
        <w:rPr>
          <w:rFonts w:ascii="Times New Roman" w:hAnsi="Times New Roman" w:cs="Times New Roman"/>
          <w:sz w:val="24"/>
          <w:szCs w:val="24"/>
        </w:rPr>
        <w:t> г.</w:t>
      </w:r>
      <w:r w:rsidRPr="00FD4C39">
        <w:rPr>
          <w:rFonts w:ascii="Times New Roman" w:hAnsi="Times New Roman" w:cs="Times New Roman"/>
          <w:sz w:val="24"/>
          <w:szCs w:val="24"/>
        </w:rPr>
        <w:t>, които са се регистрирали като АЛД по повод обработването на лични данни</w:t>
      </w:r>
      <w:r w:rsidR="00253EE4" w:rsidRPr="00FD4C39">
        <w:rPr>
          <w:rFonts w:ascii="Times New Roman" w:hAnsi="Times New Roman" w:cs="Times New Roman"/>
          <w:sz w:val="24"/>
          <w:szCs w:val="24"/>
        </w:rPr>
        <w:t xml:space="preserve"> в изборния процес (фиг. 10).</w:t>
      </w:r>
    </w:p>
    <w:p w:rsidR="00253EE4" w:rsidRPr="00FD4C39" w:rsidRDefault="00253EE4" w:rsidP="007B189E">
      <w:pPr>
        <w:spacing w:after="0" w:line="360" w:lineRule="auto"/>
        <w:ind w:firstLine="709"/>
        <w:jc w:val="both"/>
        <w:rPr>
          <w:rFonts w:ascii="Times New Roman" w:hAnsi="Times New Roman" w:cs="Times New Roman"/>
          <w:sz w:val="16"/>
          <w:szCs w:val="16"/>
        </w:rPr>
      </w:pPr>
    </w:p>
    <w:p w:rsidR="009F4F4C" w:rsidRPr="00FD4C39" w:rsidRDefault="0067601E" w:rsidP="00384216">
      <w:pPr>
        <w:spacing w:after="0" w:line="360" w:lineRule="auto"/>
        <w:ind w:firstLine="426"/>
        <w:jc w:val="center"/>
        <w:rPr>
          <w:rFonts w:ascii="Times New Roman" w:hAnsi="Times New Roman" w:cs="Times New Roman"/>
          <w:sz w:val="24"/>
          <w:szCs w:val="24"/>
          <w:highlight w:val="yellow"/>
        </w:rPr>
      </w:pPr>
      <w:r w:rsidRPr="00FD4C39">
        <w:rPr>
          <w:rFonts w:ascii="Times New Roman" w:hAnsi="Times New Roman" w:cs="Times New Roman"/>
          <w:noProof/>
          <w:sz w:val="24"/>
          <w:szCs w:val="24"/>
        </w:rPr>
        <w:drawing>
          <wp:inline distT="0" distB="0" distL="0" distR="0" wp14:anchorId="75474286" wp14:editId="49D00BE2">
            <wp:extent cx="5162550" cy="30003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4F4C" w:rsidRPr="00FD4C39" w:rsidRDefault="009F4F4C" w:rsidP="007B189E">
      <w:pPr>
        <w:spacing w:after="0" w:line="360" w:lineRule="auto"/>
        <w:ind w:firstLine="709"/>
        <w:jc w:val="center"/>
        <w:rPr>
          <w:rFonts w:ascii="Times New Roman" w:hAnsi="Times New Roman" w:cs="Times New Roman"/>
          <w:b/>
          <w:sz w:val="24"/>
          <w:szCs w:val="24"/>
        </w:rPr>
      </w:pPr>
      <w:r w:rsidRPr="00FD4C39">
        <w:rPr>
          <w:rFonts w:ascii="Times New Roman" w:hAnsi="Times New Roman" w:cs="Times New Roman"/>
          <w:b/>
          <w:sz w:val="24"/>
          <w:szCs w:val="24"/>
        </w:rPr>
        <w:t xml:space="preserve">Фиг. </w:t>
      </w:r>
      <w:r w:rsidR="00EE083B" w:rsidRPr="00FD4C39">
        <w:rPr>
          <w:rFonts w:ascii="Times New Roman" w:hAnsi="Times New Roman" w:cs="Times New Roman"/>
          <w:b/>
          <w:sz w:val="24"/>
          <w:szCs w:val="24"/>
        </w:rPr>
        <w:t>10</w:t>
      </w:r>
    </w:p>
    <w:p w:rsidR="0069463D" w:rsidRPr="00FD4C39" w:rsidRDefault="0069463D" w:rsidP="007B189E">
      <w:pPr>
        <w:spacing w:after="0" w:line="360" w:lineRule="auto"/>
        <w:ind w:firstLine="709"/>
        <w:jc w:val="both"/>
        <w:rPr>
          <w:rFonts w:ascii="Times New Roman" w:hAnsi="Times New Roman" w:cs="Times New Roman"/>
          <w:sz w:val="24"/>
          <w:szCs w:val="24"/>
        </w:rPr>
      </w:pPr>
    </w:p>
    <w:p w:rsidR="000F1A9D" w:rsidRPr="00FD4C39" w:rsidRDefault="000F1A9D"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След анализ на констатираните предпоставки за злоупотреби с лични данни в хода на изборния процес КЗЛД счита, че са необходими законодателни промени в следните насоки:</w:t>
      </w:r>
    </w:p>
    <w:p w:rsidR="000F1A9D" w:rsidRPr="00FD4C39" w:rsidRDefault="000F1A9D"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1. Да се предвиди възможност за идентифициране на конкретната политическа партия, събирала подписи на граждани в случаите, когато партията е част от състава на коалиция. Липсата на такава възможност към момента възпрепятства реализирането на </w:t>
      </w:r>
      <w:proofErr w:type="spellStart"/>
      <w:r w:rsidRPr="00FD4C39">
        <w:rPr>
          <w:rFonts w:ascii="Times New Roman" w:hAnsi="Times New Roman" w:cs="Times New Roman"/>
          <w:sz w:val="24"/>
          <w:szCs w:val="24"/>
        </w:rPr>
        <w:t>администр</w:t>
      </w:r>
      <w:r w:rsidR="004C5A76">
        <w:rPr>
          <w:rFonts w:ascii="Times New Roman" w:hAnsi="Times New Roman" w:cs="Times New Roman"/>
          <w:sz w:val="24"/>
          <w:szCs w:val="24"/>
        </w:rPr>
        <w:t>ативно</w:t>
      </w:r>
      <w:r w:rsidRPr="00FD4C39">
        <w:rPr>
          <w:rFonts w:ascii="Times New Roman" w:hAnsi="Times New Roman" w:cs="Times New Roman"/>
          <w:sz w:val="24"/>
          <w:szCs w:val="24"/>
        </w:rPr>
        <w:t>наказателната</w:t>
      </w:r>
      <w:proofErr w:type="spellEnd"/>
      <w:r w:rsidRPr="00FD4C39">
        <w:rPr>
          <w:rFonts w:ascii="Times New Roman" w:hAnsi="Times New Roman" w:cs="Times New Roman"/>
          <w:sz w:val="24"/>
          <w:szCs w:val="24"/>
        </w:rPr>
        <w:t xml:space="preserve"> отговорност към съответния АЛД</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 xml:space="preserve">партия в състава на коалиция. </w:t>
      </w:r>
    </w:p>
    <w:p w:rsidR="00382E04" w:rsidRPr="00FD4C39" w:rsidRDefault="000F1A9D" w:rsidP="00382E04">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2. Да се предвиди възможност за легитимиране на физическите лица при полагане на</w:t>
      </w:r>
      <w:r w:rsidR="004C5A76">
        <w:rPr>
          <w:rFonts w:ascii="Times New Roman" w:hAnsi="Times New Roman" w:cs="Times New Roman"/>
          <w:sz w:val="24"/>
          <w:szCs w:val="24"/>
        </w:rPr>
        <w:t xml:space="preserve"> подписи. Освен дисциплиниращия</w:t>
      </w:r>
      <w:r w:rsidRPr="00FD4C39">
        <w:rPr>
          <w:rFonts w:ascii="Times New Roman" w:hAnsi="Times New Roman" w:cs="Times New Roman"/>
          <w:sz w:val="24"/>
          <w:szCs w:val="24"/>
        </w:rPr>
        <w:t xml:space="preserve"> ефект върху политическия субект, който би имала подобна мярка, ще се създадат гаранции срещу злоупотре</w:t>
      </w:r>
      <w:r w:rsidR="00382E04" w:rsidRPr="00FD4C39">
        <w:rPr>
          <w:rFonts w:ascii="Times New Roman" w:hAnsi="Times New Roman" w:cs="Times New Roman"/>
          <w:sz w:val="24"/>
          <w:szCs w:val="24"/>
        </w:rPr>
        <w:t xml:space="preserve">би и от самите физически лица. </w:t>
      </w:r>
    </w:p>
    <w:p w:rsidR="000F1A9D" w:rsidRPr="00FD4C39" w:rsidRDefault="000F1A9D" w:rsidP="00382E04">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3. Задължително изискване за регистрация на политически субект за участие в провеждане на избори да бъде наличието на регистрация като АЛД в регистъра, </w:t>
      </w:r>
      <w:r w:rsidRPr="00FD4C39">
        <w:rPr>
          <w:rFonts w:ascii="Times New Roman" w:hAnsi="Times New Roman" w:cs="Times New Roman"/>
          <w:sz w:val="24"/>
          <w:szCs w:val="24"/>
        </w:rPr>
        <w:lastRenderedPageBreak/>
        <w:t xml:space="preserve">поддържан от КЗЛД, вкл. наличието на заявен регистър на лични данни на избиратели, подкрепящи регистрацията на съответния политически субект. </w:t>
      </w:r>
    </w:p>
    <w:p w:rsidR="000F1A9D" w:rsidRPr="00FD4C39" w:rsidRDefault="000F1A9D"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4. Да се дефинира кой от членовете на инициативен комитет носи отговорност като АЛД. Настоящата фикция, предвидена в Изборния кодекс, че членовете на инициативния комитет са АЛД, както и липсата на персонифициран субект след приключване на изборите (инициативният комитет съществува за ограничен период от време</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 xml:space="preserve">до регистриране на съответния независим кандидат) ограничават възможността на КЗЛД за реализиране на </w:t>
      </w:r>
      <w:proofErr w:type="spellStart"/>
      <w:r w:rsidRPr="00FD4C39">
        <w:rPr>
          <w:rFonts w:ascii="Times New Roman" w:hAnsi="Times New Roman" w:cs="Times New Roman"/>
          <w:sz w:val="24"/>
          <w:szCs w:val="24"/>
        </w:rPr>
        <w:t>административнонаказателната</w:t>
      </w:r>
      <w:proofErr w:type="spellEnd"/>
      <w:r w:rsidRPr="00FD4C39">
        <w:rPr>
          <w:rFonts w:ascii="Times New Roman" w:hAnsi="Times New Roman" w:cs="Times New Roman"/>
          <w:sz w:val="24"/>
          <w:szCs w:val="24"/>
        </w:rPr>
        <w:t xml:space="preserve"> отговорност във връзка с извършването на проверки и разглеждането на жалби. </w:t>
      </w:r>
    </w:p>
    <w:p w:rsidR="000F1A9D" w:rsidRPr="00FD4C39" w:rsidRDefault="000F1A9D"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5. Задължително изискване за регистрация на неправителствените организации като наблюдатели за избори да бъде наличието на регистрация като АЛД в регистъра, поддържан от КЗЛД, вкл. наличието на заявен регистър, свързан с обработването на лични данни на физически лица</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наблюдатели.</w:t>
      </w:r>
    </w:p>
    <w:p w:rsidR="00253EE4" w:rsidRPr="00FD4C39" w:rsidRDefault="00253EE4">
      <w:pPr>
        <w:rPr>
          <w:rFonts w:ascii="Times New Roman" w:eastAsia="Calibri" w:hAnsi="Times New Roman" w:cs="Times New Roman"/>
          <w:sz w:val="24"/>
          <w:szCs w:val="24"/>
        </w:rPr>
      </w:pPr>
      <w:r w:rsidRPr="00FD4C39">
        <w:rPr>
          <w:rFonts w:ascii="Times New Roman" w:eastAsia="Calibri" w:hAnsi="Times New Roman" w:cs="Times New Roman"/>
          <w:sz w:val="24"/>
          <w:szCs w:val="24"/>
        </w:rPr>
        <w:br w:type="page"/>
      </w:r>
    </w:p>
    <w:p w:rsidR="0013400E"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VI. Производства по изразяване на становища и разрешаване предоставянето на данни в трети държави</w:t>
      </w:r>
    </w:p>
    <w:p w:rsidR="0069463D" w:rsidRPr="00FD4C39" w:rsidRDefault="0069463D" w:rsidP="007B189E">
      <w:pPr>
        <w:spacing w:after="0" w:line="360" w:lineRule="auto"/>
        <w:ind w:firstLine="709"/>
        <w:jc w:val="both"/>
        <w:rPr>
          <w:rFonts w:ascii="Times New Roman" w:eastAsia="Calibri" w:hAnsi="Times New Roman" w:cs="Times New Roman"/>
          <w:b/>
          <w:sz w:val="24"/>
          <w:szCs w:val="24"/>
        </w:rPr>
      </w:pPr>
    </w:p>
    <w:p w:rsidR="00291E60" w:rsidRPr="00FD4C39" w:rsidRDefault="00291E60"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1. Становища</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786BAB" w:rsidRPr="00FD4C39">
        <w:rPr>
          <w:rFonts w:ascii="Times New Roman" w:eastAsia="Calibri" w:hAnsi="Times New Roman" w:cs="Times New Roman"/>
          <w:sz w:val="24"/>
          <w:szCs w:val="24"/>
        </w:rPr>
        <w:t xml:space="preserve"> </w:t>
      </w:r>
      <w:r w:rsidR="006B51DB" w:rsidRPr="00FD4C39">
        <w:rPr>
          <w:rFonts w:ascii="Times New Roman" w:eastAsia="Calibri" w:hAnsi="Times New Roman" w:cs="Times New Roman"/>
          <w:sz w:val="24"/>
          <w:szCs w:val="24"/>
        </w:rPr>
        <w:t>е</w:t>
      </w:r>
      <w:r w:rsidRPr="00FD4C39">
        <w:rPr>
          <w:rFonts w:ascii="Times New Roman" w:eastAsia="Calibri" w:hAnsi="Times New Roman" w:cs="Times New Roman"/>
          <w:sz w:val="24"/>
          <w:szCs w:val="24"/>
        </w:rPr>
        <w:t xml:space="preserve"> изрази</w:t>
      </w:r>
      <w:r w:rsidR="006B51DB" w:rsidRPr="00FD4C39">
        <w:rPr>
          <w:rFonts w:ascii="Times New Roman" w:eastAsia="Calibri" w:hAnsi="Times New Roman" w:cs="Times New Roman"/>
          <w:sz w:val="24"/>
          <w:szCs w:val="24"/>
        </w:rPr>
        <w:t>ла</w:t>
      </w:r>
      <w:r w:rsidRPr="00FD4C39">
        <w:rPr>
          <w:rFonts w:ascii="Times New Roman" w:eastAsia="Calibri" w:hAnsi="Times New Roman" w:cs="Times New Roman"/>
          <w:sz w:val="24"/>
          <w:szCs w:val="24"/>
        </w:rPr>
        <w:t xml:space="preserve"> официални становища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4 от ЗЗЛД по </w:t>
      </w:r>
      <w:r w:rsidR="00324A1C" w:rsidRPr="00FD4C39">
        <w:rPr>
          <w:rFonts w:ascii="Times New Roman" w:eastAsia="Calibri" w:hAnsi="Times New Roman" w:cs="Times New Roman"/>
          <w:sz w:val="24"/>
          <w:szCs w:val="24"/>
        </w:rPr>
        <w:t xml:space="preserve">80 </w:t>
      </w:r>
      <w:r w:rsidRPr="00FD4C39">
        <w:rPr>
          <w:rFonts w:ascii="Times New Roman" w:eastAsia="Calibri" w:hAnsi="Times New Roman" w:cs="Times New Roman"/>
          <w:sz w:val="24"/>
          <w:szCs w:val="24"/>
        </w:rPr>
        <w:t>искания.</w:t>
      </w:r>
      <w:r w:rsidR="00F808BD" w:rsidRPr="00FD4C39">
        <w:rPr>
          <w:rFonts w:ascii="Times New Roman" w:eastAsia="Calibri" w:hAnsi="Times New Roman" w:cs="Times New Roman"/>
          <w:sz w:val="24"/>
          <w:szCs w:val="24"/>
        </w:rPr>
        <w:t xml:space="preserve"> В настоящия отчет е представена информация относно становища по въпроси от значим обществен интерес или по често срещани казуси</w:t>
      </w:r>
      <w:r w:rsidR="009B2426" w:rsidRPr="00FD4C39">
        <w:rPr>
          <w:rFonts w:ascii="Times New Roman" w:eastAsia="Calibri" w:hAnsi="Times New Roman" w:cs="Times New Roman"/>
          <w:sz w:val="24"/>
          <w:szCs w:val="24"/>
        </w:rPr>
        <w:t xml:space="preserve"> в практиката</w:t>
      </w:r>
      <w:r w:rsidR="00F808BD" w:rsidRPr="00FD4C39">
        <w:rPr>
          <w:rFonts w:ascii="Times New Roman" w:eastAsia="Calibri" w:hAnsi="Times New Roman" w:cs="Times New Roman"/>
          <w:sz w:val="24"/>
          <w:szCs w:val="24"/>
        </w:rPr>
        <w:t xml:space="preserve">. </w:t>
      </w:r>
    </w:p>
    <w:p w:rsidR="0013400E"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 xml:space="preserve">Искания за изразяване на становище, отправени от общините в качеството на </w:t>
      </w:r>
      <w:r w:rsidR="00580030" w:rsidRPr="00FD4C39">
        <w:rPr>
          <w:rFonts w:ascii="Times New Roman" w:eastAsia="Calibri" w:hAnsi="Times New Roman" w:cs="Times New Roman"/>
          <w:b/>
          <w:sz w:val="24"/>
          <w:szCs w:val="24"/>
        </w:rPr>
        <w:t>АЛД</w:t>
      </w:r>
      <w:r w:rsidRPr="00FD4C39">
        <w:rPr>
          <w:rFonts w:ascii="Times New Roman" w:eastAsia="Calibri" w:hAnsi="Times New Roman" w:cs="Times New Roman"/>
          <w:b/>
          <w:sz w:val="24"/>
          <w:szCs w:val="24"/>
        </w:rPr>
        <w:t>, поддържащи на общинско ниво регистрите за гражданско състояние.</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Кметовете на общини се обръщат към КЗЛД за становище във връзка с изисквана от банки информация за наследниците на починали </w:t>
      </w:r>
      <w:proofErr w:type="spellStart"/>
      <w:r w:rsidRPr="00FD4C39">
        <w:rPr>
          <w:rFonts w:ascii="Times New Roman" w:eastAsia="Calibri" w:hAnsi="Times New Roman" w:cs="Times New Roman"/>
          <w:sz w:val="24"/>
          <w:szCs w:val="24"/>
        </w:rPr>
        <w:t>длъжници</w:t>
      </w:r>
      <w:proofErr w:type="spellEnd"/>
      <w:r w:rsidRPr="00FD4C39">
        <w:rPr>
          <w:rFonts w:ascii="Times New Roman" w:eastAsia="Calibri" w:hAnsi="Times New Roman" w:cs="Times New Roman"/>
          <w:sz w:val="24"/>
          <w:szCs w:val="24"/>
        </w:rPr>
        <w:t xml:space="preserve"> по кредити. </w:t>
      </w:r>
      <w:r w:rsidR="00910707" w:rsidRPr="00FD4C39">
        <w:rPr>
          <w:rFonts w:ascii="Times New Roman" w:eastAsia="Calibri" w:hAnsi="Times New Roman" w:cs="Times New Roman"/>
          <w:sz w:val="24"/>
          <w:szCs w:val="24"/>
        </w:rPr>
        <w:t>Принципното становище</w:t>
      </w:r>
      <w:r w:rsidRPr="00FD4C39">
        <w:rPr>
          <w:rFonts w:ascii="Times New Roman" w:eastAsia="Calibri" w:hAnsi="Times New Roman" w:cs="Times New Roman"/>
          <w:sz w:val="24"/>
          <w:szCs w:val="24"/>
        </w:rPr>
        <w:t xml:space="preserve"> на КЗЛД </w:t>
      </w:r>
      <w:r w:rsidR="00910707" w:rsidRPr="00FD4C39">
        <w:rPr>
          <w:rFonts w:ascii="Times New Roman" w:eastAsia="Calibri" w:hAnsi="Times New Roman" w:cs="Times New Roman"/>
          <w:sz w:val="24"/>
          <w:szCs w:val="24"/>
        </w:rPr>
        <w:t xml:space="preserve">в тези случаи </w:t>
      </w:r>
      <w:r w:rsidRPr="00FD4C39">
        <w:rPr>
          <w:rFonts w:ascii="Times New Roman" w:eastAsia="Calibri" w:hAnsi="Times New Roman" w:cs="Times New Roman"/>
          <w:sz w:val="24"/>
          <w:szCs w:val="24"/>
        </w:rPr>
        <w:t>е, че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7 от ЗЗЛД (обработването е необходимо за реализиране на законните интереси на </w:t>
      </w:r>
      <w:r w:rsidR="00580030"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или на трето лице, на което се разкриват данните) във връзка с</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3 от </w:t>
      </w:r>
      <w:r w:rsidR="00FE7018" w:rsidRPr="00FD4C39">
        <w:rPr>
          <w:rFonts w:ascii="Times New Roman" w:eastAsia="Calibri" w:hAnsi="Times New Roman" w:cs="Times New Roman"/>
          <w:sz w:val="24"/>
          <w:szCs w:val="24"/>
        </w:rPr>
        <w:t>З</w:t>
      </w:r>
      <w:r w:rsidR="00D61C6F" w:rsidRPr="00FD4C39">
        <w:rPr>
          <w:rFonts w:ascii="Times New Roman" w:eastAsia="Calibri" w:hAnsi="Times New Roman" w:cs="Times New Roman"/>
          <w:sz w:val="24"/>
          <w:szCs w:val="24"/>
        </w:rPr>
        <w:t xml:space="preserve">акона </w:t>
      </w:r>
      <w:r w:rsidRPr="00FD4C39">
        <w:rPr>
          <w:rFonts w:ascii="Times New Roman" w:eastAsia="Calibri" w:hAnsi="Times New Roman" w:cs="Times New Roman"/>
          <w:sz w:val="24"/>
          <w:szCs w:val="24"/>
        </w:rPr>
        <w:t>за гражданската регистрация (данните от ЕСГРАОН се предоставят на български юридически лица</w:t>
      </w:r>
      <w:r w:rsidR="00E50AC6"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въз основа на разрешение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общините могат да предоставят данни от своите регистри за наследниците на починали лица с цел да бъде предявен иск срещу тях по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124,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 от ГПК, след предоставяне от страна на банката на доказателства и информация относно</w:t>
      </w:r>
      <w:r w:rsidR="00096555" w:rsidRPr="00FD4C39">
        <w:rPr>
          <w:rFonts w:ascii="Times New Roman" w:eastAsia="Calibri" w:hAnsi="Times New Roman" w:cs="Times New Roman"/>
          <w:sz w:val="24"/>
          <w:szCs w:val="24"/>
        </w:rPr>
        <w:t xml:space="preserve"> с</w:t>
      </w:r>
      <w:r w:rsidRPr="00FD4C39">
        <w:rPr>
          <w:rFonts w:ascii="Times New Roman" w:eastAsia="Calibri" w:hAnsi="Times New Roman" w:cs="Times New Roman"/>
          <w:sz w:val="24"/>
          <w:szCs w:val="24"/>
        </w:rPr>
        <w:t>ъществуването на договорни отношения между банката и починалото лице и наличие на валидно и изискуемо задължение, чиято стойност е в ра</w:t>
      </w:r>
      <w:r w:rsidR="004C5A76">
        <w:rPr>
          <w:rFonts w:ascii="Times New Roman" w:eastAsia="Calibri" w:hAnsi="Times New Roman" w:cs="Times New Roman"/>
          <w:sz w:val="24"/>
          <w:szCs w:val="24"/>
        </w:rPr>
        <w:t>змер на спорната сума. В случай</w:t>
      </w:r>
      <w:r w:rsidRPr="00FD4C39">
        <w:rPr>
          <w:rFonts w:ascii="Times New Roman" w:eastAsia="Calibri" w:hAnsi="Times New Roman" w:cs="Times New Roman"/>
          <w:sz w:val="24"/>
          <w:szCs w:val="24"/>
        </w:rPr>
        <w:t xml:space="preserve"> че лицата, данни за които са поискани, са починали, следва да се даде информация за следващия ред</w:t>
      </w:r>
      <w:r w:rsidR="00695EBF" w:rsidRPr="00FD4C39">
        <w:rPr>
          <w:rFonts w:ascii="Times New Roman" w:eastAsia="Calibri" w:hAnsi="Times New Roman" w:cs="Times New Roman"/>
          <w:sz w:val="24"/>
          <w:szCs w:val="24"/>
        </w:rPr>
        <w:t xml:space="preserve"> от кръга роднини на починалия.</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До КЗЛД общините отправят и запитвания във връзка с предоставянето на лични данни, изискани от различни застрахователни дружества. Исканията до общините от застрахователите касаят предоставянето на заверени копия на съобщение за смърт и акт за смърт. Основанието, което се посочва, е разпоредбата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ал. </w:t>
      </w:r>
      <w:r w:rsidR="00D32DF6" w:rsidRPr="00FD4C39">
        <w:rPr>
          <w:rFonts w:ascii="Times New Roman" w:eastAsia="Calibri" w:hAnsi="Times New Roman" w:cs="Times New Roman"/>
          <w:sz w:val="24"/>
          <w:szCs w:val="24"/>
        </w:rPr>
        <w:t>2 от Кодекса з</w:t>
      </w:r>
      <w:r w:rsidRPr="00FD4C39">
        <w:rPr>
          <w:rFonts w:ascii="Times New Roman" w:eastAsia="Calibri" w:hAnsi="Times New Roman" w:cs="Times New Roman"/>
          <w:sz w:val="24"/>
          <w:szCs w:val="24"/>
        </w:rPr>
        <w:t>а застраховането (КЗ). Въз основа на съществуващата закон</w:t>
      </w:r>
      <w:r w:rsidR="004C5A76">
        <w:rPr>
          <w:rFonts w:ascii="Times New Roman" w:eastAsia="Calibri" w:hAnsi="Times New Roman" w:cs="Times New Roman"/>
          <w:sz w:val="24"/>
          <w:szCs w:val="24"/>
        </w:rPr>
        <w:t>ова уредба в Република България</w:t>
      </w:r>
      <w:r w:rsidRPr="00FD4C39">
        <w:rPr>
          <w:rFonts w:ascii="Times New Roman" w:eastAsia="Calibri" w:hAnsi="Times New Roman" w:cs="Times New Roman"/>
          <w:sz w:val="24"/>
          <w:szCs w:val="24"/>
        </w:rPr>
        <w:t xml:space="preserve"> КЗЛД изразява </w:t>
      </w:r>
      <w:r w:rsidR="00C61BEF" w:rsidRPr="00FD4C39">
        <w:rPr>
          <w:rFonts w:ascii="Times New Roman" w:eastAsia="Calibri" w:hAnsi="Times New Roman" w:cs="Times New Roman"/>
          <w:sz w:val="24"/>
          <w:szCs w:val="24"/>
        </w:rPr>
        <w:t>становище, че п</w:t>
      </w:r>
      <w:r w:rsidRPr="00FD4C39">
        <w:rPr>
          <w:rFonts w:ascii="Times New Roman" w:eastAsia="Calibri" w:hAnsi="Times New Roman" w:cs="Times New Roman"/>
          <w:sz w:val="24"/>
          <w:szCs w:val="24"/>
        </w:rPr>
        <w:t xml:space="preserve">редоставянето на лични данни (съобщение за смърт и акт за смърт на физическо лице), съдържащи се в Локална база данни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Население</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която се поддържа на общинско ниво от общините, може да се извърши на основание разпоредбите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6 от ЗЗЛД,</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28,</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8 от </w:t>
      </w:r>
      <w:r w:rsidR="00FE7018" w:rsidRPr="00FD4C39">
        <w:rPr>
          <w:rFonts w:ascii="Times New Roman" w:eastAsia="Calibri" w:hAnsi="Times New Roman" w:cs="Times New Roman"/>
          <w:sz w:val="24"/>
          <w:szCs w:val="24"/>
        </w:rPr>
        <w:t>З</w:t>
      </w:r>
      <w:r w:rsidR="004931E5" w:rsidRPr="00FD4C39">
        <w:rPr>
          <w:rFonts w:ascii="Times New Roman" w:eastAsia="Calibri" w:hAnsi="Times New Roman" w:cs="Times New Roman"/>
          <w:sz w:val="24"/>
          <w:szCs w:val="24"/>
        </w:rPr>
        <w:t>акона за здравето</w:t>
      </w:r>
      <w:r w:rsidRPr="00FD4C39">
        <w:rPr>
          <w:rFonts w:ascii="Times New Roman" w:eastAsia="Calibri" w:hAnsi="Times New Roman" w:cs="Times New Roman"/>
          <w:sz w:val="24"/>
          <w:szCs w:val="24"/>
        </w:rPr>
        <w:t>, във връзка с</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 xml:space="preserve">от КЗ и Наредба </w:t>
      </w:r>
      <w:r w:rsidR="009A2D9F"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 xml:space="preserve">РД-02-20-6 от 24 </w:t>
      </w:r>
      <w:r w:rsidRPr="00FD4C39">
        <w:rPr>
          <w:rFonts w:ascii="Times New Roman" w:eastAsia="Calibri" w:hAnsi="Times New Roman" w:cs="Times New Roman"/>
          <w:sz w:val="24"/>
          <w:szCs w:val="24"/>
        </w:rPr>
        <w:lastRenderedPageBreak/>
        <w:t>април 2012</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издаване на удостоверения въз основа на регистъра на населението, за нуждите на установяване на застрахователно събитие и на вредите, причинени от него. </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Получават се и искания за изразяване на становище на КЗЛД във връзка със зачестили заявления от собственици/съсобственици на жилищни имоти за предоставяне на лични данни (имена, ЕГН) на лицата, които са адресно регистрира</w:t>
      </w:r>
      <w:r w:rsidR="00546EDA">
        <w:rPr>
          <w:rFonts w:ascii="Times New Roman" w:eastAsia="Calibri" w:hAnsi="Times New Roman" w:cs="Times New Roman"/>
          <w:sz w:val="24"/>
          <w:szCs w:val="24"/>
        </w:rPr>
        <w:t>ни на адресите на имотите им от</w:t>
      </w:r>
      <w:r w:rsidRPr="00FD4C39">
        <w:rPr>
          <w:rFonts w:ascii="Times New Roman" w:eastAsia="Calibri" w:hAnsi="Times New Roman" w:cs="Times New Roman"/>
          <w:sz w:val="24"/>
          <w:szCs w:val="24"/>
        </w:rPr>
        <w:t>преди изм</w:t>
      </w:r>
      <w:r w:rsidR="00B50FB2" w:rsidRPr="00FD4C39">
        <w:rPr>
          <w:rFonts w:ascii="Times New Roman" w:eastAsia="Calibri" w:hAnsi="Times New Roman" w:cs="Times New Roman"/>
          <w:sz w:val="24"/>
          <w:szCs w:val="24"/>
        </w:rPr>
        <w:t xml:space="preserve">енението </w:t>
      </w:r>
      <w:r w:rsidRPr="00FD4C39">
        <w:rPr>
          <w:rFonts w:ascii="Times New Roman" w:eastAsia="Calibri" w:hAnsi="Times New Roman" w:cs="Times New Roman"/>
          <w:sz w:val="24"/>
          <w:szCs w:val="24"/>
        </w:rPr>
        <w:t>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92 от </w:t>
      </w:r>
      <w:r w:rsidR="00FE7018" w:rsidRPr="00FD4C39">
        <w:rPr>
          <w:rFonts w:ascii="Times New Roman" w:eastAsia="Calibri" w:hAnsi="Times New Roman" w:cs="Times New Roman"/>
          <w:sz w:val="24"/>
          <w:szCs w:val="24"/>
        </w:rPr>
        <w:t>З</w:t>
      </w:r>
      <w:r w:rsidR="004931E5" w:rsidRPr="00FD4C39">
        <w:rPr>
          <w:rFonts w:ascii="Times New Roman" w:eastAsia="Calibri" w:hAnsi="Times New Roman" w:cs="Times New Roman"/>
          <w:sz w:val="24"/>
          <w:szCs w:val="24"/>
        </w:rPr>
        <w:t>акона</w:t>
      </w:r>
      <w:r w:rsidRPr="00FD4C39">
        <w:rPr>
          <w:rFonts w:ascii="Times New Roman" w:eastAsia="Calibri" w:hAnsi="Times New Roman" w:cs="Times New Roman"/>
          <w:sz w:val="24"/>
          <w:szCs w:val="24"/>
        </w:rPr>
        <w:t xml:space="preserve"> за гражданската рег</w:t>
      </w:r>
      <w:r w:rsidR="00546EDA">
        <w:rPr>
          <w:rFonts w:ascii="Times New Roman" w:eastAsia="Calibri" w:hAnsi="Times New Roman" w:cs="Times New Roman"/>
          <w:sz w:val="24"/>
          <w:szCs w:val="24"/>
        </w:rPr>
        <w:t>истрация (ЗГР) от 20.05.2011</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при действащата тогава законова уредба на регистрационен режим. Във вр</w:t>
      </w:r>
      <w:r w:rsidR="009D2757" w:rsidRPr="00FD4C39">
        <w:rPr>
          <w:rFonts w:ascii="Times New Roman" w:eastAsia="Calibri" w:hAnsi="Times New Roman" w:cs="Times New Roman"/>
          <w:sz w:val="24"/>
          <w:szCs w:val="24"/>
        </w:rPr>
        <w:t xml:space="preserve">ъзка с това се поставя въпросът </w:t>
      </w:r>
      <w:r w:rsidR="00546EDA">
        <w:rPr>
          <w:rFonts w:ascii="Times New Roman" w:eastAsia="Calibri" w:hAnsi="Times New Roman" w:cs="Times New Roman"/>
          <w:sz w:val="24"/>
          <w:szCs w:val="24"/>
        </w:rPr>
        <w:t>до</w:t>
      </w:r>
      <w:r w:rsidRPr="00FD4C39">
        <w:rPr>
          <w:rFonts w:ascii="Times New Roman" w:eastAsia="Calibri" w:hAnsi="Times New Roman" w:cs="Times New Roman"/>
          <w:sz w:val="24"/>
          <w:szCs w:val="24"/>
        </w:rPr>
        <w:t>колко е приложима в тези случаи предвидената правна възможност за предоставяне на лични данни на трети лица, съгласно</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от ЗГР</w:t>
      </w:r>
      <w:r w:rsidR="00546EDA">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какви представени доказателства от собствениците на имоти за наличие на правен интерес биха удовлетворили законосъобразност при предоставяне на данните. Становището на КЗЛД е, че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от ЗЗЛД във връзка с</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1 от ЗГР, общините могат да предоставят на собственици на недвижими имоти информация относно лицата с адресна регист</w:t>
      </w:r>
      <w:r w:rsidR="00546EDA">
        <w:rPr>
          <w:rFonts w:ascii="Times New Roman" w:eastAsia="Calibri" w:hAnsi="Times New Roman" w:cs="Times New Roman"/>
          <w:sz w:val="24"/>
          <w:szCs w:val="24"/>
        </w:rPr>
        <w:t>рация на адресите на имотите им</w:t>
      </w:r>
      <w:r w:rsidRPr="00FD4C39">
        <w:rPr>
          <w:rFonts w:ascii="Times New Roman" w:eastAsia="Calibri" w:hAnsi="Times New Roman" w:cs="Times New Roman"/>
          <w:sz w:val="24"/>
          <w:szCs w:val="24"/>
        </w:rPr>
        <w:t xml:space="preserve"> след представяне на документ, легитимиращ лицето като собственик на съответния недвижимия имот (нотариален акт, съдебни решения, с които се обявяват за окончателни предварителни договори за покупка на недвижими имоти по чл.19 от </w:t>
      </w:r>
      <w:r w:rsidR="00E50AC6" w:rsidRPr="00FD4C39">
        <w:rPr>
          <w:rFonts w:ascii="Times New Roman" w:eastAsia="Calibri" w:hAnsi="Times New Roman" w:cs="Times New Roman"/>
          <w:sz w:val="24"/>
          <w:szCs w:val="24"/>
        </w:rPr>
        <w:t>Закона за задълженията и договорите (</w:t>
      </w:r>
      <w:r w:rsidRPr="00FD4C39">
        <w:rPr>
          <w:rFonts w:ascii="Times New Roman" w:eastAsia="Calibri" w:hAnsi="Times New Roman" w:cs="Times New Roman"/>
          <w:sz w:val="24"/>
          <w:szCs w:val="24"/>
        </w:rPr>
        <w:t>ЗЗД</w:t>
      </w:r>
      <w:r w:rsidR="00E50AC6" w:rsidRPr="00FD4C39">
        <w:rPr>
          <w:rFonts w:ascii="Times New Roman" w:eastAsia="Calibri" w:hAnsi="Times New Roman" w:cs="Times New Roman"/>
          <w:sz w:val="24"/>
          <w:szCs w:val="24"/>
        </w:rPr>
        <w:t>)</w:t>
      </w:r>
      <w:r w:rsidR="00546EDA">
        <w:rPr>
          <w:rFonts w:ascii="Times New Roman" w:eastAsia="Calibri" w:hAnsi="Times New Roman" w:cs="Times New Roman"/>
          <w:sz w:val="24"/>
          <w:szCs w:val="24"/>
        </w:rPr>
        <w:t xml:space="preserve"> и др.)</w:t>
      </w:r>
      <w:r w:rsidRPr="00FD4C39">
        <w:rPr>
          <w:rFonts w:ascii="Times New Roman" w:eastAsia="Calibri" w:hAnsi="Times New Roman" w:cs="Times New Roman"/>
          <w:sz w:val="24"/>
          <w:szCs w:val="24"/>
        </w:rPr>
        <w:t>.</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 xml:space="preserve">Във връзка с провеждане на </w:t>
      </w:r>
      <w:proofErr w:type="spellStart"/>
      <w:r w:rsidRPr="00FD4C39">
        <w:rPr>
          <w:rFonts w:ascii="Times New Roman" w:eastAsia="Calibri" w:hAnsi="Times New Roman" w:cs="Times New Roman"/>
          <w:b/>
          <w:sz w:val="24"/>
          <w:szCs w:val="24"/>
        </w:rPr>
        <w:t>отчуждителни</w:t>
      </w:r>
      <w:proofErr w:type="spellEnd"/>
      <w:r w:rsidRPr="00FD4C39">
        <w:rPr>
          <w:rFonts w:ascii="Times New Roman" w:eastAsia="Calibri" w:hAnsi="Times New Roman" w:cs="Times New Roman"/>
          <w:b/>
          <w:sz w:val="24"/>
          <w:szCs w:val="24"/>
        </w:rPr>
        <w:t xml:space="preserve"> процедури</w:t>
      </w:r>
      <w:r w:rsidR="00E50AC6" w:rsidRPr="00FD4C39">
        <w:rPr>
          <w:rFonts w:ascii="Times New Roman" w:eastAsia="Calibri" w:hAnsi="Times New Roman" w:cs="Times New Roman"/>
          <w:b/>
          <w:sz w:val="24"/>
          <w:szCs w:val="24"/>
        </w:rPr>
        <w:t xml:space="preserve"> по Закона за държавната собственост (ЗДС)</w:t>
      </w:r>
      <w:r w:rsidR="00BE0112" w:rsidRPr="00FD4C39">
        <w:rPr>
          <w:rFonts w:ascii="Times New Roman" w:eastAsia="Calibri" w:hAnsi="Times New Roman" w:cs="Times New Roman"/>
          <w:b/>
          <w:sz w:val="24"/>
          <w:szCs w:val="24"/>
        </w:rPr>
        <w:t>,</w:t>
      </w:r>
      <w:r w:rsidRPr="00FD4C39">
        <w:rPr>
          <w:rFonts w:ascii="Times New Roman" w:eastAsia="Calibri" w:hAnsi="Times New Roman" w:cs="Times New Roman"/>
          <w:b/>
          <w:sz w:val="24"/>
          <w:szCs w:val="24"/>
        </w:rPr>
        <w:t xml:space="preserve"> до КЗЛД често се обръщат различни общини относно предоставянето на Агенция </w:t>
      </w:r>
      <w:r w:rsidR="004931E5" w:rsidRPr="00FD4C39">
        <w:rPr>
          <w:rFonts w:ascii="Times New Roman" w:eastAsia="Calibri" w:hAnsi="Times New Roman" w:cs="Times New Roman"/>
          <w:b/>
          <w:sz w:val="24"/>
          <w:szCs w:val="24"/>
        </w:rPr>
        <w:t>„</w:t>
      </w:r>
      <w:r w:rsidRPr="00FD4C39">
        <w:rPr>
          <w:rFonts w:ascii="Times New Roman" w:eastAsia="Calibri" w:hAnsi="Times New Roman" w:cs="Times New Roman"/>
          <w:b/>
          <w:sz w:val="24"/>
          <w:szCs w:val="24"/>
        </w:rPr>
        <w:t>Пътна инфраструктура</w:t>
      </w:r>
      <w:r w:rsidR="00CF0F1F" w:rsidRPr="00FD4C39">
        <w:rPr>
          <w:rFonts w:ascii="Times New Roman" w:eastAsia="Calibri" w:hAnsi="Times New Roman" w:cs="Times New Roman"/>
          <w:b/>
          <w:sz w:val="24"/>
          <w:szCs w:val="24"/>
        </w:rPr>
        <w:t>“</w:t>
      </w:r>
      <w:r w:rsidRPr="00FD4C39">
        <w:rPr>
          <w:rFonts w:ascii="Times New Roman" w:eastAsia="Calibri" w:hAnsi="Times New Roman" w:cs="Times New Roman"/>
          <w:b/>
          <w:sz w:val="24"/>
          <w:szCs w:val="24"/>
        </w:rPr>
        <w:t xml:space="preserve"> на лични данни на физически лица</w:t>
      </w:r>
      <w:r w:rsidR="00E50AC6" w:rsidRPr="00FD4C39">
        <w:rPr>
          <w:rFonts w:ascii="Times New Roman" w:eastAsia="Calibri" w:hAnsi="Times New Roman" w:cs="Times New Roman"/>
          <w:b/>
          <w:sz w:val="24"/>
          <w:szCs w:val="24"/>
        </w:rPr>
        <w:t>.</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E20FCC"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се произнася със ста</w:t>
      </w:r>
      <w:r w:rsidR="00BB2E95" w:rsidRPr="00FD4C39">
        <w:rPr>
          <w:rFonts w:ascii="Times New Roman" w:eastAsia="Calibri" w:hAnsi="Times New Roman" w:cs="Times New Roman"/>
          <w:sz w:val="24"/>
          <w:szCs w:val="24"/>
        </w:rPr>
        <w:t xml:space="preserve">новища, в които се посочва, че </w:t>
      </w:r>
      <w:r w:rsidRPr="00FD4C39">
        <w:rPr>
          <w:rFonts w:ascii="Times New Roman" w:eastAsia="Calibri" w:hAnsi="Times New Roman" w:cs="Times New Roman"/>
          <w:sz w:val="24"/>
          <w:szCs w:val="24"/>
        </w:rPr>
        <w:t xml:space="preserve">общините могат да предоставят на Агенция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Пътна инфраструктура</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лични данни (име, презиме, фамилия на лицата, единен граждански номер, постоянен адрес, родство с наследодателя) на собствениците на имоти или на наследниците на починалите собственици на имоти, съдържащи се в Локална база данни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Население</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която се поддържа на общинско ниво от съответната община,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5 и</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6 от ЗЗЛД във връзка с </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2 от </w:t>
      </w:r>
      <w:r w:rsidR="00BE0112" w:rsidRPr="00FD4C39">
        <w:rPr>
          <w:rFonts w:ascii="Times New Roman" w:eastAsia="Calibri" w:hAnsi="Times New Roman" w:cs="Times New Roman"/>
          <w:sz w:val="24"/>
          <w:szCs w:val="24"/>
        </w:rPr>
        <w:t>ЗГР</w:t>
      </w:r>
      <w:r w:rsidRPr="00FD4C39">
        <w:rPr>
          <w:rFonts w:ascii="Times New Roman" w:eastAsia="Calibri" w:hAnsi="Times New Roman" w:cs="Times New Roman"/>
          <w:sz w:val="24"/>
          <w:szCs w:val="24"/>
        </w:rPr>
        <w:t>.</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 xml:space="preserve">През 2014 година </w:t>
      </w:r>
      <w:r w:rsidR="008B0F61" w:rsidRPr="00FD4C39">
        <w:rPr>
          <w:rFonts w:ascii="Times New Roman" w:eastAsia="Calibri" w:hAnsi="Times New Roman" w:cs="Times New Roman"/>
          <w:b/>
          <w:sz w:val="24"/>
          <w:szCs w:val="24"/>
        </w:rPr>
        <w:t>е</w:t>
      </w:r>
      <w:r w:rsidRPr="00FD4C39">
        <w:rPr>
          <w:rFonts w:ascii="Times New Roman" w:eastAsia="Calibri" w:hAnsi="Times New Roman" w:cs="Times New Roman"/>
          <w:b/>
          <w:sz w:val="24"/>
          <w:szCs w:val="24"/>
        </w:rPr>
        <w:t xml:space="preserve"> получ</w:t>
      </w:r>
      <w:r w:rsidR="008B0F61" w:rsidRPr="00FD4C39">
        <w:rPr>
          <w:rFonts w:ascii="Times New Roman" w:eastAsia="Calibri" w:hAnsi="Times New Roman" w:cs="Times New Roman"/>
          <w:b/>
          <w:sz w:val="24"/>
          <w:szCs w:val="24"/>
        </w:rPr>
        <w:t>ено</w:t>
      </w:r>
      <w:r w:rsidRPr="00FD4C39">
        <w:rPr>
          <w:rFonts w:ascii="Times New Roman" w:eastAsia="Calibri" w:hAnsi="Times New Roman" w:cs="Times New Roman"/>
          <w:b/>
          <w:sz w:val="24"/>
          <w:szCs w:val="24"/>
        </w:rPr>
        <w:t xml:space="preserve"> и искане за становище от кмета на община Омуртаг във връзка с реда, начина и условията и допустимия обем при обмен на информация и евентуално на лични данни между </w:t>
      </w:r>
      <w:r w:rsidR="00546EDA">
        <w:rPr>
          <w:rFonts w:ascii="Times New Roman" w:eastAsia="Calibri" w:hAnsi="Times New Roman" w:cs="Times New Roman"/>
          <w:b/>
          <w:sz w:val="24"/>
          <w:szCs w:val="24"/>
        </w:rPr>
        <w:t>о</w:t>
      </w:r>
      <w:r w:rsidRPr="00FD4C39">
        <w:rPr>
          <w:rFonts w:ascii="Times New Roman" w:eastAsia="Calibri" w:hAnsi="Times New Roman" w:cs="Times New Roman"/>
          <w:b/>
          <w:sz w:val="24"/>
          <w:szCs w:val="24"/>
        </w:rPr>
        <w:t>бщина Ом</w:t>
      </w:r>
      <w:r w:rsidR="00546EDA">
        <w:rPr>
          <w:rFonts w:ascii="Times New Roman" w:eastAsia="Calibri" w:hAnsi="Times New Roman" w:cs="Times New Roman"/>
          <w:b/>
          <w:sz w:val="24"/>
          <w:szCs w:val="24"/>
        </w:rPr>
        <w:t>уртаг и град Мюнхен, Федерална р</w:t>
      </w:r>
      <w:r w:rsidRPr="00FD4C39">
        <w:rPr>
          <w:rFonts w:ascii="Times New Roman" w:eastAsia="Calibri" w:hAnsi="Times New Roman" w:cs="Times New Roman"/>
          <w:b/>
          <w:sz w:val="24"/>
          <w:szCs w:val="24"/>
        </w:rPr>
        <w:t>епублика Германия, във връзка с предстоящо сключване на тристранен Меморандум за разбирателство между об</w:t>
      </w:r>
      <w:r w:rsidR="00F05714" w:rsidRPr="00FD4C39">
        <w:rPr>
          <w:rFonts w:ascii="Times New Roman" w:eastAsia="Calibri" w:hAnsi="Times New Roman" w:cs="Times New Roman"/>
          <w:b/>
          <w:sz w:val="24"/>
          <w:szCs w:val="24"/>
        </w:rPr>
        <w:t xml:space="preserve">щина Омуртаг, община Пазарджик </w:t>
      </w:r>
      <w:r w:rsidRPr="00FD4C39">
        <w:rPr>
          <w:rFonts w:ascii="Times New Roman" w:eastAsia="Calibri" w:hAnsi="Times New Roman" w:cs="Times New Roman"/>
          <w:b/>
          <w:sz w:val="24"/>
          <w:szCs w:val="24"/>
        </w:rPr>
        <w:t>и град Мюнхен</w:t>
      </w:r>
      <w:r w:rsidRPr="00FD4C39">
        <w:rPr>
          <w:rFonts w:ascii="Times New Roman" w:eastAsia="Calibri" w:hAnsi="Times New Roman" w:cs="Times New Roman"/>
          <w:sz w:val="24"/>
          <w:szCs w:val="24"/>
        </w:rPr>
        <w:t xml:space="preserve">. Меморандумът има като цяло за задача разясняване и </w:t>
      </w:r>
      <w:r w:rsidRPr="00FD4C39">
        <w:rPr>
          <w:rFonts w:ascii="Times New Roman" w:eastAsia="Calibri" w:hAnsi="Times New Roman" w:cs="Times New Roman"/>
          <w:sz w:val="24"/>
          <w:szCs w:val="24"/>
        </w:rPr>
        <w:lastRenderedPageBreak/>
        <w:t xml:space="preserve">защита правата на ромското население от двете български общини, постоянно и/или временно пребиващи на територията на град Мюнхен, както и интеграцията на същите в двете страни посредством осъществяване на сътрудничество на държавните, местни администрации и неправителствени организации. </w:t>
      </w:r>
      <w:r w:rsidR="00FE7018" w:rsidRPr="00FD4C39">
        <w:rPr>
          <w:rFonts w:ascii="Times New Roman" w:eastAsia="Calibri" w:hAnsi="Times New Roman" w:cs="Times New Roman"/>
          <w:sz w:val="24"/>
          <w:szCs w:val="24"/>
        </w:rPr>
        <w:t>КЗЛД</w:t>
      </w:r>
      <w:r w:rsidR="00546EDA">
        <w:rPr>
          <w:rFonts w:ascii="Times New Roman" w:eastAsia="Calibri" w:hAnsi="Times New Roman" w:cs="Times New Roman"/>
          <w:sz w:val="24"/>
          <w:szCs w:val="24"/>
        </w:rPr>
        <w:t xml:space="preserve"> </w:t>
      </w:r>
      <w:r w:rsidR="009F528C" w:rsidRPr="00FD4C39">
        <w:rPr>
          <w:rFonts w:ascii="Times New Roman" w:eastAsia="Calibri" w:hAnsi="Times New Roman" w:cs="Times New Roman"/>
          <w:sz w:val="24"/>
          <w:szCs w:val="24"/>
        </w:rPr>
        <w:t>прие</w:t>
      </w:r>
      <w:r w:rsidR="00546EDA">
        <w:rPr>
          <w:rFonts w:ascii="Times New Roman" w:eastAsia="Calibri" w:hAnsi="Times New Roman" w:cs="Times New Roman"/>
          <w:sz w:val="24"/>
          <w:szCs w:val="24"/>
        </w:rPr>
        <w:t>м</w:t>
      </w:r>
      <w:r w:rsidR="009F528C" w:rsidRPr="00FD4C39">
        <w:rPr>
          <w:rFonts w:ascii="Times New Roman" w:eastAsia="Calibri" w:hAnsi="Times New Roman" w:cs="Times New Roman"/>
          <w:sz w:val="24"/>
          <w:szCs w:val="24"/>
        </w:rPr>
        <w:t>а</w:t>
      </w:r>
      <w:r w:rsidRPr="00FD4C39">
        <w:rPr>
          <w:rFonts w:ascii="Times New Roman" w:eastAsia="Calibri" w:hAnsi="Times New Roman" w:cs="Times New Roman"/>
          <w:sz w:val="24"/>
          <w:szCs w:val="24"/>
        </w:rPr>
        <w:t>, че за да е налице законосъобразно обработване на лични данни чрез тяхното предоставяне, същото следва да се осъществява при наличие на поне едно от дадените алтернативно в</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 от ЗЗЛД, във връзка с</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106 от </w:t>
      </w:r>
      <w:r w:rsidR="006C63D2" w:rsidRPr="00FD4C39">
        <w:rPr>
          <w:rFonts w:ascii="Times New Roman" w:eastAsia="Calibri" w:hAnsi="Times New Roman" w:cs="Times New Roman"/>
          <w:sz w:val="24"/>
          <w:szCs w:val="24"/>
        </w:rPr>
        <w:t>ЗГР</w:t>
      </w:r>
      <w:r w:rsidRPr="00FD4C39">
        <w:rPr>
          <w:rFonts w:ascii="Times New Roman" w:eastAsia="Calibri" w:hAnsi="Times New Roman" w:cs="Times New Roman"/>
          <w:sz w:val="24"/>
          <w:szCs w:val="24"/>
        </w:rPr>
        <w:t xml:space="preserve">, както и при стриктно спазване на принципите за целесъобразност, пропорционалност и актуалност на данните. Преценката относно наличието на условие за допустимост на обработването на лични данни е на </w:t>
      </w:r>
      <w:r w:rsidR="00580030" w:rsidRPr="00FD4C39">
        <w:rPr>
          <w:rFonts w:ascii="Times New Roman" w:eastAsia="Calibri" w:hAnsi="Times New Roman" w:cs="Times New Roman"/>
          <w:sz w:val="24"/>
          <w:szCs w:val="24"/>
        </w:rPr>
        <w:t>АЛД</w:t>
      </w:r>
      <w:r w:rsidR="00546EDA">
        <w:rPr>
          <w:rFonts w:ascii="Times New Roman" w:eastAsia="Calibri" w:hAnsi="Times New Roman" w:cs="Times New Roman"/>
          <w:sz w:val="24"/>
          <w:szCs w:val="24"/>
        </w:rPr>
        <w:t>,</w:t>
      </w:r>
      <w:r w:rsidR="00580030" w:rsidRPr="00FD4C39">
        <w:rPr>
          <w:rFonts w:ascii="Times New Roman" w:eastAsia="Calibri" w:hAnsi="Times New Roman" w:cs="Times New Roman"/>
          <w:sz w:val="24"/>
          <w:szCs w:val="24"/>
        </w:rPr>
        <w:t xml:space="preserve"> </w:t>
      </w:r>
      <w:r w:rsidR="00FF3117" w:rsidRPr="00FD4C39">
        <w:rPr>
          <w:rFonts w:ascii="Times New Roman" w:eastAsia="Calibri" w:hAnsi="Times New Roman" w:cs="Times New Roman"/>
          <w:sz w:val="24"/>
          <w:szCs w:val="24"/>
        </w:rPr>
        <w:t>предоставящ данните</w:t>
      </w:r>
      <w:r w:rsidR="00546EDA">
        <w:rPr>
          <w:rFonts w:ascii="Times New Roman" w:eastAsia="Calibri" w:hAnsi="Times New Roman" w:cs="Times New Roman"/>
          <w:sz w:val="24"/>
          <w:szCs w:val="24"/>
        </w:rPr>
        <w:t>,</w:t>
      </w:r>
      <w:r w:rsidR="00FF3117"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и следва да бъде извършвано за всеки един конкретен случай на евентуално възникнала необходимост. Преценката относно начина, по който ще бъде оформена и изпратена исканата информация, както и предприетите технически и организационни мерки за сигурност на информацията при осъществяване на нейното предоставяне е изцяло задължение и отговорност на </w:t>
      </w:r>
      <w:r w:rsidR="00580030"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предоставящ данните. </w:t>
      </w:r>
    </w:p>
    <w:p w:rsidR="005949C9"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Наблюдава се тенденция за разработване на все повече ел</w:t>
      </w:r>
      <w:r w:rsidR="00546EDA">
        <w:rPr>
          <w:rFonts w:ascii="Times New Roman" w:eastAsia="Calibri" w:hAnsi="Times New Roman" w:cs="Times New Roman"/>
          <w:b/>
          <w:sz w:val="24"/>
          <w:szCs w:val="24"/>
        </w:rPr>
        <w:t>ектронни административни услуги</w:t>
      </w:r>
      <w:r w:rsidRPr="00FD4C39">
        <w:rPr>
          <w:rFonts w:ascii="Times New Roman" w:eastAsia="Calibri" w:hAnsi="Times New Roman" w:cs="Times New Roman"/>
          <w:b/>
          <w:sz w:val="24"/>
          <w:szCs w:val="24"/>
        </w:rPr>
        <w:t xml:space="preserve"> както от страна на централната, така и от страна на общинската администрация. Във връзка с предоставянето </w:t>
      </w:r>
      <w:r w:rsidR="006A0D6F" w:rsidRPr="00FD4C39">
        <w:rPr>
          <w:rFonts w:ascii="Times New Roman" w:eastAsia="Calibri" w:hAnsi="Times New Roman" w:cs="Times New Roman"/>
          <w:b/>
          <w:sz w:val="24"/>
          <w:szCs w:val="24"/>
        </w:rPr>
        <w:t>на тези услуги</w:t>
      </w:r>
      <w:r w:rsidRPr="00FD4C39">
        <w:rPr>
          <w:rFonts w:ascii="Times New Roman" w:eastAsia="Calibri" w:hAnsi="Times New Roman" w:cs="Times New Roman"/>
          <w:b/>
          <w:sz w:val="24"/>
          <w:szCs w:val="24"/>
        </w:rPr>
        <w:t xml:space="preserve"> на гражданите възникват някои въпроси относно приложението на ЗЗЛД.</w:t>
      </w:r>
      <w:r w:rsidRPr="00FD4C39">
        <w:rPr>
          <w:rFonts w:ascii="Times New Roman" w:eastAsia="Calibri" w:hAnsi="Times New Roman" w:cs="Times New Roman"/>
          <w:sz w:val="24"/>
          <w:szCs w:val="24"/>
        </w:rPr>
        <w:t xml:space="preserve"> Така например през годината в КЗЛД </w:t>
      </w:r>
      <w:r w:rsidR="00546EDA">
        <w:rPr>
          <w:rFonts w:ascii="Times New Roman" w:eastAsia="Calibri" w:hAnsi="Times New Roman" w:cs="Times New Roman"/>
          <w:sz w:val="24"/>
          <w:szCs w:val="24"/>
        </w:rPr>
        <w:t>постъпват</w:t>
      </w:r>
      <w:r w:rsidRPr="00FD4C39">
        <w:rPr>
          <w:rFonts w:ascii="Times New Roman" w:eastAsia="Calibri" w:hAnsi="Times New Roman" w:cs="Times New Roman"/>
          <w:sz w:val="24"/>
          <w:szCs w:val="24"/>
        </w:rPr>
        <w:t xml:space="preserve"> искания за изразяване на становища от </w:t>
      </w:r>
      <w:proofErr w:type="spellStart"/>
      <w:r w:rsidRPr="00FD4C39">
        <w:rPr>
          <w:rFonts w:ascii="Times New Roman" w:eastAsia="Calibri" w:hAnsi="Times New Roman" w:cs="Times New Roman"/>
          <w:sz w:val="24"/>
          <w:szCs w:val="24"/>
        </w:rPr>
        <w:t>Столична</w:t>
      </w:r>
      <w:r w:rsidR="00546EDA">
        <w:rPr>
          <w:rFonts w:ascii="Times New Roman" w:eastAsia="Calibri" w:hAnsi="Times New Roman" w:cs="Times New Roman"/>
          <w:sz w:val="24"/>
          <w:szCs w:val="24"/>
        </w:rPr>
        <w:t>а</w:t>
      </w:r>
      <w:proofErr w:type="spellEnd"/>
      <w:r w:rsidRPr="00FD4C39">
        <w:rPr>
          <w:rFonts w:ascii="Times New Roman" w:eastAsia="Calibri" w:hAnsi="Times New Roman" w:cs="Times New Roman"/>
          <w:sz w:val="24"/>
          <w:szCs w:val="24"/>
        </w:rPr>
        <w:t xml:space="preserve"> община и Българската агенция за безопасност на храните във връзка с проекти по европейски програми с крайна цел разширяване гамата от електронни административни услуги, които ще се пред</w:t>
      </w:r>
      <w:r w:rsidR="00546EDA">
        <w:rPr>
          <w:rFonts w:ascii="Times New Roman" w:eastAsia="Calibri" w:hAnsi="Times New Roman" w:cs="Times New Roman"/>
          <w:sz w:val="24"/>
          <w:szCs w:val="24"/>
        </w:rPr>
        <w:t>лагат на гражданите. Изразява се</w:t>
      </w:r>
      <w:r w:rsidRPr="00FD4C39">
        <w:rPr>
          <w:rFonts w:ascii="Times New Roman" w:eastAsia="Calibri" w:hAnsi="Times New Roman" w:cs="Times New Roman"/>
          <w:sz w:val="24"/>
          <w:szCs w:val="24"/>
        </w:rPr>
        <w:t xml:space="preserve"> желание от двете институции да получат разрешение за достъп до Регистър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Население</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на НБД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Население</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с цел извършване проверка на самоличността на заявителя при подаване на заявление по електронен път за предоставяне на електронна административна услуга.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1 от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във връзка с</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106,</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2 от </w:t>
      </w:r>
      <w:r w:rsidR="00C05348" w:rsidRPr="00FD4C39">
        <w:rPr>
          <w:rFonts w:ascii="Times New Roman" w:eastAsia="Calibri" w:hAnsi="Times New Roman" w:cs="Times New Roman"/>
          <w:sz w:val="24"/>
          <w:szCs w:val="24"/>
        </w:rPr>
        <w:t>ЗГР</w:t>
      </w:r>
      <w:r w:rsidRPr="00FD4C39">
        <w:rPr>
          <w:rFonts w:ascii="Times New Roman" w:eastAsia="Calibri" w:hAnsi="Times New Roman" w:cs="Times New Roman"/>
          <w:sz w:val="24"/>
          <w:szCs w:val="24"/>
        </w:rPr>
        <w:t>, ГД ГРАО към Министерство</w:t>
      </w:r>
      <w:r w:rsidR="00546EDA">
        <w:rPr>
          <w:rFonts w:ascii="Times New Roman" w:eastAsia="Calibri" w:hAnsi="Times New Roman" w:cs="Times New Roman"/>
          <w:sz w:val="24"/>
          <w:szCs w:val="24"/>
        </w:rPr>
        <w:t>то</w:t>
      </w:r>
      <w:r w:rsidRPr="00FD4C39">
        <w:rPr>
          <w:rFonts w:ascii="Times New Roman" w:eastAsia="Calibri" w:hAnsi="Times New Roman" w:cs="Times New Roman"/>
          <w:sz w:val="24"/>
          <w:szCs w:val="24"/>
        </w:rPr>
        <w:t xml:space="preserve"> на регионалното развитие следва да</w:t>
      </w:r>
      <w:r w:rsidR="00546EDA">
        <w:rPr>
          <w:rFonts w:ascii="Times New Roman" w:eastAsia="Calibri" w:hAnsi="Times New Roman" w:cs="Times New Roman"/>
          <w:sz w:val="24"/>
          <w:szCs w:val="24"/>
        </w:rPr>
        <w:t xml:space="preserve"> се</w:t>
      </w:r>
      <w:r w:rsidRPr="00FD4C39">
        <w:rPr>
          <w:rFonts w:ascii="Times New Roman" w:eastAsia="Calibri" w:hAnsi="Times New Roman" w:cs="Times New Roman"/>
          <w:sz w:val="24"/>
          <w:szCs w:val="24"/>
        </w:rPr>
        <w:t xml:space="preserve"> предостави безплатен автоматизиран достъп до Регистър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Население</w:t>
      </w:r>
      <w:r w:rsidR="00CF0F1F" w:rsidRPr="00FD4C39">
        <w:rPr>
          <w:rFonts w:ascii="Times New Roman" w:eastAsia="Calibri" w:hAnsi="Times New Roman" w:cs="Times New Roman"/>
          <w:sz w:val="24"/>
          <w:szCs w:val="24"/>
        </w:rPr>
        <w:t>“</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НБД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Население</w:t>
      </w:r>
      <w:r w:rsidR="00CF0F1F" w:rsidRPr="00FD4C39">
        <w:rPr>
          <w:rFonts w:ascii="Times New Roman" w:eastAsia="Calibri" w:hAnsi="Times New Roman" w:cs="Times New Roman"/>
          <w:sz w:val="24"/>
          <w:szCs w:val="24"/>
        </w:rPr>
        <w:t>“</w:t>
      </w:r>
      <w:r w:rsidR="00546EDA">
        <w:rPr>
          <w:rFonts w:ascii="Times New Roman" w:eastAsia="Calibri" w:hAnsi="Times New Roman" w:cs="Times New Roman"/>
          <w:sz w:val="24"/>
          <w:szCs w:val="24"/>
        </w:rPr>
        <w:t>. В становището на КЗЛД обаче се</w:t>
      </w:r>
      <w:r w:rsidRPr="00FD4C39">
        <w:rPr>
          <w:rFonts w:ascii="Times New Roman" w:eastAsia="Calibri" w:hAnsi="Times New Roman" w:cs="Times New Roman"/>
          <w:sz w:val="24"/>
          <w:szCs w:val="24"/>
        </w:rPr>
        <w:t xml:space="preserve"> предви</w:t>
      </w:r>
      <w:r w:rsidR="00546EDA">
        <w:rPr>
          <w:rFonts w:ascii="Times New Roman" w:eastAsia="Calibri" w:hAnsi="Times New Roman" w:cs="Times New Roman"/>
          <w:sz w:val="24"/>
          <w:szCs w:val="24"/>
        </w:rPr>
        <w:t>жда достъпът да се</w:t>
      </w:r>
      <w:r w:rsidRPr="00FD4C39">
        <w:rPr>
          <w:rFonts w:ascii="Times New Roman" w:eastAsia="Calibri" w:hAnsi="Times New Roman" w:cs="Times New Roman"/>
          <w:sz w:val="24"/>
          <w:szCs w:val="24"/>
        </w:rPr>
        <w:t xml:space="preserve"> огранич</w:t>
      </w:r>
      <w:r w:rsidR="00546EDA">
        <w:rPr>
          <w:rFonts w:ascii="Times New Roman" w:eastAsia="Calibri" w:hAnsi="Times New Roman" w:cs="Times New Roman"/>
          <w:sz w:val="24"/>
          <w:szCs w:val="24"/>
        </w:rPr>
        <w:t>ава</w:t>
      </w:r>
      <w:r w:rsidRPr="00FD4C39">
        <w:rPr>
          <w:rFonts w:ascii="Times New Roman" w:eastAsia="Calibri" w:hAnsi="Times New Roman" w:cs="Times New Roman"/>
          <w:sz w:val="24"/>
          <w:szCs w:val="24"/>
        </w:rPr>
        <w:t xml:space="preserve"> единствено до категориите данни, които са необходими за целите на конкретно предоставяните услуги. Тъй като и в двата аналогични случая, </w:t>
      </w:r>
      <w:r w:rsidR="00546EDA">
        <w:rPr>
          <w:rFonts w:ascii="Times New Roman" w:eastAsia="Calibri" w:hAnsi="Times New Roman" w:cs="Times New Roman"/>
          <w:sz w:val="24"/>
          <w:szCs w:val="24"/>
        </w:rPr>
        <w:t>разглеждани</w:t>
      </w:r>
      <w:r w:rsidRPr="00FD4C39">
        <w:rPr>
          <w:rFonts w:ascii="Times New Roman" w:eastAsia="Calibri" w:hAnsi="Times New Roman" w:cs="Times New Roman"/>
          <w:sz w:val="24"/>
          <w:szCs w:val="24"/>
        </w:rPr>
        <w:t xml:space="preserve"> от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автоматизираният достъп и обмен на данни се осъществява през софтуерната инфраструктура, поддържана от </w:t>
      </w:r>
      <w:r w:rsidR="00C05348" w:rsidRPr="00FD4C39">
        <w:rPr>
          <w:rFonts w:ascii="Times New Roman" w:eastAsia="Calibri" w:hAnsi="Times New Roman" w:cs="Times New Roman"/>
          <w:sz w:val="24"/>
          <w:szCs w:val="24"/>
        </w:rPr>
        <w:t>Министерство</w:t>
      </w:r>
      <w:r w:rsidR="00546EDA">
        <w:rPr>
          <w:rFonts w:ascii="Times New Roman" w:eastAsia="Calibri" w:hAnsi="Times New Roman" w:cs="Times New Roman"/>
          <w:sz w:val="24"/>
          <w:szCs w:val="24"/>
        </w:rPr>
        <w:t>то</w:t>
      </w:r>
      <w:r w:rsidR="00C05348" w:rsidRPr="00FD4C39">
        <w:rPr>
          <w:rFonts w:ascii="Times New Roman" w:eastAsia="Calibri" w:hAnsi="Times New Roman" w:cs="Times New Roman"/>
          <w:sz w:val="24"/>
          <w:szCs w:val="24"/>
        </w:rPr>
        <w:t xml:space="preserve"> на транспорта, информационните технологии и </w:t>
      </w:r>
      <w:r w:rsidR="00C05348" w:rsidRPr="00FD4C39">
        <w:rPr>
          <w:rFonts w:ascii="Times New Roman" w:eastAsia="Calibri" w:hAnsi="Times New Roman" w:cs="Times New Roman"/>
          <w:sz w:val="24"/>
          <w:szCs w:val="24"/>
        </w:rPr>
        <w:lastRenderedPageBreak/>
        <w:t>съобщенията (</w:t>
      </w:r>
      <w:r w:rsidRPr="00FD4C39">
        <w:rPr>
          <w:rFonts w:ascii="Times New Roman" w:eastAsia="Calibri" w:hAnsi="Times New Roman" w:cs="Times New Roman"/>
          <w:sz w:val="24"/>
          <w:szCs w:val="24"/>
        </w:rPr>
        <w:t>МТИТС</w:t>
      </w:r>
      <w:r w:rsidR="00C05348"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проектите следва да се осъществят в условията на тристранни споразумения, включващи ГД ГРАО и МТИТС. </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Всеки път, когато изразява становище във връзка с предоставяне на електронни услуги, КЗЛД подчертава особената важност на информацията за обработването на личните данни на потребителите, която конкретния</w:t>
      </w:r>
      <w:r w:rsidR="00E20FCC" w:rsidRPr="00FD4C39">
        <w:rPr>
          <w:rFonts w:ascii="Times New Roman" w:eastAsia="Calibri" w:hAnsi="Times New Roman" w:cs="Times New Roman"/>
          <w:sz w:val="24"/>
          <w:szCs w:val="24"/>
        </w:rPr>
        <w:t>т</w:t>
      </w:r>
      <w:r w:rsidRPr="00FD4C39">
        <w:rPr>
          <w:rFonts w:ascii="Times New Roman" w:eastAsia="Calibri" w:hAnsi="Times New Roman" w:cs="Times New Roman"/>
          <w:sz w:val="24"/>
          <w:szCs w:val="24"/>
        </w:rPr>
        <w:t xml:space="preserve"> </w:t>
      </w:r>
      <w:r w:rsidR="00580030"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трябва да им предостави по смисъла на ЗЗЛД. </w:t>
      </w:r>
    </w:p>
    <w:p w:rsidR="005949C9" w:rsidRPr="00FD4C39" w:rsidRDefault="00214DB5"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Интерес представлява </w:t>
      </w:r>
      <w:r w:rsidR="005243A3" w:rsidRPr="00FD4C39">
        <w:rPr>
          <w:rFonts w:ascii="Times New Roman" w:eastAsia="Calibri" w:hAnsi="Times New Roman" w:cs="Times New Roman"/>
          <w:sz w:val="24"/>
          <w:szCs w:val="24"/>
        </w:rPr>
        <w:t>молба</w:t>
      </w:r>
      <w:r w:rsidR="00EF364C" w:rsidRPr="00FD4C39">
        <w:rPr>
          <w:rFonts w:ascii="Times New Roman" w:eastAsia="Calibri" w:hAnsi="Times New Roman" w:cs="Times New Roman"/>
          <w:sz w:val="24"/>
          <w:szCs w:val="24"/>
        </w:rPr>
        <w:t xml:space="preserve"> за </w:t>
      </w:r>
      <w:r w:rsidR="00EF364C" w:rsidRPr="00FD4C39">
        <w:rPr>
          <w:rFonts w:ascii="Times New Roman" w:eastAsia="Calibri" w:hAnsi="Times New Roman" w:cs="Times New Roman"/>
          <w:b/>
          <w:sz w:val="24"/>
          <w:szCs w:val="24"/>
        </w:rPr>
        <w:t xml:space="preserve">становище от страна на банка във връзка с отправено </w:t>
      </w:r>
      <w:r w:rsidR="005243A3" w:rsidRPr="00FD4C39">
        <w:rPr>
          <w:rFonts w:ascii="Times New Roman" w:eastAsia="Calibri" w:hAnsi="Times New Roman" w:cs="Times New Roman"/>
          <w:b/>
          <w:sz w:val="24"/>
          <w:szCs w:val="24"/>
        </w:rPr>
        <w:t>към нея</w:t>
      </w:r>
      <w:r w:rsidR="00EF364C" w:rsidRPr="00FD4C39">
        <w:rPr>
          <w:rFonts w:ascii="Times New Roman" w:eastAsia="Calibri" w:hAnsi="Times New Roman" w:cs="Times New Roman"/>
          <w:b/>
          <w:sz w:val="24"/>
          <w:szCs w:val="24"/>
        </w:rPr>
        <w:t xml:space="preserve"> от застрахователно дружество за предоставяне на лични данни</w:t>
      </w:r>
      <w:r w:rsidR="004D42A2">
        <w:rPr>
          <w:rFonts w:ascii="Times New Roman" w:eastAsia="Calibri" w:hAnsi="Times New Roman" w:cs="Times New Roman"/>
          <w:b/>
          <w:sz w:val="24"/>
          <w:szCs w:val="24"/>
        </w:rPr>
        <w:t xml:space="preserve"> – </w:t>
      </w:r>
      <w:r w:rsidR="00EF364C" w:rsidRPr="00FD4C39">
        <w:rPr>
          <w:rFonts w:ascii="Times New Roman" w:eastAsia="Calibri" w:hAnsi="Times New Roman" w:cs="Times New Roman"/>
          <w:b/>
          <w:sz w:val="24"/>
          <w:szCs w:val="24"/>
        </w:rPr>
        <w:t>имена и ЕГН на клиенти на банката</w:t>
      </w:r>
      <w:r w:rsidR="00EF364C" w:rsidRPr="00FD4C39">
        <w:rPr>
          <w:rFonts w:ascii="Times New Roman" w:eastAsia="Calibri" w:hAnsi="Times New Roman" w:cs="Times New Roman"/>
          <w:sz w:val="24"/>
          <w:szCs w:val="24"/>
        </w:rPr>
        <w:t>. При изплащане чрез банков превод на застрахователни обезщ</w:t>
      </w:r>
      <w:r w:rsidR="00926D08" w:rsidRPr="00FD4C39">
        <w:rPr>
          <w:rFonts w:ascii="Times New Roman" w:eastAsia="Calibri" w:hAnsi="Times New Roman" w:cs="Times New Roman"/>
          <w:sz w:val="24"/>
          <w:szCs w:val="24"/>
        </w:rPr>
        <w:t>етения по щети, предявени пред з</w:t>
      </w:r>
      <w:r w:rsidR="00EF364C" w:rsidRPr="00FD4C39">
        <w:rPr>
          <w:rFonts w:ascii="Times New Roman" w:eastAsia="Calibri" w:hAnsi="Times New Roman" w:cs="Times New Roman"/>
          <w:sz w:val="24"/>
          <w:szCs w:val="24"/>
        </w:rPr>
        <w:t xml:space="preserve">астрахователя, последният посочва в платежни нареждания IBAN на сметката на получателя, която следва да бъде заверена със сумата на превода. При изпълнение на платежните нареждания, съгласно </w:t>
      </w:r>
      <w:r w:rsidR="00446724" w:rsidRPr="00FD4C39">
        <w:rPr>
          <w:rFonts w:ascii="Times New Roman" w:eastAsia="Calibri" w:hAnsi="Times New Roman" w:cs="Times New Roman"/>
          <w:sz w:val="24"/>
          <w:szCs w:val="24"/>
        </w:rPr>
        <w:t>Закона</w:t>
      </w:r>
      <w:r w:rsidR="00EF364C" w:rsidRPr="00FD4C39">
        <w:rPr>
          <w:rFonts w:ascii="Times New Roman" w:eastAsia="Calibri" w:hAnsi="Times New Roman" w:cs="Times New Roman"/>
          <w:sz w:val="24"/>
          <w:szCs w:val="24"/>
        </w:rPr>
        <w:t xml:space="preserve"> за платежн</w:t>
      </w:r>
      <w:r w:rsidR="00546EDA">
        <w:rPr>
          <w:rFonts w:ascii="Times New Roman" w:eastAsia="Calibri" w:hAnsi="Times New Roman" w:cs="Times New Roman"/>
          <w:sz w:val="24"/>
          <w:szCs w:val="24"/>
        </w:rPr>
        <w:t>ите услуги и платежните системи</w:t>
      </w:r>
      <w:r w:rsidR="00EF364C" w:rsidRPr="00FD4C39">
        <w:rPr>
          <w:rFonts w:ascii="Times New Roman" w:eastAsia="Calibri" w:hAnsi="Times New Roman" w:cs="Times New Roman"/>
          <w:sz w:val="24"/>
          <w:szCs w:val="24"/>
        </w:rPr>
        <w:t xml:space="preserve"> банката на получателя е длъжна да изпълни платежното нареждане точно по отношение на посочения в него IBAN на сметката на получателя. Банките при изпълнение на нареждането нямат задължение да извършват проверка за съответствие на посочения IBAN с имената на титуляр</w:t>
      </w:r>
      <w:r w:rsidR="00546EDA">
        <w:rPr>
          <w:rFonts w:ascii="Times New Roman" w:eastAsia="Calibri" w:hAnsi="Times New Roman" w:cs="Times New Roman"/>
          <w:sz w:val="24"/>
          <w:szCs w:val="24"/>
        </w:rPr>
        <w:t>я</w:t>
      </w:r>
      <w:r w:rsidR="00EF364C" w:rsidRPr="00FD4C39">
        <w:rPr>
          <w:rFonts w:ascii="Times New Roman" w:eastAsia="Calibri" w:hAnsi="Times New Roman" w:cs="Times New Roman"/>
          <w:sz w:val="24"/>
          <w:szCs w:val="24"/>
        </w:rPr>
        <w:t xml:space="preserve">. При посочване на валиден IBAN, но различен от действителния получател на средствата, банката ще изпълни платежното нареждане, като в този случай със сумата на превода ще бъде заверена сметката, съгласно посочения в нареждането уникален идентификатор (IBAN). </w:t>
      </w:r>
    </w:p>
    <w:p w:rsidR="005949C9"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искането за становище </w:t>
      </w:r>
      <w:r w:rsidR="00546EDA">
        <w:rPr>
          <w:rFonts w:ascii="Times New Roman" w:eastAsia="Calibri" w:hAnsi="Times New Roman" w:cs="Times New Roman"/>
          <w:sz w:val="24"/>
          <w:szCs w:val="24"/>
        </w:rPr>
        <w:t>се описва</w:t>
      </w:r>
      <w:r w:rsidRPr="00FD4C39">
        <w:rPr>
          <w:rFonts w:ascii="Times New Roman" w:eastAsia="Calibri" w:hAnsi="Times New Roman" w:cs="Times New Roman"/>
          <w:sz w:val="24"/>
          <w:szCs w:val="24"/>
        </w:rPr>
        <w:t>, че обстоятелствата са се развили по гореописан</w:t>
      </w:r>
      <w:r w:rsidR="00926D08" w:rsidRPr="00FD4C39">
        <w:rPr>
          <w:rFonts w:ascii="Times New Roman" w:eastAsia="Calibri" w:hAnsi="Times New Roman" w:cs="Times New Roman"/>
          <w:sz w:val="24"/>
          <w:szCs w:val="24"/>
        </w:rPr>
        <w:t>ия начин и сумите, наредени от з</w:t>
      </w:r>
      <w:r w:rsidRPr="00FD4C39">
        <w:rPr>
          <w:rFonts w:ascii="Times New Roman" w:eastAsia="Calibri" w:hAnsi="Times New Roman" w:cs="Times New Roman"/>
          <w:sz w:val="24"/>
          <w:szCs w:val="24"/>
        </w:rPr>
        <w:t>астрахователя, поради погрешно посочен в платежното нареждане идентификатор IBAN</w:t>
      </w:r>
      <w:r w:rsidR="00926D08"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са постъпили по сметки на трети лица клиенти на банката, за които не са били предназначени. В резултат на преводите третите физически лица са се обогатили неоснователно, получавайки суми, които не им се дължат. </w:t>
      </w:r>
      <w:r w:rsidR="00926D08" w:rsidRPr="00FD4C39">
        <w:rPr>
          <w:rFonts w:ascii="Times New Roman" w:eastAsia="Calibri" w:hAnsi="Times New Roman" w:cs="Times New Roman"/>
          <w:sz w:val="24"/>
          <w:szCs w:val="24"/>
        </w:rPr>
        <w:t>Молбата</w:t>
      </w:r>
      <w:r w:rsidRPr="00FD4C39">
        <w:rPr>
          <w:rFonts w:ascii="Times New Roman" w:eastAsia="Calibri" w:hAnsi="Times New Roman" w:cs="Times New Roman"/>
          <w:sz w:val="24"/>
          <w:szCs w:val="24"/>
        </w:rPr>
        <w:t xml:space="preserve"> за становище е относно това, дали банката има законово основание да предостави исканата информаци</w:t>
      </w:r>
      <w:r w:rsidR="00926D08" w:rsidRPr="00FD4C39">
        <w:rPr>
          <w:rFonts w:ascii="Times New Roman" w:eastAsia="Calibri" w:hAnsi="Times New Roman" w:cs="Times New Roman"/>
          <w:sz w:val="24"/>
          <w:szCs w:val="24"/>
        </w:rPr>
        <w:t>я, съставляваща лични данни на з</w:t>
      </w:r>
      <w:r w:rsidRPr="00FD4C39">
        <w:rPr>
          <w:rFonts w:ascii="Times New Roman" w:eastAsia="Calibri" w:hAnsi="Times New Roman" w:cs="Times New Roman"/>
          <w:sz w:val="24"/>
          <w:szCs w:val="24"/>
        </w:rPr>
        <w:t>астрахователя, а именно имена, ЕГН на титулярите, по чиито банкови сметки погрешно са постъпили парични средства с це</w:t>
      </w:r>
      <w:r w:rsidR="00CE7BC2" w:rsidRPr="00FD4C39">
        <w:rPr>
          <w:rFonts w:ascii="Times New Roman" w:eastAsia="Calibri" w:hAnsi="Times New Roman" w:cs="Times New Roman"/>
          <w:sz w:val="24"/>
          <w:szCs w:val="24"/>
        </w:rPr>
        <w:t>л осигуряване на възможност на з</w:t>
      </w:r>
      <w:r w:rsidRPr="00FD4C39">
        <w:rPr>
          <w:rFonts w:ascii="Times New Roman" w:eastAsia="Calibri" w:hAnsi="Times New Roman" w:cs="Times New Roman"/>
          <w:sz w:val="24"/>
          <w:szCs w:val="24"/>
        </w:rPr>
        <w:t xml:space="preserve">астрахователя да защити своите законни интереси, предявявайки по съдебен ред иск за неоснователно обогатяване срещу физически лица, разкриването на чиито лични данни се иска. </w:t>
      </w:r>
    </w:p>
    <w:p w:rsidR="0013400E"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Становището на КЗЛД е, че предоставянето на лични данни (имена и ЕГН) на лица, клиенти на банката, по чиито сметки </w:t>
      </w:r>
      <w:r w:rsidR="00F739E0" w:rsidRPr="00FD4C39">
        <w:rPr>
          <w:rFonts w:ascii="Times New Roman" w:eastAsia="Calibri" w:hAnsi="Times New Roman" w:cs="Times New Roman"/>
          <w:sz w:val="24"/>
          <w:szCs w:val="24"/>
        </w:rPr>
        <w:t>са постъпили суми, наредени от з</w:t>
      </w:r>
      <w:r w:rsidR="00546EDA">
        <w:rPr>
          <w:rFonts w:ascii="Times New Roman" w:eastAsia="Calibri" w:hAnsi="Times New Roman" w:cs="Times New Roman"/>
          <w:sz w:val="24"/>
          <w:szCs w:val="24"/>
        </w:rPr>
        <w:t>астрахователното дружество</w:t>
      </w:r>
      <w:r w:rsidRPr="00FD4C39">
        <w:rPr>
          <w:rFonts w:ascii="Times New Roman" w:eastAsia="Calibri" w:hAnsi="Times New Roman" w:cs="Times New Roman"/>
          <w:sz w:val="24"/>
          <w:szCs w:val="24"/>
        </w:rPr>
        <w:t xml:space="preserve"> поради погрешно посочен в платежното нареждане </w:t>
      </w:r>
      <w:r w:rsidRPr="00FD4C39">
        <w:rPr>
          <w:rFonts w:ascii="Times New Roman" w:eastAsia="Calibri" w:hAnsi="Times New Roman" w:cs="Times New Roman"/>
          <w:sz w:val="24"/>
          <w:szCs w:val="24"/>
        </w:rPr>
        <w:lastRenderedPageBreak/>
        <w:t>идентификатор IBAN, може да се извърши на основание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7 от ЗЗЛД и във връзка с</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55 от </w:t>
      </w:r>
      <w:r w:rsidR="00C05348" w:rsidRPr="00FD4C39">
        <w:rPr>
          <w:rFonts w:ascii="Times New Roman" w:eastAsia="Calibri" w:hAnsi="Times New Roman" w:cs="Times New Roman"/>
          <w:sz w:val="24"/>
          <w:szCs w:val="24"/>
        </w:rPr>
        <w:t>ЗЗД</w:t>
      </w:r>
      <w:r w:rsidRPr="00FD4C39">
        <w:rPr>
          <w:rFonts w:ascii="Times New Roman" w:eastAsia="Calibri" w:hAnsi="Times New Roman" w:cs="Times New Roman"/>
          <w:sz w:val="24"/>
          <w:szCs w:val="24"/>
        </w:rPr>
        <w:t>, който урежда хипотезата на неоснователно обогатяване на определени лица, с цел търсене на претенц</w:t>
      </w:r>
      <w:r w:rsidR="007A423F" w:rsidRPr="00FD4C39">
        <w:rPr>
          <w:rFonts w:ascii="Times New Roman" w:eastAsia="Calibri" w:hAnsi="Times New Roman" w:cs="Times New Roman"/>
          <w:sz w:val="24"/>
          <w:szCs w:val="24"/>
        </w:rPr>
        <w:t>ии по съдебен ред от страна на з</w:t>
      </w:r>
      <w:r w:rsidRPr="00FD4C39">
        <w:rPr>
          <w:rFonts w:ascii="Times New Roman" w:eastAsia="Calibri" w:hAnsi="Times New Roman" w:cs="Times New Roman"/>
          <w:sz w:val="24"/>
          <w:szCs w:val="24"/>
        </w:rPr>
        <w:t xml:space="preserve">астрахователното дружество. </w:t>
      </w:r>
    </w:p>
    <w:p w:rsidR="00C3184A" w:rsidRPr="00FD4C39" w:rsidRDefault="009E3720"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През 2014</w:t>
      </w:r>
      <w:r w:rsidR="004D42A2">
        <w:rPr>
          <w:rFonts w:ascii="Times New Roman" w:eastAsia="Calibri" w:hAnsi="Times New Roman" w:cs="Times New Roman"/>
          <w:b/>
          <w:sz w:val="24"/>
          <w:szCs w:val="24"/>
        </w:rPr>
        <w:t> г.</w:t>
      </w:r>
      <w:r w:rsidRPr="00FD4C39">
        <w:rPr>
          <w:rFonts w:ascii="Times New Roman" w:eastAsia="Calibri" w:hAnsi="Times New Roman" w:cs="Times New Roman"/>
          <w:b/>
          <w:sz w:val="24"/>
          <w:szCs w:val="24"/>
        </w:rPr>
        <w:t xml:space="preserve"> </w:t>
      </w:r>
      <w:r w:rsidR="00546EDA">
        <w:rPr>
          <w:rFonts w:ascii="Times New Roman" w:eastAsia="Calibri" w:hAnsi="Times New Roman" w:cs="Times New Roman"/>
          <w:b/>
          <w:sz w:val="24"/>
          <w:szCs w:val="24"/>
        </w:rPr>
        <w:t>КЗЛД изразява</w:t>
      </w:r>
      <w:r w:rsidR="00EF364C" w:rsidRPr="00FD4C39">
        <w:rPr>
          <w:rFonts w:ascii="Times New Roman" w:eastAsia="Calibri" w:hAnsi="Times New Roman" w:cs="Times New Roman"/>
          <w:b/>
          <w:sz w:val="24"/>
          <w:szCs w:val="24"/>
        </w:rPr>
        <w:t xml:space="preserve"> </w:t>
      </w:r>
      <w:r w:rsidRPr="00FD4C39">
        <w:rPr>
          <w:rFonts w:ascii="Times New Roman" w:eastAsia="Calibri" w:hAnsi="Times New Roman" w:cs="Times New Roman"/>
          <w:b/>
          <w:sz w:val="24"/>
          <w:szCs w:val="24"/>
        </w:rPr>
        <w:t xml:space="preserve">и </w:t>
      </w:r>
      <w:r w:rsidR="00EF364C" w:rsidRPr="00FD4C39">
        <w:rPr>
          <w:rFonts w:ascii="Times New Roman" w:eastAsia="Calibri" w:hAnsi="Times New Roman" w:cs="Times New Roman"/>
          <w:b/>
          <w:sz w:val="24"/>
          <w:szCs w:val="24"/>
        </w:rPr>
        <w:t>становище, свързано със записване на глас при в</w:t>
      </w:r>
      <w:r w:rsidR="00546EDA">
        <w:rPr>
          <w:rFonts w:ascii="Times New Roman" w:eastAsia="Calibri" w:hAnsi="Times New Roman" w:cs="Times New Roman"/>
          <w:b/>
          <w:sz w:val="24"/>
          <w:szCs w:val="24"/>
        </w:rPr>
        <w:t xml:space="preserve">ходящите телефонни обаждания в </w:t>
      </w:r>
      <w:proofErr w:type="spellStart"/>
      <w:r w:rsidR="00546EDA">
        <w:rPr>
          <w:rFonts w:ascii="Times New Roman" w:eastAsia="Calibri" w:hAnsi="Times New Roman" w:cs="Times New Roman"/>
          <w:b/>
          <w:sz w:val="24"/>
          <w:szCs w:val="24"/>
        </w:rPr>
        <w:t>к</w:t>
      </w:r>
      <w:r w:rsidR="00EF364C" w:rsidRPr="00FD4C39">
        <w:rPr>
          <w:rFonts w:ascii="Times New Roman" w:eastAsia="Calibri" w:hAnsi="Times New Roman" w:cs="Times New Roman"/>
          <w:b/>
          <w:sz w:val="24"/>
          <w:szCs w:val="24"/>
        </w:rPr>
        <w:t>олцентър</w:t>
      </w:r>
      <w:proofErr w:type="spellEnd"/>
      <w:r w:rsidR="00EF364C" w:rsidRPr="00FD4C39">
        <w:rPr>
          <w:rFonts w:ascii="Times New Roman" w:eastAsia="Calibri" w:hAnsi="Times New Roman" w:cs="Times New Roman"/>
          <w:b/>
          <w:sz w:val="24"/>
          <w:szCs w:val="24"/>
        </w:rPr>
        <w:t>.</w:t>
      </w:r>
      <w:r w:rsidR="00EF364C" w:rsidRPr="00FD4C39">
        <w:rPr>
          <w:rFonts w:ascii="Times New Roman" w:eastAsia="Calibri" w:hAnsi="Times New Roman" w:cs="Times New Roman"/>
          <w:sz w:val="24"/>
          <w:szCs w:val="24"/>
        </w:rPr>
        <w:t xml:space="preserve"> Придържайки се към основните принципи за обработване на лични данни, </w:t>
      </w:r>
      <w:r w:rsidR="00FE7018" w:rsidRPr="00FD4C39">
        <w:rPr>
          <w:rFonts w:ascii="Times New Roman" w:eastAsia="Calibri" w:hAnsi="Times New Roman" w:cs="Times New Roman"/>
          <w:sz w:val="24"/>
          <w:szCs w:val="24"/>
        </w:rPr>
        <w:t>КЗЛД</w:t>
      </w:r>
      <w:r w:rsidR="004B4A9B" w:rsidRPr="00FD4C39">
        <w:rPr>
          <w:rFonts w:ascii="Times New Roman" w:eastAsia="Calibri" w:hAnsi="Times New Roman" w:cs="Times New Roman"/>
          <w:sz w:val="24"/>
          <w:szCs w:val="24"/>
        </w:rPr>
        <w:t xml:space="preserve"> </w:t>
      </w:r>
      <w:r w:rsidR="00546EDA">
        <w:rPr>
          <w:rFonts w:ascii="Times New Roman" w:eastAsia="Calibri" w:hAnsi="Times New Roman" w:cs="Times New Roman"/>
          <w:sz w:val="24"/>
          <w:szCs w:val="24"/>
        </w:rPr>
        <w:t>потвърждава</w:t>
      </w:r>
      <w:r w:rsidR="00EF364C" w:rsidRPr="00FD4C39">
        <w:rPr>
          <w:rFonts w:ascii="Times New Roman" w:eastAsia="Calibri" w:hAnsi="Times New Roman" w:cs="Times New Roman"/>
          <w:sz w:val="24"/>
          <w:szCs w:val="24"/>
        </w:rPr>
        <w:t xml:space="preserve">, че съгласието на лицето в тези случаи следва да бъде изразено изрично, а не чрез </w:t>
      </w:r>
      <w:proofErr w:type="spellStart"/>
      <w:r w:rsidR="00EF364C" w:rsidRPr="00FD4C39">
        <w:rPr>
          <w:rFonts w:ascii="Times New Roman" w:eastAsia="Calibri" w:hAnsi="Times New Roman" w:cs="Times New Roman"/>
          <w:sz w:val="24"/>
          <w:szCs w:val="24"/>
        </w:rPr>
        <w:t>конклудентни</w:t>
      </w:r>
      <w:proofErr w:type="spellEnd"/>
      <w:r w:rsidR="00EF364C" w:rsidRPr="00FD4C39">
        <w:rPr>
          <w:rFonts w:ascii="Times New Roman" w:eastAsia="Calibri" w:hAnsi="Times New Roman" w:cs="Times New Roman"/>
          <w:sz w:val="24"/>
          <w:szCs w:val="24"/>
        </w:rPr>
        <w:t xml:space="preserve"> действия. </w:t>
      </w:r>
      <w:proofErr w:type="spellStart"/>
      <w:r w:rsidR="009A6822" w:rsidRPr="00FD4C39">
        <w:rPr>
          <w:rFonts w:ascii="Times New Roman" w:eastAsia="Calibri" w:hAnsi="Times New Roman" w:cs="Times New Roman"/>
          <w:sz w:val="24"/>
          <w:szCs w:val="24"/>
        </w:rPr>
        <w:t>К</w:t>
      </w:r>
      <w:r w:rsidR="00EF364C" w:rsidRPr="00FD4C39">
        <w:rPr>
          <w:rFonts w:ascii="Times New Roman" w:eastAsia="Calibri" w:hAnsi="Times New Roman" w:cs="Times New Roman"/>
          <w:sz w:val="24"/>
          <w:szCs w:val="24"/>
        </w:rPr>
        <w:t>олцентърът</w:t>
      </w:r>
      <w:proofErr w:type="spellEnd"/>
      <w:r w:rsidR="00EF364C" w:rsidRPr="00FD4C39">
        <w:rPr>
          <w:rFonts w:ascii="Times New Roman" w:eastAsia="Calibri" w:hAnsi="Times New Roman" w:cs="Times New Roman"/>
          <w:sz w:val="24"/>
          <w:szCs w:val="24"/>
        </w:rPr>
        <w:t xml:space="preserve"> следва да предоставя</w:t>
      </w:r>
      <w:r w:rsidR="009144F3" w:rsidRPr="00FD4C39">
        <w:rPr>
          <w:rFonts w:ascii="Times New Roman" w:eastAsia="Calibri" w:hAnsi="Times New Roman" w:cs="Times New Roman"/>
          <w:sz w:val="24"/>
          <w:szCs w:val="24"/>
        </w:rPr>
        <w:t xml:space="preserve"> и </w:t>
      </w:r>
      <w:r w:rsidR="00EF364C" w:rsidRPr="00FD4C39">
        <w:rPr>
          <w:rFonts w:ascii="Times New Roman" w:eastAsia="Calibri" w:hAnsi="Times New Roman" w:cs="Times New Roman"/>
          <w:sz w:val="24"/>
          <w:szCs w:val="24"/>
        </w:rPr>
        <w:t xml:space="preserve">възможност на обаждащите се да проведат разговор, който не се записва. Информация за това трябва да се съдържа в предупредително съобщение преди същинския разговор. Според заключенията на </w:t>
      </w:r>
      <w:r w:rsidR="00FE7018" w:rsidRPr="00FD4C39">
        <w:rPr>
          <w:rFonts w:ascii="Times New Roman" w:eastAsia="Calibri" w:hAnsi="Times New Roman" w:cs="Times New Roman"/>
          <w:sz w:val="24"/>
          <w:szCs w:val="24"/>
        </w:rPr>
        <w:t>КЗЛД</w:t>
      </w:r>
      <w:r w:rsidR="00EF364C" w:rsidRPr="00FD4C39">
        <w:rPr>
          <w:rFonts w:ascii="Times New Roman" w:eastAsia="Calibri" w:hAnsi="Times New Roman" w:cs="Times New Roman"/>
          <w:sz w:val="24"/>
          <w:szCs w:val="24"/>
        </w:rPr>
        <w:t xml:space="preserve"> е недопустимо условията за провеждане на разговорите между потребители и </w:t>
      </w:r>
      <w:proofErr w:type="spellStart"/>
      <w:r w:rsidR="00EF364C" w:rsidRPr="00FD4C39">
        <w:rPr>
          <w:rFonts w:ascii="Times New Roman" w:eastAsia="Calibri" w:hAnsi="Times New Roman" w:cs="Times New Roman"/>
          <w:sz w:val="24"/>
          <w:szCs w:val="24"/>
        </w:rPr>
        <w:t>колцентъра</w:t>
      </w:r>
      <w:proofErr w:type="spellEnd"/>
      <w:r w:rsidR="00EF364C" w:rsidRPr="00FD4C39">
        <w:rPr>
          <w:rFonts w:ascii="Times New Roman" w:eastAsia="Calibri" w:hAnsi="Times New Roman" w:cs="Times New Roman"/>
          <w:sz w:val="24"/>
          <w:szCs w:val="24"/>
        </w:rPr>
        <w:t xml:space="preserve"> да са оповестени само и единствено в Общите условия на съответното дружество и достъпни само на официалния сайт. </w:t>
      </w:r>
      <w:proofErr w:type="spellStart"/>
      <w:r w:rsidR="00EF364C" w:rsidRPr="00FD4C39">
        <w:rPr>
          <w:rFonts w:ascii="Times New Roman" w:eastAsia="Calibri" w:hAnsi="Times New Roman" w:cs="Times New Roman"/>
          <w:sz w:val="24"/>
          <w:szCs w:val="24"/>
        </w:rPr>
        <w:t>Колцентърът</w:t>
      </w:r>
      <w:proofErr w:type="spellEnd"/>
      <w:r w:rsidR="00EF364C" w:rsidRPr="00FD4C39">
        <w:rPr>
          <w:rFonts w:ascii="Times New Roman" w:eastAsia="Calibri" w:hAnsi="Times New Roman" w:cs="Times New Roman"/>
          <w:sz w:val="24"/>
          <w:szCs w:val="24"/>
        </w:rPr>
        <w:t xml:space="preserve"> следва винаги да предоставя възможност на обаждащото се лице да възрази срещу обработването на негови лични данни чрез запис на</w:t>
      </w:r>
      <w:r w:rsidR="00963F89">
        <w:rPr>
          <w:rFonts w:ascii="Times New Roman" w:eastAsia="Calibri" w:hAnsi="Times New Roman" w:cs="Times New Roman"/>
          <w:sz w:val="24"/>
          <w:szCs w:val="24"/>
        </w:rPr>
        <w:t xml:space="preserve"> телефонен разговор, след като се информира</w:t>
      </w:r>
      <w:r w:rsidR="00EF364C" w:rsidRPr="00FD4C39">
        <w:rPr>
          <w:rFonts w:ascii="Times New Roman" w:eastAsia="Calibri" w:hAnsi="Times New Roman" w:cs="Times New Roman"/>
          <w:sz w:val="24"/>
          <w:szCs w:val="24"/>
        </w:rPr>
        <w:t xml:space="preserve"> за тази възможност </w:t>
      </w:r>
      <w:r w:rsidR="009144F3" w:rsidRPr="00FD4C39">
        <w:rPr>
          <w:rFonts w:ascii="Times New Roman" w:eastAsia="Calibri" w:hAnsi="Times New Roman" w:cs="Times New Roman"/>
          <w:sz w:val="24"/>
          <w:szCs w:val="24"/>
        </w:rPr>
        <w:t xml:space="preserve">при провеждане на </w:t>
      </w:r>
      <w:r w:rsidR="00EF364C" w:rsidRPr="00FD4C39">
        <w:rPr>
          <w:rFonts w:ascii="Times New Roman" w:eastAsia="Calibri" w:hAnsi="Times New Roman" w:cs="Times New Roman"/>
          <w:sz w:val="24"/>
          <w:szCs w:val="24"/>
        </w:rPr>
        <w:t>конкретния телефонен разговор.</w:t>
      </w:r>
    </w:p>
    <w:p w:rsidR="00D93018"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Друго интересно становище на КЗЛД е по въпроса</w:t>
      </w:r>
      <w:r w:rsidR="00963F89">
        <w:rPr>
          <w:rFonts w:ascii="Times New Roman" w:eastAsia="Calibri" w:hAnsi="Times New Roman" w:cs="Times New Roman"/>
          <w:b/>
          <w:sz w:val="24"/>
          <w:szCs w:val="24"/>
        </w:rPr>
        <w:t>,</w:t>
      </w:r>
      <w:r w:rsidRPr="00FD4C39">
        <w:rPr>
          <w:rFonts w:ascii="Times New Roman" w:eastAsia="Calibri" w:hAnsi="Times New Roman" w:cs="Times New Roman"/>
          <w:b/>
          <w:sz w:val="24"/>
          <w:szCs w:val="24"/>
        </w:rPr>
        <w:t xml:space="preserve"> </w:t>
      </w:r>
      <w:r w:rsidR="009144F3" w:rsidRPr="00FD4C39">
        <w:rPr>
          <w:rFonts w:ascii="Times New Roman" w:eastAsia="Calibri" w:hAnsi="Times New Roman" w:cs="Times New Roman"/>
          <w:b/>
          <w:sz w:val="24"/>
          <w:szCs w:val="24"/>
        </w:rPr>
        <w:t>дали</w:t>
      </w:r>
      <w:r w:rsidRPr="00FD4C39">
        <w:rPr>
          <w:rFonts w:ascii="Times New Roman" w:eastAsia="Calibri" w:hAnsi="Times New Roman" w:cs="Times New Roman"/>
          <w:b/>
          <w:sz w:val="24"/>
          <w:szCs w:val="24"/>
        </w:rPr>
        <w:t xml:space="preserve"> </w:t>
      </w:r>
      <w:r w:rsidR="009144F3" w:rsidRPr="00FD4C39">
        <w:rPr>
          <w:rFonts w:ascii="Times New Roman" w:eastAsia="Calibri" w:hAnsi="Times New Roman" w:cs="Times New Roman"/>
          <w:b/>
          <w:sz w:val="24"/>
          <w:szCs w:val="24"/>
        </w:rPr>
        <w:t>когато</w:t>
      </w:r>
      <w:r w:rsidR="00963F89">
        <w:rPr>
          <w:rFonts w:ascii="Times New Roman" w:eastAsia="Calibri" w:hAnsi="Times New Roman" w:cs="Times New Roman"/>
          <w:b/>
          <w:sz w:val="24"/>
          <w:szCs w:val="24"/>
        </w:rPr>
        <w:t xml:space="preserve"> дружество </w:t>
      </w:r>
      <w:r w:rsidRPr="00FD4C39">
        <w:rPr>
          <w:rFonts w:ascii="Times New Roman" w:eastAsia="Calibri" w:hAnsi="Times New Roman" w:cs="Times New Roman"/>
          <w:b/>
          <w:sz w:val="24"/>
          <w:szCs w:val="24"/>
        </w:rPr>
        <w:t>кредитор не мо</w:t>
      </w:r>
      <w:r w:rsidR="006022A6" w:rsidRPr="00FD4C39">
        <w:rPr>
          <w:rFonts w:ascii="Times New Roman" w:eastAsia="Calibri" w:hAnsi="Times New Roman" w:cs="Times New Roman"/>
          <w:b/>
          <w:sz w:val="24"/>
          <w:szCs w:val="24"/>
        </w:rPr>
        <w:t>же да осъществи</w:t>
      </w:r>
      <w:r w:rsidRPr="00FD4C39">
        <w:rPr>
          <w:rFonts w:ascii="Times New Roman" w:eastAsia="Calibri" w:hAnsi="Times New Roman" w:cs="Times New Roman"/>
          <w:b/>
          <w:sz w:val="24"/>
          <w:szCs w:val="24"/>
        </w:rPr>
        <w:t xml:space="preserve"> контакт с даден </w:t>
      </w:r>
      <w:proofErr w:type="spellStart"/>
      <w:r w:rsidRPr="00FD4C39">
        <w:rPr>
          <w:rFonts w:ascii="Times New Roman" w:eastAsia="Calibri" w:hAnsi="Times New Roman" w:cs="Times New Roman"/>
          <w:b/>
          <w:sz w:val="24"/>
          <w:szCs w:val="24"/>
        </w:rPr>
        <w:t>заемател</w:t>
      </w:r>
      <w:proofErr w:type="spellEnd"/>
      <w:r w:rsidRPr="00FD4C39">
        <w:rPr>
          <w:rFonts w:ascii="Times New Roman" w:eastAsia="Calibri" w:hAnsi="Times New Roman" w:cs="Times New Roman"/>
          <w:b/>
          <w:sz w:val="24"/>
          <w:szCs w:val="24"/>
        </w:rPr>
        <w:t xml:space="preserve"> по теле</w:t>
      </w:r>
      <w:r w:rsidR="009144F3" w:rsidRPr="00FD4C39">
        <w:rPr>
          <w:rFonts w:ascii="Times New Roman" w:eastAsia="Calibri" w:hAnsi="Times New Roman" w:cs="Times New Roman"/>
          <w:b/>
          <w:sz w:val="24"/>
          <w:szCs w:val="24"/>
        </w:rPr>
        <w:t>фон или</w:t>
      </w:r>
      <w:r w:rsidR="006022A6" w:rsidRPr="00FD4C39">
        <w:rPr>
          <w:rFonts w:ascii="Times New Roman" w:eastAsia="Calibri" w:hAnsi="Times New Roman" w:cs="Times New Roman"/>
          <w:b/>
          <w:sz w:val="24"/>
          <w:szCs w:val="24"/>
        </w:rPr>
        <w:t xml:space="preserve"> чрез писмо, </w:t>
      </w:r>
      <w:r w:rsidR="009144F3" w:rsidRPr="00FD4C39">
        <w:rPr>
          <w:rFonts w:ascii="Times New Roman" w:eastAsia="Calibri" w:hAnsi="Times New Roman" w:cs="Times New Roman"/>
          <w:b/>
          <w:sz w:val="24"/>
          <w:szCs w:val="24"/>
        </w:rPr>
        <w:t xml:space="preserve">могат </w:t>
      </w:r>
      <w:r w:rsidR="006022A6" w:rsidRPr="00FD4C39">
        <w:rPr>
          <w:rFonts w:ascii="Times New Roman" w:eastAsia="Calibri" w:hAnsi="Times New Roman" w:cs="Times New Roman"/>
          <w:b/>
          <w:sz w:val="24"/>
          <w:szCs w:val="24"/>
        </w:rPr>
        <w:t xml:space="preserve">да </w:t>
      </w:r>
      <w:r w:rsidR="00FD16F9" w:rsidRPr="00FD4C39">
        <w:rPr>
          <w:rFonts w:ascii="Times New Roman" w:eastAsia="Calibri" w:hAnsi="Times New Roman" w:cs="Times New Roman"/>
          <w:b/>
          <w:sz w:val="24"/>
          <w:szCs w:val="24"/>
        </w:rPr>
        <w:t xml:space="preserve">бъдат </w:t>
      </w:r>
      <w:r w:rsidR="006022A6" w:rsidRPr="00FD4C39">
        <w:rPr>
          <w:rFonts w:ascii="Times New Roman" w:eastAsia="Calibri" w:hAnsi="Times New Roman" w:cs="Times New Roman"/>
          <w:b/>
          <w:sz w:val="24"/>
          <w:szCs w:val="24"/>
        </w:rPr>
        <w:t>постав</w:t>
      </w:r>
      <w:r w:rsidR="00FD16F9" w:rsidRPr="00FD4C39">
        <w:rPr>
          <w:rFonts w:ascii="Times New Roman" w:eastAsia="Calibri" w:hAnsi="Times New Roman" w:cs="Times New Roman"/>
          <w:b/>
          <w:sz w:val="24"/>
          <w:szCs w:val="24"/>
        </w:rPr>
        <w:t>ени</w:t>
      </w:r>
      <w:r w:rsidRPr="00FD4C39">
        <w:rPr>
          <w:rFonts w:ascii="Times New Roman" w:eastAsia="Calibri" w:hAnsi="Times New Roman" w:cs="Times New Roman"/>
          <w:b/>
          <w:sz w:val="24"/>
          <w:szCs w:val="24"/>
        </w:rPr>
        <w:t xml:space="preserve"> уведомления на входната врата</w:t>
      </w:r>
      <w:r w:rsidR="009144F3" w:rsidRPr="00FD4C39">
        <w:rPr>
          <w:rFonts w:ascii="Times New Roman" w:eastAsia="Calibri" w:hAnsi="Times New Roman" w:cs="Times New Roman"/>
          <w:b/>
          <w:sz w:val="24"/>
          <w:szCs w:val="24"/>
        </w:rPr>
        <w:t xml:space="preserve"> на имота (жилището) с информация за забавени плащания </w:t>
      </w:r>
      <w:r w:rsidRPr="00FD4C39">
        <w:rPr>
          <w:rFonts w:ascii="Times New Roman" w:eastAsia="Calibri" w:hAnsi="Times New Roman" w:cs="Times New Roman"/>
          <w:b/>
          <w:sz w:val="24"/>
          <w:szCs w:val="24"/>
        </w:rPr>
        <w:t xml:space="preserve">по сключен договор за паричен заем или </w:t>
      </w:r>
      <w:r w:rsidR="00E50AC6" w:rsidRPr="00FD4C39">
        <w:rPr>
          <w:rFonts w:ascii="Times New Roman" w:eastAsia="Calibri" w:hAnsi="Times New Roman" w:cs="Times New Roman"/>
          <w:b/>
          <w:sz w:val="24"/>
          <w:szCs w:val="24"/>
        </w:rPr>
        <w:t xml:space="preserve">с информация, </w:t>
      </w:r>
      <w:r w:rsidRPr="00FD4C39">
        <w:rPr>
          <w:rFonts w:ascii="Times New Roman" w:eastAsia="Calibri" w:hAnsi="Times New Roman" w:cs="Times New Roman"/>
          <w:b/>
          <w:sz w:val="24"/>
          <w:szCs w:val="24"/>
        </w:rPr>
        <w:t xml:space="preserve">че </w:t>
      </w:r>
      <w:r w:rsidR="009144F3" w:rsidRPr="00FD4C39">
        <w:rPr>
          <w:rFonts w:ascii="Times New Roman" w:eastAsia="Calibri" w:hAnsi="Times New Roman" w:cs="Times New Roman"/>
          <w:b/>
          <w:sz w:val="24"/>
          <w:szCs w:val="24"/>
        </w:rPr>
        <w:t xml:space="preserve">лицето </w:t>
      </w:r>
      <w:r w:rsidR="006022A6" w:rsidRPr="00FD4C39">
        <w:rPr>
          <w:rFonts w:ascii="Times New Roman" w:eastAsia="Calibri" w:hAnsi="Times New Roman" w:cs="Times New Roman"/>
          <w:b/>
          <w:sz w:val="24"/>
          <w:szCs w:val="24"/>
        </w:rPr>
        <w:t>е</w:t>
      </w:r>
      <w:r w:rsidRPr="00FD4C39">
        <w:rPr>
          <w:rFonts w:ascii="Times New Roman" w:eastAsia="Calibri" w:hAnsi="Times New Roman" w:cs="Times New Roman"/>
          <w:b/>
          <w:sz w:val="24"/>
          <w:szCs w:val="24"/>
        </w:rPr>
        <w:t xml:space="preserve"> потърсен</w:t>
      </w:r>
      <w:r w:rsidR="009144F3" w:rsidRPr="00FD4C39">
        <w:rPr>
          <w:rFonts w:ascii="Times New Roman" w:eastAsia="Calibri" w:hAnsi="Times New Roman" w:cs="Times New Roman"/>
          <w:b/>
          <w:sz w:val="24"/>
          <w:szCs w:val="24"/>
        </w:rPr>
        <w:t>о</w:t>
      </w:r>
      <w:r w:rsidRPr="00FD4C39">
        <w:rPr>
          <w:rFonts w:ascii="Times New Roman" w:eastAsia="Calibri" w:hAnsi="Times New Roman" w:cs="Times New Roman"/>
          <w:b/>
          <w:sz w:val="24"/>
          <w:szCs w:val="24"/>
        </w:rPr>
        <w:t xml:space="preserve"> от представител на дружеството</w:t>
      </w:r>
      <w:r w:rsidRPr="00FD4C39">
        <w:rPr>
          <w:rFonts w:ascii="Times New Roman" w:eastAsia="Calibri" w:hAnsi="Times New Roman" w:cs="Times New Roman"/>
          <w:sz w:val="24"/>
          <w:szCs w:val="24"/>
        </w:rPr>
        <w:t xml:space="preserve">. </w:t>
      </w:r>
    </w:p>
    <w:p w:rsidR="00D93018" w:rsidRDefault="00D93018" w:rsidP="00D93018">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Становището на КЗЛД е</w:t>
      </w:r>
      <w:r>
        <w:rPr>
          <w:rFonts w:ascii="Times New Roman" w:eastAsia="Calibri" w:hAnsi="Times New Roman" w:cs="Times New Roman"/>
          <w:sz w:val="24"/>
          <w:szCs w:val="24"/>
        </w:rPr>
        <w:t>, че</w:t>
      </w:r>
      <w:r>
        <w:rPr>
          <w:rFonts w:ascii="Times New Roman" w:eastAsia="Calibri" w:hAnsi="Times New Roman" w:cs="Times New Roman"/>
          <w:sz w:val="24"/>
          <w:szCs w:val="24"/>
          <w:lang w:val="en-US"/>
        </w:rPr>
        <w:t xml:space="preserve"> </w:t>
      </w:r>
      <w:r w:rsidRPr="00FD4C39">
        <w:rPr>
          <w:rFonts w:ascii="Times New Roman" w:eastAsia="Calibri" w:hAnsi="Times New Roman" w:cs="Times New Roman"/>
          <w:sz w:val="24"/>
          <w:szCs w:val="24"/>
        </w:rPr>
        <w:t>представлява  нарушение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w:t>
      </w:r>
      <w:r w:rsidR="00884B97">
        <w:rPr>
          <w:rFonts w:ascii="Times New Roman" w:eastAsia="Calibri" w:hAnsi="Times New Roman" w:cs="Times New Roman"/>
          <w:sz w:val="24"/>
          <w:szCs w:val="24"/>
        </w:rPr>
        <w:t xml:space="preserve"> ал. </w:t>
      </w:r>
      <w:r w:rsidRPr="00FD4C39">
        <w:rPr>
          <w:rFonts w:ascii="Times New Roman" w:eastAsia="Calibri" w:hAnsi="Times New Roman" w:cs="Times New Roman"/>
          <w:sz w:val="24"/>
          <w:szCs w:val="24"/>
        </w:rPr>
        <w:t>2 от ЗЗЛД публичното оповестяване на</w:t>
      </w:r>
      <w:r>
        <w:rPr>
          <w:rFonts w:ascii="Times New Roman" w:eastAsia="Calibri" w:hAnsi="Times New Roman" w:cs="Times New Roman"/>
          <w:sz w:val="24"/>
          <w:szCs w:val="24"/>
        </w:rPr>
        <w:t xml:space="preserve"> задълженията на физически </w:t>
      </w:r>
      <w:proofErr w:type="spellStart"/>
      <w:r>
        <w:rPr>
          <w:rFonts w:ascii="Times New Roman" w:eastAsia="Calibri" w:hAnsi="Times New Roman" w:cs="Times New Roman"/>
          <w:sz w:val="24"/>
          <w:szCs w:val="24"/>
        </w:rPr>
        <w:t>лица-</w:t>
      </w:r>
      <w:r w:rsidRPr="00FD4C39">
        <w:rPr>
          <w:rFonts w:ascii="Times New Roman" w:eastAsia="Calibri" w:hAnsi="Times New Roman" w:cs="Times New Roman"/>
          <w:sz w:val="24"/>
          <w:szCs w:val="24"/>
        </w:rPr>
        <w:t>длъжници</w:t>
      </w:r>
      <w:proofErr w:type="spellEnd"/>
      <w:r w:rsidRPr="00FD4C39">
        <w:rPr>
          <w:rFonts w:ascii="Times New Roman" w:eastAsia="Calibri" w:hAnsi="Times New Roman" w:cs="Times New Roman"/>
          <w:sz w:val="24"/>
          <w:szCs w:val="24"/>
        </w:rPr>
        <w:t xml:space="preserve"> чрез поставяне на уведомление на входна врата на жилище, обитавано от </w:t>
      </w:r>
      <w:proofErr w:type="spellStart"/>
      <w:r w:rsidRPr="00FD4C39">
        <w:rPr>
          <w:rFonts w:ascii="Times New Roman" w:eastAsia="Calibri" w:hAnsi="Times New Roman" w:cs="Times New Roman"/>
          <w:sz w:val="24"/>
          <w:szCs w:val="24"/>
        </w:rPr>
        <w:t>заемателя</w:t>
      </w:r>
      <w:proofErr w:type="spellEnd"/>
      <w:r w:rsidRPr="00FD4C39">
        <w:rPr>
          <w:rFonts w:ascii="Times New Roman" w:eastAsia="Calibri" w:hAnsi="Times New Roman" w:cs="Times New Roman"/>
          <w:sz w:val="24"/>
          <w:szCs w:val="24"/>
        </w:rPr>
        <w:t xml:space="preserve"> или пощенска кутия, съдържащо </w:t>
      </w:r>
      <w:r>
        <w:rPr>
          <w:rFonts w:ascii="Times New Roman" w:eastAsia="Calibri" w:hAnsi="Times New Roman" w:cs="Times New Roman"/>
          <w:sz w:val="24"/>
          <w:szCs w:val="24"/>
        </w:rPr>
        <w:t xml:space="preserve">информация в който и да е от следните случаи: </w:t>
      </w:r>
    </w:p>
    <w:p w:rsidR="00D93018" w:rsidRPr="008E7249" w:rsidRDefault="00D93018" w:rsidP="00DD752B">
      <w:pPr>
        <w:pStyle w:val="ListParagraph"/>
        <w:numPr>
          <w:ilvl w:val="0"/>
          <w:numId w:val="27"/>
        </w:numPr>
        <w:tabs>
          <w:tab w:val="left" w:pos="993"/>
        </w:tabs>
        <w:spacing w:after="0" w:line="360" w:lineRule="auto"/>
        <w:ind w:left="0" w:firstLine="709"/>
        <w:jc w:val="both"/>
        <w:rPr>
          <w:rFonts w:ascii="Times New Roman" w:eastAsia="Calibri" w:hAnsi="Times New Roman" w:cs="Times New Roman"/>
          <w:sz w:val="24"/>
          <w:szCs w:val="24"/>
        </w:rPr>
      </w:pPr>
      <w:r w:rsidRPr="008E7249">
        <w:rPr>
          <w:rFonts w:ascii="Times New Roman" w:eastAsia="Calibri" w:hAnsi="Times New Roman" w:cs="Times New Roman"/>
          <w:sz w:val="24"/>
          <w:szCs w:val="24"/>
        </w:rPr>
        <w:t xml:space="preserve">двете имена на </w:t>
      </w:r>
      <w:proofErr w:type="spellStart"/>
      <w:r w:rsidRPr="008E7249">
        <w:rPr>
          <w:rFonts w:ascii="Times New Roman" w:eastAsia="Calibri" w:hAnsi="Times New Roman" w:cs="Times New Roman"/>
          <w:sz w:val="24"/>
          <w:szCs w:val="24"/>
        </w:rPr>
        <w:t>заемателя</w:t>
      </w:r>
      <w:proofErr w:type="spellEnd"/>
      <w:r w:rsidRPr="008E7249">
        <w:rPr>
          <w:rFonts w:ascii="Times New Roman" w:eastAsia="Calibri" w:hAnsi="Times New Roman" w:cs="Times New Roman"/>
          <w:sz w:val="24"/>
          <w:szCs w:val="24"/>
        </w:rPr>
        <w:t xml:space="preserve"> и текст, с който се уведомява, че има забави в плащането и телефон за връзка от страна на дружеството</w:t>
      </w:r>
      <w:r>
        <w:rPr>
          <w:rFonts w:ascii="Times New Roman" w:hAnsi="Times New Roman"/>
          <w:sz w:val="24"/>
          <w:szCs w:val="24"/>
        </w:rPr>
        <w:t>;</w:t>
      </w:r>
    </w:p>
    <w:p w:rsidR="00D93018" w:rsidRPr="008E7249" w:rsidRDefault="00D93018" w:rsidP="00DD752B">
      <w:pPr>
        <w:pStyle w:val="ListParagraph"/>
        <w:numPr>
          <w:ilvl w:val="0"/>
          <w:numId w:val="27"/>
        </w:numPr>
        <w:tabs>
          <w:tab w:val="left" w:pos="993"/>
        </w:tabs>
        <w:spacing w:after="0" w:line="360" w:lineRule="auto"/>
        <w:ind w:left="0" w:firstLine="709"/>
        <w:jc w:val="both"/>
        <w:rPr>
          <w:rFonts w:ascii="Times New Roman" w:eastAsia="Calibri" w:hAnsi="Times New Roman" w:cs="Times New Roman"/>
          <w:sz w:val="24"/>
          <w:szCs w:val="24"/>
        </w:rPr>
      </w:pPr>
      <w:r w:rsidRPr="008E7249">
        <w:rPr>
          <w:rFonts w:ascii="Times New Roman" w:eastAsia="Calibri" w:hAnsi="Times New Roman" w:cs="Times New Roman"/>
          <w:sz w:val="24"/>
          <w:szCs w:val="24"/>
        </w:rPr>
        <w:t xml:space="preserve">номер на апартамента, в който живее </w:t>
      </w:r>
      <w:proofErr w:type="spellStart"/>
      <w:r w:rsidRPr="008E7249">
        <w:rPr>
          <w:rFonts w:ascii="Times New Roman" w:eastAsia="Calibri" w:hAnsi="Times New Roman" w:cs="Times New Roman"/>
          <w:sz w:val="24"/>
          <w:szCs w:val="24"/>
        </w:rPr>
        <w:t>заемателят</w:t>
      </w:r>
      <w:proofErr w:type="spellEnd"/>
      <w:r w:rsidRPr="008E7249">
        <w:rPr>
          <w:rFonts w:ascii="Times New Roman" w:eastAsia="Calibri" w:hAnsi="Times New Roman" w:cs="Times New Roman"/>
          <w:sz w:val="24"/>
          <w:szCs w:val="24"/>
        </w:rPr>
        <w:t xml:space="preserve"> и текст, с който се уведомява, че има забави в плащането (с точен размер) и телефон за </w:t>
      </w:r>
      <w:r>
        <w:rPr>
          <w:rFonts w:ascii="Times New Roman" w:hAnsi="Times New Roman"/>
          <w:sz w:val="24"/>
          <w:szCs w:val="24"/>
        </w:rPr>
        <w:t>връзка от страна на дружеството;</w:t>
      </w:r>
    </w:p>
    <w:p w:rsidR="00D93018" w:rsidRPr="008E7249" w:rsidRDefault="00D93018" w:rsidP="00DD752B">
      <w:pPr>
        <w:pStyle w:val="ListParagraph"/>
        <w:numPr>
          <w:ilvl w:val="0"/>
          <w:numId w:val="27"/>
        </w:numPr>
        <w:tabs>
          <w:tab w:val="left" w:pos="993"/>
        </w:tabs>
        <w:spacing w:after="0" w:line="360" w:lineRule="auto"/>
        <w:ind w:left="0" w:firstLine="709"/>
        <w:jc w:val="both"/>
        <w:rPr>
          <w:rFonts w:ascii="Times New Roman" w:eastAsia="Calibri" w:hAnsi="Times New Roman" w:cs="Times New Roman"/>
          <w:sz w:val="24"/>
          <w:szCs w:val="24"/>
        </w:rPr>
      </w:pPr>
      <w:r w:rsidRPr="008E7249">
        <w:rPr>
          <w:rFonts w:ascii="Times New Roman" w:eastAsia="Calibri" w:hAnsi="Times New Roman" w:cs="Times New Roman"/>
          <w:sz w:val="24"/>
          <w:szCs w:val="24"/>
        </w:rPr>
        <w:t xml:space="preserve">номер на апартамента, в който живее </w:t>
      </w:r>
      <w:proofErr w:type="spellStart"/>
      <w:r w:rsidRPr="008E7249">
        <w:rPr>
          <w:rFonts w:ascii="Times New Roman" w:eastAsia="Calibri" w:hAnsi="Times New Roman" w:cs="Times New Roman"/>
          <w:sz w:val="24"/>
          <w:szCs w:val="24"/>
        </w:rPr>
        <w:t>заемателят</w:t>
      </w:r>
      <w:proofErr w:type="spellEnd"/>
      <w:r w:rsidRPr="008E7249">
        <w:rPr>
          <w:rFonts w:ascii="Times New Roman" w:eastAsia="Calibri" w:hAnsi="Times New Roman" w:cs="Times New Roman"/>
          <w:sz w:val="24"/>
          <w:szCs w:val="24"/>
        </w:rPr>
        <w:t xml:space="preserve"> и текст, с който се уведомява, че има забави (без размер) в плащането и телефон за връзка от страна на дружеството.</w:t>
      </w:r>
    </w:p>
    <w:p w:rsidR="005949C9" w:rsidRPr="00FD4C39" w:rsidRDefault="00BE67E0"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 xml:space="preserve">Заслужава внимание и </w:t>
      </w:r>
      <w:r w:rsidR="00EF364C" w:rsidRPr="00FD4C39">
        <w:rPr>
          <w:rFonts w:ascii="Times New Roman" w:eastAsia="Calibri" w:hAnsi="Times New Roman" w:cs="Times New Roman"/>
          <w:b/>
          <w:sz w:val="24"/>
          <w:szCs w:val="24"/>
        </w:rPr>
        <w:t>становище</w:t>
      </w:r>
      <w:r w:rsidRPr="00FD4C39">
        <w:rPr>
          <w:rFonts w:ascii="Times New Roman" w:eastAsia="Calibri" w:hAnsi="Times New Roman" w:cs="Times New Roman"/>
          <w:b/>
          <w:sz w:val="24"/>
          <w:szCs w:val="24"/>
        </w:rPr>
        <w:t xml:space="preserve"> на</w:t>
      </w:r>
      <w:r w:rsidR="00EF364C" w:rsidRPr="00FD4C39">
        <w:rPr>
          <w:rFonts w:ascii="Times New Roman" w:eastAsia="Calibri" w:hAnsi="Times New Roman" w:cs="Times New Roman"/>
          <w:b/>
          <w:sz w:val="24"/>
          <w:szCs w:val="24"/>
        </w:rPr>
        <w:t xml:space="preserve"> КЗЛД във връзка с проучване приноса </w:t>
      </w:r>
      <w:r w:rsidR="00D459FE" w:rsidRPr="00FD4C39">
        <w:rPr>
          <w:rFonts w:ascii="Times New Roman" w:eastAsia="Calibri" w:hAnsi="Times New Roman" w:cs="Times New Roman"/>
          <w:b/>
          <w:sz w:val="24"/>
          <w:szCs w:val="24"/>
        </w:rPr>
        <w:t xml:space="preserve">към икономиката на страната или в други специфични области </w:t>
      </w:r>
      <w:r w:rsidR="00EF364C" w:rsidRPr="00FD4C39">
        <w:rPr>
          <w:rFonts w:ascii="Times New Roman" w:eastAsia="Calibri" w:hAnsi="Times New Roman" w:cs="Times New Roman"/>
          <w:b/>
          <w:sz w:val="24"/>
          <w:szCs w:val="24"/>
        </w:rPr>
        <w:t xml:space="preserve">на лица, придобили или възстановили българско гражданство с указ на Вицепрезидента. </w:t>
      </w:r>
      <w:r w:rsidR="00EF364C" w:rsidRPr="00FD4C39">
        <w:rPr>
          <w:rFonts w:ascii="Times New Roman" w:eastAsia="Calibri" w:hAnsi="Times New Roman" w:cs="Times New Roman"/>
          <w:sz w:val="24"/>
          <w:szCs w:val="24"/>
        </w:rPr>
        <w:t xml:space="preserve">Искането е във връзка със стартиран проект от администрацията на Президента, един от модулите на който цели да бъде проучен приносът на лицата, придобили или възстановили българско гражданство с указ на Вицепрезидента, към икономиката на страната или в други специфични области, свързани основно с пребиваването и заетостта им в Република България. Във връзка с проучването е необходимо ползването на информация, свързана с лични данни на посочената група лица и препращането </w:t>
      </w:r>
      <w:r w:rsidR="00963F89">
        <w:rPr>
          <w:rFonts w:ascii="Times New Roman" w:eastAsia="Calibri" w:hAnsi="Times New Roman" w:cs="Times New Roman"/>
          <w:sz w:val="24"/>
          <w:szCs w:val="24"/>
        </w:rPr>
        <w:t>й</w:t>
      </w:r>
      <w:r w:rsidR="00EF364C" w:rsidRPr="00FD4C39">
        <w:rPr>
          <w:rFonts w:ascii="Times New Roman" w:eastAsia="Calibri" w:hAnsi="Times New Roman" w:cs="Times New Roman"/>
          <w:sz w:val="24"/>
          <w:szCs w:val="24"/>
        </w:rPr>
        <w:t xml:space="preserve"> за справк</w:t>
      </w:r>
      <w:r w:rsidR="005949C9" w:rsidRPr="00FD4C39">
        <w:rPr>
          <w:rFonts w:ascii="Times New Roman" w:eastAsia="Calibri" w:hAnsi="Times New Roman" w:cs="Times New Roman"/>
          <w:sz w:val="24"/>
          <w:szCs w:val="24"/>
        </w:rPr>
        <w:t xml:space="preserve">а на други държавни институции </w:t>
      </w:r>
      <w:r w:rsidR="005949C9" w:rsidRPr="00FD4C39">
        <w:rPr>
          <w:rFonts w:ascii="Times New Roman" w:eastAsia="Calibri" w:hAnsi="Times New Roman" w:cs="Times New Roman"/>
          <w:sz w:val="24"/>
          <w:szCs w:val="24"/>
        </w:rPr>
        <w:sym w:font="Symbol" w:char="F02D"/>
      </w:r>
      <w:r w:rsidR="005949C9" w:rsidRPr="00FD4C39">
        <w:rPr>
          <w:rFonts w:ascii="Times New Roman" w:eastAsia="Calibri" w:hAnsi="Times New Roman" w:cs="Times New Roman"/>
          <w:sz w:val="24"/>
          <w:szCs w:val="24"/>
        </w:rPr>
        <w:t xml:space="preserve"> </w:t>
      </w:r>
      <w:r w:rsidR="00580030" w:rsidRPr="00FD4C39">
        <w:rPr>
          <w:rFonts w:ascii="Times New Roman" w:eastAsia="Calibri" w:hAnsi="Times New Roman" w:cs="Times New Roman"/>
          <w:sz w:val="24"/>
          <w:szCs w:val="24"/>
        </w:rPr>
        <w:t>АЛД</w:t>
      </w:r>
      <w:r w:rsidR="00EF364C" w:rsidRPr="00FD4C39">
        <w:rPr>
          <w:rFonts w:ascii="Times New Roman" w:eastAsia="Calibri" w:hAnsi="Times New Roman" w:cs="Times New Roman"/>
          <w:sz w:val="24"/>
          <w:szCs w:val="24"/>
        </w:rPr>
        <w:t xml:space="preserve">. По повод на това от администрацията на Вицепрезидента </w:t>
      </w:r>
      <w:r w:rsidR="00963F89">
        <w:rPr>
          <w:rFonts w:ascii="Times New Roman" w:eastAsia="Calibri" w:hAnsi="Times New Roman" w:cs="Times New Roman"/>
          <w:sz w:val="24"/>
          <w:szCs w:val="24"/>
        </w:rPr>
        <w:t>се иска</w:t>
      </w:r>
      <w:r w:rsidR="00876B91" w:rsidRPr="00FD4C39">
        <w:rPr>
          <w:rFonts w:ascii="Times New Roman" w:eastAsia="Calibri" w:hAnsi="Times New Roman" w:cs="Times New Roman"/>
          <w:sz w:val="24"/>
          <w:szCs w:val="24"/>
        </w:rPr>
        <w:t xml:space="preserve"> </w:t>
      </w:r>
      <w:r w:rsidR="00EF364C" w:rsidRPr="00FD4C39">
        <w:rPr>
          <w:rFonts w:ascii="Times New Roman" w:eastAsia="Calibri" w:hAnsi="Times New Roman" w:cs="Times New Roman"/>
          <w:sz w:val="24"/>
          <w:szCs w:val="24"/>
        </w:rPr>
        <w:t xml:space="preserve">становище </w:t>
      </w:r>
      <w:r w:rsidR="00876B91" w:rsidRPr="00FD4C39">
        <w:rPr>
          <w:rFonts w:ascii="Times New Roman" w:eastAsia="Calibri" w:hAnsi="Times New Roman" w:cs="Times New Roman"/>
          <w:sz w:val="24"/>
          <w:szCs w:val="24"/>
        </w:rPr>
        <w:t>от</w:t>
      </w:r>
      <w:r w:rsidR="00EF364C" w:rsidRPr="00FD4C39">
        <w:rPr>
          <w:rFonts w:ascii="Times New Roman" w:eastAsia="Calibri" w:hAnsi="Times New Roman" w:cs="Times New Roman"/>
          <w:sz w:val="24"/>
          <w:szCs w:val="24"/>
        </w:rPr>
        <w:t xml:space="preserve"> КЗЛД относно възможността да бъде получавана информация от други </w:t>
      </w:r>
      <w:r w:rsidR="00FE7018" w:rsidRPr="00FD4C39">
        <w:rPr>
          <w:rFonts w:ascii="Times New Roman" w:eastAsia="Calibri" w:hAnsi="Times New Roman" w:cs="Times New Roman"/>
          <w:sz w:val="24"/>
          <w:szCs w:val="24"/>
        </w:rPr>
        <w:t>АЛД</w:t>
      </w:r>
      <w:r w:rsidR="00580030" w:rsidRPr="00FD4C39">
        <w:rPr>
          <w:rFonts w:ascii="Times New Roman" w:eastAsia="Calibri" w:hAnsi="Times New Roman" w:cs="Times New Roman"/>
          <w:sz w:val="24"/>
          <w:szCs w:val="24"/>
        </w:rPr>
        <w:t xml:space="preserve"> </w:t>
      </w:r>
      <w:r w:rsidR="00EF364C" w:rsidRPr="00FD4C39">
        <w:rPr>
          <w:rFonts w:ascii="Times New Roman" w:eastAsia="Calibri" w:hAnsi="Times New Roman" w:cs="Times New Roman"/>
          <w:sz w:val="24"/>
          <w:szCs w:val="24"/>
        </w:rPr>
        <w:t>за проучваните лица, както и да бъде предоставяна такава на други институции за постигане целите на проекта при условията на</w:t>
      </w:r>
      <w:r w:rsidR="00884B97">
        <w:rPr>
          <w:rFonts w:ascii="Times New Roman" w:eastAsia="Calibri" w:hAnsi="Times New Roman" w:cs="Times New Roman"/>
          <w:sz w:val="24"/>
          <w:szCs w:val="24"/>
        </w:rPr>
        <w:t xml:space="preserve"> чл. </w:t>
      </w:r>
      <w:r w:rsidR="00EF364C"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00EF364C"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EF364C" w:rsidRPr="00FD4C39">
        <w:rPr>
          <w:rFonts w:ascii="Times New Roman" w:eastAsia="Calibri" w:hAnsi="Times New Roman" w:cs="Times New Roman"/>
          <w:sz w:val="24"/>
          <w:szCs w:val="24"/>
        </w:rPr>
        <w:t>5 от ЗЗЛД (наличие на обществен интерес).</w:t>
      </w:r>
      <w:r w:rsidR="00EF364C" w:rsidRPr="00FD4C39">
        <w:rPr>
          <w:rFonts w:ascii="Times New Roman" w:eastAsia="Calibri" w:hAnsi="Times New Roman" w:cs="Times New Roman"/>
          <w:b/>
          <w:sz w:val="24"/>
          <w:szCs w:val="24"/>
        </w:rPr>
        <w:t xml:space="preserve"> </w:t>
      </w:r>
    </w:p>
    <w:p w:rsidR="0013400E" w:rsidRPr="00FD4C39" w:rsidRDefault="00963F89" w:rsidP="007B189E">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След анализ на казуса</w:t>
      </w:r>
      <w:r w:rsidR="00EF364C" w:rsidRPr="00FD4C39">
        <w:rPr>
          <w:rFonts w:ascii="Times New Roman" w:eastAsia="Calibri" w:hAnsi="Times New Roman" w:cs="Times New Roman"/>
          <w:b/>
          <w:sz w:val="24"/>
          <w:szCs w:val="24"/>
        </w:rPr>
        <w:t xml:space="preserve"> </w:t>
      </w:r>
      <w:r w:rsidR="00EF364C" w:rsidRPr="00FD4C39">
        <w:rPr>
          <w:rFonts w:ascii="Times New Roman" w:eastAsia="Calibri" w:hAnsi="Times New Roman" w:cs="Times New Roman"/>
          <w:sz w:val="24"/>
          <w:szCs w:val="24"/>
        </w:rPr>
        <w:t>становището</w:t>
      </w:r>
      <w:r w:rsidR="00BE67E0" w:rsidRPr="00FD4C39">
        <w:rPr>
          <w:rFonts w:ascii="Times New Roman" w:eastAsia="Calibri" w:hAnsi="Times New Roman" w:cs="Times New Roman"/>
          <w:sz w:val="24"/>
          <w:szCs w:val="24"/>
        </w:rPr>
        <w:t xml:space="preserve"> на</w:t>
      </w:r>
      <w:r w:rsidR="00EF364C" w:rsidRPr="00FD4C39">
        <w:rPr>
          <w:rFonts w:ascii="Times New Roman" w:eastAsia="Calibri" w:hAnsi="Times New Roman" w:cs="Times New Roman"/>
          <w:sz w:val="24"/>
          <w:szCs w:val="24"/>
        </w:rPr>
        <w:t xml:space="preserve"> КЗЛД </w:t>
      </w:r>
      <w:r w:rsidR="00BE67E0" w:rsidRPr="00FD4C39">
        <w:rPr>
          <w:rFonts w:ascii="Times New Roman" w:eastAsia="Calibri" w:hAnsi="Times New Roman" w:cs="Times New Roman"/>
          <w:sz w:val="24"/>
          <w:szCs w:val="24"/>
        </w:rPr>
        <w:t xml:space="preserve">е, </w:t>
      </w:r>
      <w:r w:rsidR="00EF364C" w:rsidRPr="00FD4C39">
        <w:rPr>
          <w:rFonts w:ascii="Times New Roman" w:eastAsia="Calibri" w:hAnsi="Times New Roman" w:cs="Times New Roman"/>
          <w:sz w:val="24"/>
          <w:szCs w:val="24"/>
        </w:rPr>
        <w:t>че обработването на лични данни в рамките на описания проект може да се извършва на основание</w:t>
      </w:r>
      <w:r w:rsidR="00884B97">
        <w:rPr>
          <w:rFonts w:ascii="Times New Roman" w:eastAsia="Calibri" w:hAnsi="Times New Roman" w:cs="Times New Roman"/>
          <w:sz w:val="24"/>
          <w:szCs w:val="24"/>
        </w:rPr>
        <w:t xml:space="preserve"> чл. </w:t>
      </w:r>
      <w:r w:rsidR="00EF364C"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ал. </w:t>
      </w:r>
      <w:r w:rsidR="00EF364C"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EF364C" w:rsidRPr="00FD4C39">
        <w:rPr>
          <w:rFonts w:ascii="Times New Roman" w:eastAsia="Calibri" w:hAnsi="Times New Roman" w:cs="Times New Roman"/>
          <w:sz w:val="24"/>
          <w:szCs w:val="24"/>
        </w:rPr>
        <w:t>2</w:t>
      </w:r>
      <w:r w:rsidR="005949C9" w:rsidRPr="00FD4C39">
        <w:rPr>
          <w:rFonts w:ascii="Times New Roman" w:eastAsia="Calibri" w:hAnsi="Times New Roman" w:cs="Times New Roman"/>
          <w:sz w:val="24"/>
          <w:szCs w:val="24"/>
        </w:rPr>
        <w:t xml:space="preserve"> от ЗЗЛД при наличие на изрично</w:t>
      </w:r>
      <w:r w:rsidR="00EF364C" w:rsidRPr="00FD4C39">
        <w:rPr>
          <w:rFonts w:ascii="Times New Roman" w:eastAsia="Calibri" w:hAnsi="Times New Roman" w:cs="Times New Roman"/>
          <w:sz w:val="24"/>
          <w:szCs w:val="24"/>
        </w:rPr>
        <w:t xml:space="preserve"> и информирано съгласие на лицата, чиито данни се обработват. Важно условие за валидността е съгласието да бъде изразено преди започване на обработването за целите на проекта. Осъществяващите проекта институции имат задължение да предоставят възможност за избор на лицата, получаващи или възстановяващи българско гражданство, като предварително ги информират за целите на проекта, категориите данни, които ще се обработват и лицата, които ще имат достъп до обработваните лични данни, както и реда за обработване.</w:t>
      </w:r>
      <w:r w:rsidR="00EF364C" w:rsidRPr="00FD4C39">
        <w:rPr>
          <w:rFonts w:ascii="Times New Roman" w:eastAsia="Calibri" w:hAnsi="Times New Roman" w:cs="Times New Roman"/>
          <w:b/>
          <w:sz w:val="24"/>
          <w:szCs w:val="24"/>
        </w:rPr>
        <w:t xml:space="preserve"> </w:t>
      </w:r>
      <w:r w:rsidR="00EF364C" w:rsidRPr="00FD4C39">
        <w:rPr>
          <w:rFonts w:ascii="Times New Roman" w:eastAsia="Calibri" w:hAnsi="Times New Roman" w:cs="Times New Roman"/>
          <w:sz w:val="24"/>
          <w:szCs w:val="24"/>
        </w:rPr>
        <w:t xml:space="preserve">В конкретния случай, при липса на изразено съгласие от лице, което е придобило или на което е възстановено българското гражданство, институциите, от които се иска предоставяне на информация, могат да предоставят такава единствено под формата на статистическа информация, след </w:t>
      </w:r>
      <w:proofErr w:type="spellStart"/>
      <w:r w:rsidR="00EF364C" w:rsidRPr="00FD4C39">
        <w:rPr>
          <w:rFonts w:ascii="Times New Roman" w:eastAsia="Calibri" w:hAnsi="Times New Roman" w:cs="Times New Roman"/>
          <w:sz w:val="24"/>
          <w:szCs w:val="24"/>
        </w:rPr>
        <w:t>анонимизиране</w:t>
      </w:r>
      <w:proofErr w:type="spellEnd"/>
      <w:r w:rsidR="00EF364C" w:rsidRPr="00FD4C39">
        <w:rPr>
          <w:rFonts w:ascii="Times New Roman" w:eastAsia="Calibri" w:hAnsi="Times New Roman" w:cs="Times New Roman"/>
          <w:sz w:val="24"/>
          <w:szCs w:val="24"/>
        </w:rPr>
        <w:t xml:space="preserve"> на личните данни, съдържащи се в нея.</w:t>
      </w:r>
    </w:p>
    <w:p w:rsidR="0013400E" w:rsidRPr="00FD4C39" w:rsidRDefault="00963F89" w:rsidP="007B189E">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sz w:val="24"/>
          <w:szCs w:val="24"/>
        </w:rPr>
        <w:t>През 2014 година КЗЛД се произнася</w:t>
      </w:r>
      <w:r w:rsidR="00EF364C" w:rsidRPr="00FD4C39">
        <w:rPr>
          <w:rFonts w:ascii="Times New Roman" w:eastAsia="Calibri" w:hAnsi="Times New Roman" w:cs="Times New Roman"/>
          <w:b/>
          <w:sz w:val="24"/>
          <w:szCs w:val="24"/>
        </w:rPr>
        <w:t xml:space="preserve"> и със становище по повод организираната от фондация </w:t>
      </w:r>
      <w:r w:rsidR="004931E5" w:rsidRPr="00FD4C39">
        <w:rPr>
          <w:rFonts w:ascii="Times New Roman" w:eastAsia="Calibri" w:hAnsi="Times New Roman" w:cs="Times New Roman"/>
          <w:b/>
          <w:sz w:val="24"/>
          <w:szCs w:val="24"/>
        </w:rPr>
        <w:t>„</w:t>
      </w:r>
      <w:r w:rsidR="00EF364C" w:rsidRPr="00FD4C39">
        <w:rPr>
          <w:rFonts w:ascii="Times New Roman" w:eastAsia="Calibri" w:hAnsi="Times New Roman" w:cs="Times New Roman"/>
          <w:b/>
          <w:sz w:val="24"/>
          <w:szCs w:val="24"/>
        </w:rPr>
        <w:t>Програма достъп до информация</w:t>
      </w:r>
      <w:r w:rsidR="00CF0F1F" w:rsidRPr="00FD4C39">
        <w:rPr>
          <w:rFonts w:ascii="Times New Roman" w:eastAsia="Calibri" w:hAnsi="Times New Roman" w:cs="Times New Roman"/>
          <w:b/>
          <w:sz w:val="24"/>
          <w:szCs w:val="24"/>
        </w:rPr>
        <w:t>“</w:t>
      </w:r>
      <w:r w:rsidR="00EF364C" w:rsidRPr="00FD4C39">
        <w:rPr>
          <w:rFonts w:ascii="Times New Roman" w:eastAsia="Calibri" w:hAnsi="Times New Roman" w:cs="Times New Roman"/>
          <w:b/>
          <w:sz w:val="24"/>
          <w:szCs w:val="24"/>
        </w:rPr>
        <w:t xml:space="preserve"> обществена дискусия на тема: </w:t>
      </w:r>
      <w:r w:rsidR="004931E5" w:rsidRPr="00FD4C39">
        <w:rPr>
          <w:rFonts w:ascii="Times New Roman" w:eastAsia="Calibri" w:hAnsi="Times New Roman" w:cs="Times New Roman"/>
          <w:b/>
          <w:sz w:val="24"/>
          <w:szCs w:val="24"/>
        </w:rPr>
        <w:t>„</w:t>
      </w:r>
      <w:r w:rsidR="00EF364C" w:rsidRPr="00FD4C39">
        <w:rPr>
          <w:rFonts w:ascii="Times New Roman" w:eastAsia="Calibri" w:hAnsi="Times New Roman" w:cs="Times New Roman"/>
          <w:b/>
          <w:sz w:val="24"/>
          <w:szCs w:val="24"/>
        </w:rPr>
        <w:t>Необходими ли са промени в законодателството за достъп до информация</w:t>
      </w:r>
      <w:r w:rsidR="00CF0F1F" w:rsidRPr="00FD4C3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 дискусия се</w:t>
      </w:r>
      <w:r w:rsidR="00A56399" w:rsidRPr="00FD4C39">
        <w:rPr>
          <w:rFonts w:ascii="Times New Roman" w:eastAsia="Calibri" w:hAnsi="Times New Roman" w:cs="Times New Roman"/>
          <w:sz w:val="24"/>
          <w:szCs w:val="24"/>
        </w:rPr>
        <w:t xml:space="preserve"> постав</w:t>
      </w:r>
      <w:r>
        <w:rPr>
          <w:rFonts w:ascii="Times New Roman" w:eastAsia="Calibri" w:hAnsi="Times New Roman" w:cs="Times New Roman"/>
          <w:sz w:val="24"/>
          <w:szCs w:val="24"/>
        </w:rPr>
        <w:t>я</w:t>
      </w:r>
      <w:r w:rsidR="00EF364C" w:rsidRPr="00FD4C39">
        <w:rPr>
          <w:rFonts w:ascii="Times New Roman" w:eastAsia="Calibri" w:hAnsi="Times New Roman" w:cs="Times New Roman"/>
          <w:sz w:val="24"/>
          <w:szCs w:val="24"/>
        </w:rPr>
        <w:t xml:space="preserve"> и темата за създаване на независим орган с правомощия за контрол по приложението на </w:t>
      </w:r>
      <w:r w:rsidR="00FE7018" w:rsidRPr="00FD4C39">
        <w:rPr>
          <w:rFonts w:ascii="Times New Roman" w:eastAsia="Calibri" w:hAnsi="Times New Roman" w:cs="Times New Roman"/>
          <w:sz w:val="24"/>
          <w:szCs w:val="24"/>
        </w:rPr>
        <w:t>З</w:t>
      </w:r>
      <w:r>
        <w:rPr>
          <w:rFonts w:ascii="Times New Roman" w:eastAsia="Calibri" w:hAnsi="Times New Roman" w:cs="Times New Roman"/>
          <w:sz w:val="24"/>
          <w:szCs w:val="24"/>
        </w:rPr>
        <w:t>акона</w:t>
      </w:r>
      <w:r w:rsidR="00EF364C" w:rsidRPr="00FD4C39">
        <w:rPr>
          <w:rFonts w:ascii="Times New Roman" w:eastAsia="Calibri" w:hAnsi="Times New Roman" w:cs="Times New Roman"/>
          <w:sz w:val="24"/>
          <w:szCs w:val="24"/>
        </w:rPr>
        <w:t xml:space="preserve"> за достъп до обществена информация</w:t>
      </w:r>
      <w:r w:rsidR="007002E9" w:rsidRPr="00FD4C39">
        <w:rPr>
          <w:rFonts w:ascii="Times New Roman" w:eastAsia="Calibri" w:hAnsi="Times New Roman" w:cs="Times New Roman"/>
          <w:sz w:val="24"/>
          <w:szCs w:val="24"/>
        </w:rPr>
        <w:t xml:space="preserve"> (ЗДОИ)</w:t>
      </w:r>
      <w:r w:rsidR="00EF364C" w:rsidRPr="00FD4C39">
        <w:rPr>
          <w:rFonts w:ascii="Times New Roman" w:eastAsia="Calibri" w:hAnsi="Times New Roman" w:cs="Times New Roman"/>
          <w:sz w:val="24"/>
          <w:szCs w:val="24"/>
        </w:rPr>
        <w:t xml:space="preserve">, с вариант съвместяване от КЗЛД на контрола по защитата на </w:t>
      </w:r>
      <w:r w:rsidR="00EF364C" w:rsidRPr="00FD4C39">
        <w:rPr>
          <w:rFonts w:ascii="Times New Roman" w:eastAsia="Calibri" w:hAnsi="Times New Roman" w:cs="Times New Roman"/>
          <w:sz w:val="24"/>
          <w:szCs w:val="24"/>
        </w:rPr>
        <w:lastRenderedPageBreak/>
        <w:t>личните данни и по достъпа до информация. По този въпрос позицията</w:t>
      </w:r>
      <w:r w:rsidR="002B3DEF" w:rsidRPr="00FD4C39">
        <w:rPr>
          <w:rFonts w:ascii="Times New Roman" w:eastAsia="Calibri" w:hAnsi="Times New Roman" w:cs="Times New Roman"/>
          <w:sz w:val="24"/>
          <w:szCs w:val="24"/>
        </w:rPr>
        <w:t xml:space="preserve"> на КЗЛД</w:t>
      </w:r>
      <w:r w:rsidR="00EF364C" w:rsidRPr="00FD4C39">
        <w:rPr>
          <w:rFonts w:ascii="Times New Roman" w:eastAsia="Calibri" w:hAnsi="Times New Roman" w:cs="Times New Roman"/>
          <w:sz w:val="24"/>
          <w:szCs w:val="24"/>
        </w:rPr>
        <w:t xml:space="preserve"> е, че </w:t>
      </w:r>
      <w:r w:rsidR="00FE7018" w:rsidRPr="00FD4C39">
        <w:rPr>
          <w:rFonts w:ascii="Times New Roman" w:eastAsia="Calibri" w:hAnsi="Times New Roman" w:cs="Times New Roman"/>
          <w:bCs/>
          <w:sz w:val="24"/>
          <w:szCs w:val="24"/>
        </w:rPr>
        <w:t>КЗЛД</w:t>
      </w:r>
      <w:r w:rsidR="00512978" w:rsidRPr="00FD4C39">
        <w:rPr>
          <w:rFonts w:ascii="Times New Roman" w:eastAsia="Calibri" w:hAnsi="Times New Roman" w:cs="Times New Roman"/>
          <w:bCs/>
          <w:sz w:val="24"/>
          <w:szCs w:val="24"/>
        </w:rPr>
        <w:t xml:space="preserve"> </w:t>
      </w:r>
      <w:r w:rsidR="00EF364C" w:rsidRPr="00FD4C39">
        <w:rPr>
          <w:rFonts w:ascii="Times New Roman" w:eastAsia="Calibri" w:hAnsi="Times New Roman" w:cs="Times New Roman"/>
          <w:bCs/>
          <w:sz w:val="24"/>
          <w:szCs w:val="24"/>
        </w:rPr>
        <w:t xml:space="preserve">е независим държавен орган, създаден със специална цел </w:t>
      </w:r>
      <w:r w:rsidR="00512978" w:rsidRPr="00FD4C39">
        <w:rPr>
          <w:rFonts w:ascii="Times New Roman" w:eastAsia="Calibri" w:hAnsi="Times New Roman" w:cs="Times New Roman"/>
          <w:bCs/>
          <w:sz w:val="24"/>
          <w:szCs w:val="24"/>
        </w:rPr>
        <w:sym w:font="Symbol" w:char="F02D"/>
      </w:r>
      <w:r w:rsidR="00512978" w:rsidRPr="00FD4C39">
        <w:rPr>
          <w:rFonts w:ascii="Times New Roman" w:eastAsia="Calibri" w:hAnsi="Times New Roman" w:cs="Times New Roman"/>
          <w:bCs/>
          <w:sz w:val="24"/>
          <w:szCs w:val="24"/>
        </w:rPr>
        <w:t xml:space="preserve"> </w:t>
      </w:r>
      <w:r w:rsidR="00EF364C" w:rsidRPr="00FD4C39">
        <w:rPr>
          <w:rFonts w:ascii="Times New Roman" w:eastAsia="Calibri" w:hAnsi="Times New Roman" w:cs="Times New Roman"/>
          <w:bCs/>
          <w:sz w:val="24"/>
          <w:szCs w:val="24"/>
        </w:rPr>
        <w:t>да реализира институционалната защита на лицата при нарушаване правото им на личен живот, извършено в противоречие с принципит</w:t>
      </w:r>
      <w:r w:rsidR="00512978" w:rsidRPr="00FD4C39">
        <w:rPr>
          <w:rFonts w:ascii="Times New Roman" w:eastAsia="Calibri" w:hAnsi="Times New Roman" w:cs="Times New Roman"/>
          <w:bCs/>
          <w:sz w:val="24"/>
          <w:szCs w:val="24"/>
        </w:rPr>
        <w:t>е за обработване на лични данни.</w:t>
      </w:r>
      <w:r w:rsidR="00EF364C" w:rsidRPr="00FD4C39">
        <w:rPr>
          <w:rFonts w:ascii="Times New Roman" w:eastAsia="Calibri" w:hAnsi="Times New Roman" w:cs="Times New Roman"/>
          <w:bCs/>
          <w:sz w:val="24"/>
          <w:szCs w:val="24"/>
        </w:rPr>
        <w:t xml:space="preserve"> Конституционно признатите права на достъп до информация</w:t>
      </w:r>
      <w:r w:rsidR="00EF364C" w:rsidRPr="00FD4C39">
        <w:rPr>
          <w:rFonts w:ascii="Times New Roman" w:eastAsia="Calibri" w:hAnsi="Times New Roman" w:cs="Times New Roman"/>
          <w:b/>
          <w:bCs/>
          <w:sz w:val="24"/>
          <w:szCs w:val="24"/>
        </w:rPr>
        <w:t xml:space="preserve"> </w:t>
      </w:r>
      <w:r w:rsidR="00EF364C" w:rsidRPr="00FD4C39">
        <w:rPr>
          <w:rFonts w:ascii="Times New Roman" w:eastAsia="Calibri" w:hAnsi="Times New Roman" w:cs="Times New Roman"/>
          <w:bCs/>
          <w:sz w:val="24"/>
          <w:szCs w:val="24"/>
        </w:rPr>
        <w:t xml:space="preserve">и на защита на личната неприкосновеност, включително и защита на личните данни, съществуват в конфликт, който следва да намери своето балансирано разрешаване във всеки конкретен случай. Вменяване на КЗЛД на правомощия по разглеждане на жалби по </w:t>
      </w:r>
      <w:r w:rsidR="00955170" w:rsidRPr="00FD4C39">
        <w:rPr>
          <w:rFonts w:ascii="Times New Roman" w:eastAsia="Calibri" w:hAnsi="Times New Roman" w:cs="Times New Roman"/>
          <w:bCs/>
          <w:sz w:val="24"/>
          <w:szCs w:val="24"/>
        </w:rPr>
        <w:t>ЗДОИ</w:t>
      </w:r>
      <w:r w:rsidR="00EF364C" w:rsidRPr="00FD4C39">
        <w:rPr>
          <w:rFonts w:ascii="Times New Roman" w:eastAsia="Calibri" w:hAnsi="Times New Roman" w:cs="Times New Roman"/>
          <w:bCs/>
          <w:sz w:val="24"/>
          <w:szCs w:val="24"/>
        </w:rPr>
        <w:t xml:space="preserve"> и </w:t>
      </w:r>
      <w:r w:rsidR="00FE7018" w:rsidRPr="00FD4C39">
        <w:rPr>
          <w:rFonts w:ascii="Times New Roman" w:eastAsia="Calibri" w:hAnsi="Times New Roman" w:cs="Times New Roman"/>
          <w:bCs/>
          <w:sz w:val="24"/>
          <w:szCs w:val="24"/>
        </w:rPr>
        <w:t>ЗЗЛД</w:t>
      </w:r>
      <w:r w:rsidR="00EF364C" w:rsidRPr="00FD4C39">
        <w:rPr>
          <w:rFonts w:ascii="Times New Roman" w:eastAsia="Calibri" w:hAnsi="Times New Roman" w:cs="Times New Roman"/>
          <w:bCs/>
          <w:sz w:val="24"/>
          <w:szCs w:val="24"/>
        </w:rPr>
        <w:t xml:space="preserve"> ще доведе до сериозен дисбаланс в обективно решаване на споровете, като в този случай резултатите могат да бъдат единствено във вреда на лицата, потърсили справедлива защита на нарушените си права. </w:t>
      </w:r>
      <w:r w:rsidR="00CB3EEF" w:rsidRPr="00FD4C39">
        <w:rPr>
          <w:rFonts w:ascii="Times New Roman" w:eastAsia="Calibri" w:hAnsi="Times New Roman" w:cs="Times New Roman"/>
          <w:bCs/>
          <w:sz w:val="24"/>
          <w:szCs w:val="24"/>
        </w:rPr>
        <w:t xml:space="preserve">Позицията на </w:t>
      </w:r>
      <w:r w:rsidR="00FE7018" w:rsidRPr="00FD4C39">
        <w:rPr>
          <w:rFonts w:ascii="Times New Roman" w:eastAsia="Calibri" w:hAnsi="Times New Roman" w:cs="Times New Roman"/>
          <w:bCs/>
          <w:sz w:val="24"/>
          <w:szCs w:val="24"/>
        </w:rPr>
        <w:t>КЗЛД</w:t>
      </w:r>
      <w:r w:rsidR="00786BAB" w:rsidRPr="00FD4C39">
        <w:rPr>
          <w:rFonts w:ascii="Times New Roman" w:eastAsia="Calibri" w:hAnsi="Times New Roman" w:cs="Times New Roman"/>
          <w:bCs/>
          <w:sz w:val="24"/>
          <w:szCs w:val="24"/>
        </w:rPr>
        <w:t xml:space="preserve"> </w:t>
      </w:r>
      <w:r w:rsidR="00CB3EEF" w:rsidRPr="00FD4C39">
        <w:rPr>
          <w:rFonts w:ascii="Times New Roman" w:eastAsia="Calibri" w:hAnsi="Times New Roman" w:cs="Times New Roman"/>
          <w:bCs/>
          <w:sz w:val="24"/>
          <w:szCs w:val="24"/>
        </w:rPr>
        <w:t>е, че в</w:t>
      </w:r>
      <w:r w:rsidR="00EF364C" w:rsidRPr="00FD4C39">
        <w:rPr>
          <w:rFonts w:ascii="Times New Roman" w:eastAsia="Calibri" w:hAnsi="Times New Roman" w:cs="Times New Roman"/>
          <w:bCs/>
          <w:sz w:val="24"/>
          <w:szCs w:val="24"/>
        </w:rPr>
        <w:t xml:space="preserve"> настоящия момент в българската правна уредба съществува независима институция в лицето на националния </w:t>
      </w:r>
      <w:proofErr w:type="spellStart"/>
      <w:r w:rsidR="00EF364C" w:rsidRPr="00FD4C39">
        <w:rPr>
          <w:rFonts w:ascii="Times New Roman" w:eastAsia="Calibri" w:hAnsi="Times New Roman" w:cs="Times New Roman"/>
          <w:bCs/>
          <w:sz w:val="24"/>
          <w:szCs w:val="24"/>
        </w:rPr>
        <w:t>омбудсман</w:t>
      </w:r>
      <w:proofErr w:type="spellEnd"/>
      <w:r w:rsidR="00EF364C" w:rsidRPr="00FD4C39">
        <w:rPr>
          <w:rFonts w:ascii="Times New Roman" w:eastAsia="Calibri" w:hAnsi="Times New Roman" w:cs="Times New Roman"/>
          <w:bCs/>
          <w:sz w:val="24"/>
          <w:szCs w:val="24"/>
        </w:rPr>
        <w:t xml:space="preserve">, който разполага с достатъчно нормативно разписани механизми, за да реализира ефективно защитата на българските граждани при нарушаване на правата им по </w:t>
      </w:r>
      <w:r w:rsidR="00955170" w:rsidRPr="00FD4C39">
        <w:rPr>
          <w:rFonts w:ascii="Times New Roman" w:eastAsia="Calibri" w:hAnsi="Times New Roman" w:cs="Times New Roman"/>
          <w:bCs/>
          <w:sz w:val="24"/>
          <w:szCs w:val="24"/>
        </w:rPr>
        <w:t>ЗДОИ</w:t>
      </w:r>
      <w:r w:rsidR="00EF364C" w:rsidRPr="00FD4C39">
        <w:rPr>
          <w:rFonts w:ascii="Times New Roman" w:eastAsia="Calibri" w:hAnsi="Times New Roman" w:cs="Times New Roman"/>
          <w:bCs/>
          <w:sz w:val="24"/>
          <w:szCs w:val="24"/>
        </w:rPr>
        <w:t>.</w:t>
      </w:r>
    </w:p>
    <w:p w:rsidR="00757D63" w:rsidRPr="00FD4C39" w:rsidRDefault="00EF364C"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
          <w:bCs/>
          <w:sz w:val="24"/>
          <w:szCs w:val="24"/>
        </w:rPr>
        <w:t xml:space="preserve">Във връзка с приетите и обнародвани в </w:t>
      </w:r>
      <w:r w:rsidR="00963F89">
        <w:rPr>
          <w:rFonts w:ascii="Times New Roman" w:eastAsia="Calibri" w:hAnsi="Times New Roman" w:cs="Times New Roman"/>
          <w:b/>
          <w:bCs/>
          <w:sz w:val="24"/>
          <w:szCs w:val="24"/>
        </w:rPr>
        <w:t>„</w:t>
      </w:r>
      <w:r w:rsidRPr="00FD4C39">
        <w:rPr>
          <w:rFonts w:ascii="Times New Roman" w:eastAsia="Calibri" w:hAnsi="Times New Roman" w:cs="Times New Roman"/>
          <w:b/>
          <w:bCs/>
          <w:sz w:val="24"/>
          <w:szCs w:val="24"/>
        </w:rPr>
        <w:t>Държавен вестник</w:t>
      </w:r>
      <w:r w:rsidR="00963F89">
        <w:rPr>
          <w:rFonts w:ascii="Times New Roman" w:eastAsia="Calibri" w:hAnsi="Times New Roman" w:cs="Times New Roman"/>
          <w:b/>
          <w:bCs/>
          <w:sz w:val="24"/>
          <w:szCs w:val="24"/>
        </w:rPr>
        <w:t>“</w:t>
      </w:r>
      <w:r w:rsidRPr="00FD4C39">
        <w:rPr>
          <w:rFonts w:ascii="Times New Roman" w:eastAsia="Calibri" w:hAnsi="Times New Roman" w:cs="Times New Roman"/>
          <w:b/>
          <w:bCs/>
          <w:sz w:val="24"/>
          <w:szCs w:val="24"/>
        </w:rPr>
        <w:t>, бр. 40 от 13 май 2014</w:t>
      </w:r>
      <w:r w:rsidR="004D42A2">
        <w:rPr>
          <w:rFonts w:ascii="Times New Roman" w:eastAsia="Calibri" w:hAnsi="Times New Roman" w:cs="Times New Roman"/>
          <w:b/>
          <w:bCs/>
          <w:sz w:val="24"/>
          <w:szCs w:val="24"/>
        </w:rPr>
        <w:t> г.</w:t>
      </w:r>
      <w:r w:rsidRPr="00FD4C39">
        <w:rPr>
          <w:rFonts w:ascii="Times New Roman" w:eastAsia="Calibri" w:hAnsi="Times New Roman" w:cs="Times New Roman"/>
          <w:b/>
          <w:bCs/>
          <w:sz w:val="24"/>
          <w:szCs w:val="24"/>
        </w:rPr>
        <w:t xml:space="preserve">, изменения в </w:t>
      </w:r>
      <w:r w:rsidR="00955170" w:rsidRPr="00FD4C39">
        <w:rPr>
          <w:rFonts w:ascii="Times New Roman" w:eastAsia="Calibri" w:hAnsi="Times New Roman" w:cs="Times New Roman"/>
          <w:b/>
          <w:bCs/>
          <w:sz w:val="24"/>
          <w:szCs w:val="24"/>
        </w:rPr>
        <w:t>З</w:t>
      </w:r>
      <w:r w:rsidR="00786BAB" w:rsidRPr="00FD4C39">
        <w:rPr>
          <w:rFonts w:ascii="Times New Roman" w:eastAsia="Calibri" w:hAnsi="Times New Roman" w:cs="Times New Roman"/>
          <w:b/>
          <w:bCs/>
          <w:sz w:val="24"/>
          <w:szCs w:val="24"/>
        </w:rPr>
        <w:t>акона</w:t>
      </w:r>
      <w:r w:rsidRPr="00FD4C39">
        <w:rPr>
          <w:rFonts w:ascii="Times New Roman" w:eastAsia="Calibri" w:hAnsi="Times New Roman" w:cs="Times New Roman"/>
          <w:b/>
          <w:bCs/>
          <w:sz w:val="24"/>
          <w:szCs w:val="24"/>
        </w:rPr>
        <w:t xml:space="preserve"> за обществените поръчки</w:t>
      </w:r>
      <w:r w:rsidR="00C847A8" w:rsidRPr="00FD4C39">
        <w:rPr>
          <w:rFonts w:ascii="Times New Roman" w:eastAsia="Calibri" w:hAnsi="Times New Roman" w:cs="Times New Roman"/>
          <w:b/>
          <w:bCs/>
          <w:sz w:val="24"/>
          <w:szCs w:val="24"/>
        </w:rPr>
        <w:t xml:space="preserve"> (ЗОП)</w:t>
      </w:r>
      <w:r w:rsidRPr="00FD4C39">
        <w:rPr>
          <w:rFonts w:ascii="Times New Roman" w:eastAsia="Calibri" w:hAnsi="Times New Roman" w:cs="Times New Roman"/>
          <w:b/>
          <w:bCs/>
          <w:sz w:val="24"/>
          <w:szCs w:val="24"/>
        </w:rPr>
        <w:t xml:space="preserve">, </w:t>
      </w:r>
      <w:r w:rsidR="007F4DAF" w:rsidRPr="00FD4C39">
        <w:rPr>
          <w:rFonts w:ascii="Times New Roman" w:eastAsia="Calibri" w:hAnsi="Times New Roman" w:cs="Times New Roman"/>
          <w:b/>
          <w:bCs/>
          <w:sz w:val="24"/>
          <w:szCs w:val="24"/>
        </w:rPr>
        <w:t xml:space="preserve">през отчетния период </w:t>
      </w:r>
      <w:r w:rsidRPr="00FD4C39">
        <w:rPr>
          <w:rFonts w:ascii="Times New Roman" w:eastAsia="Calibri" w:hAnsi="Times New Roman" w:cs="Times New Roman"/>
          <w:b/>
          <w:bCs/>
          <w:sz w:val="24"/>
          <w:szCs w:val="24"/>
        </w:rPr>
        <w:t xml:space="preserve">в КЗЛД </w:t>
      </w:r>
      <w:r w:rsidR="00963F89">
        <w:rPr>
          <w:rFonts w:ascii="Times New Roman" w:eastAsia="Calibri" w:hAnsi="Times New Roman" w:cs="Times New Roman"/>
          <w:b/>
          <w:bCs/>
          <w:sz w:val="24"/>
          <w:szCs w:val="24"/>
        </w:rPr>
        <w:t>постъпват</w:t>
      </w:r>
      <w:r w:rsidRPr="00FD4C39">
        <w:rPr>
          <w:rFonts w:ascii="Times New Roman" w:eastAsia="Calibri" w:hAnsi="Times New Roman" w:cs="Times New Roman"/>
          <w:b/>
          <w:bCs/>
          <w:sz w:val="24"/>
          <w:szCs w:val="24"/>
        </w:rPr>
        <w:t xml:space="preserve"> искания за становища </w:t>
      </w:r>
      <w:r w:rsidR="00955170" w:rsidRPr="00FD4C39">
        <w:rPr>
          <w:rFonts w:ascii="Times New Roman" w:eastAsia="Calibri" w:hAnsi="Times New Roman" w:cs="Times New Roman"/>
          <w:b/>
          <w:bCs/>
          <w:sz w:val="24"/>
          <w:szCs w:val="24"/>
        </w:rPr>
        <w:t>за заличаване на</w:t>
      </w:r>
      <w:r w:rsidRPr="00FD4C39">
        <w:rPr>
          <w:rFonts w:ascii="Times New Roman" w:eastAsia="Calibri" w:hAnsi="Times New Roman" w:cs="Times New Roman"/>
          <w:b/>
          <w:bCs/>
          <w:sz w:val="24"/>
          <w:szCs w:val="24"/>
        </w:rPr>
        <w:t xml:space="preserve"> информация съгласно изискването на</w:t>
      </w:r>
      <w:r w:rsidR="00884B97">
        <w:rPr>
          <w:rFonts w:ascii="Times New Roman" w:eastAsia="Calibri" w:hAnsi="Times New Roman" w:cs="Times New Roman"/>
          <w:b/>
          <w:bCs/>
          <w:sz w:val="24"/>
          <w:szCs w:val="24"/>
        </w:rPr>
        <w:t xml:space="preserve"> чл. </w:t>
      </w:r>
      <w:r w:rsidRPr="00FD4C39">
        <w:rPr>
          <w:rFonts w:ascii="Times New Roman" w:eastAsia="Calibri" w:hAnsi="Times New Roman" w:cs="Times New Roman"/>
          <w:b/>
          <w:bCs/>
          <w:sz w:val="24"/>
          <w:szCs w:val="24"/>
        </w:rPr>
        <w:t>22б,</w:t>
      </w:r>
      <w:r w:rsidR="00884B97">
        <w:rPr>
          <w:rFonts w:ascii="Times New Roman" w:eastAsia="Calibri" w:hAnsi="Times New Roman" w:cs="Times New Roman"/>
          <w:b/>
          <w:bCs/>
          <w:sz w:val="24"/>
          <w:szCs w:val="24"/>
        </w:rPr>
        <w:t xml:space="preserve"> ал. </w:t>
      </w:r>
      <w:r w:rsidR="00963F89">
        <w:rPr>
          <w:rFonts w:ascii="Times New Roman" w:eastAsia="Calibri" w:hAnsi="Times New Roman" w:cs="Times New Roman"/>
          <w:b/>
          <w:bCs/>
          <w:sz w:val="24"/>
          <w:szCs w:val="24"/>
        </w:rPr>
        <w:t>3 от ЗОП.</w:t>
      </w:r>
      <w:r w:rsidRPr="00FD4C39">
        <w:rPr>
          <w:rFonts w:ascii="Times New Roman" w:eastAsia="Calibri" w:hAnsi="Times New Roman" w:cs="Times New Roman"/>
          <w:b/>
          <w:bCs/>
          <w:sz w:val="24"/>
          <w:szCs w:val="24"/>
        </w:rPr>
        <w:t xml:space="preserve"> </w:t>
      </w:r>
      <w:r w:rsidRPr="00FD4C39">
        <w:rPr>
          <w:rFonts w:ascii="Times New Roman" w:eastAsia="Calibri" w:hAnsi="Times New Roman" w:cs="Times New Roman"/>
          <w:bCs/>
          <w:sz w:val="24"/>
          <w:szCs w:val="24"/>
        </w:rPr>
        <w:t>Позицията на</w:t>
      </w:r>
      <w:r w:rsidRPr="00FD4C39">
        <w:rPr>
          <w:rFonts w:ascii="Times New Roman" w:eastAsia="Calibri" w:hAnsi="Times New Roman" w:cs="Times New Roman"/>
          <w:b/>
          <w:bCs/>
          <w:sz w:val="24"/>
          <w:szCs w:val="24"/>
        </w:rPr>
        <w:t xml:space="preserve"> </w:t>
      </w:r>
      <w:r w:rsidR="00FE7018" w:rsidRPr="00FD4C39">
        <w:rPr>
          <w:rFonts w:ascii="Times New Roman" w:eastAsia="Calibri" w:hAnsi="Times New Roman" w:cs="Times New Roman"/>
          <w:bCs/>
          <w:sz w:val="24"/>
          <w:szCs w:val="24"/>
        </w:rPr>
        <w:t>КЗЛД</w:t>
      </w:r>
      <w:r w:rsidR="00C847A8" w:rsidRPr="00FD4C39">
        <w:rPr>
          <w:rFonts w:ascii="Times New Roman" w:eastAsia="Calibri" w:hAnsi="Times New Roman" w:cs="Times New Roman"/>
          <w:bCs/>
          <w:sz w:val="24"/>
          <w:szCs w:val="24"/>
        </w:rPr>
        <w:t xml:space="preserve"> е, че в</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22б,</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3 от ЗОП са разписани изрично случаите, когато се заличава информация от документите, които се публикуват в профила на купувача. Тази информация следва да се заличава само в хипотезите, които са посочени в разпоредба</w:t>
      </w:r>
      <w:r w:rsidR="00955170" w:rsidRPr="00FD4C39">
        <w:rPr>
          <w:rFonts w:ascii="Times New Roman" w:eastAsia="Calibri" w:hAnsi="Times New Roman" w:cs="Times New Roman"/>
          <w:bCs/>
          <w:sz w:val="24"/>
          <w:szCs w:val="24"/>
        </w:rPr>
        <w:t>та</w:t>
      </w:r>
      <w:r w:rsidRPr="00FD4C39">
        <w:rPr>
          <w:rFonts w:ascii="Times New Roman" w:eastAsia="Calibri" w:hAnsi="Times New Roman" w:cs="Times New Roman"/>
          <w:bCs/>
          <w:sz w:val="24"/>
          <w:szCs w:val="24"/>
        </w:rPr>
        <w:t xml:space="preserve">, а именно: когато е приложена декларация за </w:t>
      </w:r>
      <w:proofErr w:type="spellStart"/>
      <w:r w:rsidRPr="00FD4C39">
        <w:rPr>
          <w:rFonts w:ascii="Times New Roman" w:eastAsia="Calibri" w:hAnsi="Times New Roman" w:cs="Times New Roman"/>
          <w:bCs/>
          <w:sz w:val="24"/>
          <w:szCs w:val="24"/>
        </w:rPr>
        <w:t>конфиденц</w:t>
      </w:r>
      <w:r w:rsidR="00DF454C" w:rsidRPr="00FD4C39">
        <w:rPr>
          <w:rFonts w:ascii="Times New Roman" w:eastAsia="Calibri" w:hAnsi="Times New Roman" w:cs="Times New Roman"/>
          <w:bCs/>
          <w:sz w:val="24"/>
          <w:szCs w:val="24"/>
        </w:rPr>
        <w:t>и</w:t>
      </w:r>
      <w:r w:rsidRPr="00FD4C39">
        <w:rPr>
          <w:rFonts w:ascii="Times New Roman" w:eastAsia="Calibri" w:hAnsi="Times New Roman" w:cs="Times New Roman"/>
          <w:bCs/>
          <w:sz w:val="24"/>
          <w:szCs w:val="24"/>
        </w:rPr>
        <w:t>алност</w:t>
      </w:r>
      <w:proofErr w:type="spellEnd"/>
      <w:r w:rsidRPr="00FD4C39">
        <w:rPr>
          <w:rFonts w:ascii="Times New Roman" w:eastAsia="Calibri" w:hAnsi="Times New Roman" w:cs="Times New Roman"/>
          <w:bCs/>
          <w:sz w:val="24"/>
          <w:szCs w:val="24"/>
        </w:rPr>
        <w:t xml:space="preserve"> по</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33,</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 xml:space="preserve">4 от ЗОП, както и когато информацията е защитена със закон. </w:t>
      </w:r>
      <w:r w:rsidR="00955170" w:rsidRPr="00FD4C39">
        <w:rPr>
          <w:rFonts w:ascii="Times New Roman" w:eastAsia="Calibri" w:hAnsi="Times New Roman" w:cs="Times New Roman"/>
          <w:bCs/>
          <w:sz w:val="24"/>
          <w:szCs w:val="24"/>
        </w:rPr>
        <w:t>И</w:t>
      </w:r>
      <w:r w:rsidRPr="00FD4C39">
        <w:rPr>
          <w:rFonts w:ascii="Times New Roman" w:eastAsia="Calibri" w:hAnsi="Times New Roman" w:cs="Times New Roman"/>
          <w:bCs/>
          <w:sz w:val="24"/>
          <w:szCs w:val="24"/>
        </w:rPr>
        <w:t xml:space="preserve">нформацията, </w:t>
      </w:r>
      <w:proofErr w:type="spellStart"/>
      <w:r w:rsidRPr="00FD4C39">
        <w:rPr>
          <w:rFonts w:ascii="Times New Roman" w:eastAsia="Calibri" w:hAnsi="Times New Roman" w:cs="Times New Roman"/>
          <w:bCs/>
          <w:sz w:val="24"/>
          <w:szCs w:val="24"/>
        </w:rPr>
        <w:t>касаеща</w:t>
      </w:r>
      <w:proofErr w:type="spellEnd"/>
      <w:r w:rsidRPr="00FD4C39">
        <w:rPr>
          <w:rFonts w:ascii="Times New Roman" w:eastAsia="Calibri" w:hAnsi="Times New Roman" w:cs="Times New Roman"/>
          <w:bCs/>
          <w:sz w:val="24"/>
          <w:szCs w:val="24"/>
        </w:rPr>
        <w:t xml:space="preserve"> физическите лица, е информац</w:t>
      </w:r>
      <w:r w:rsidR="00955170" w:rsidRPr="00FD4C39">
        <w:rPr>
          <w:rFonts w:ascii="Times New Roman" w:eastAsia="Calibri" w:hAnsi="Times New Roman" w:cs="Times New Roman"/>
          <w:bCs/>
          <w:sz w:val="24"/>
          <w:szCs w:val="24"/>
        </w:rPr>
        <w:t>ия, ко</w:t>
      </w:r>
      <w:r w:rsidR="00963F89">
        <w:rPr>
          <w:rFonts w:ascii="Times New Roman" w:eastAsia="Calibri" w:hAnsi="Times New Roman" w:cs="Times New Roman"/>
          <w:bCs/>
          <w:sz w:val="24"/>
          <w:szCs w:val="24"/>
        </w:rPr>
        <w:t xml:space="preserve">ято е защитена със закон </w:t>
      </w:r>
      <w:r w:rsidR="00955170" w:rsidRPr="00FD4C39">
        <w:rPr>
          <w:rFonts w:ascii="Times New Roman" w:eastAsia="Calibri" w:hAnsi="Times New Roman" w:cs="Times New Roman"/>
          <w:bCs/>
          <w:sz w:val="24"/>
          <w:szCs w:val="24"/>
        </w:rPr>
        <w:sym w:font="Symbol" w:char="F02D"/>
      </w:r>
      <w:r w:rsidR="00955170" w:rsidRPr="00FD4C39">
        <w:rPr>
          <w:rFonts w:ascii="Times New Roman" w:eastAsia="Calibri" w:hAnsi="Times New Roman" w:cs="Times New Roman"/>
          <w:bCs/>
          <w:sz w:val="24"/>
          <w:szCs w:val="24"/>
        </w:rPr>
        <w:t xml:space="preserve"> </w:t>
      </w:r>
      <w:r w:rsidR="00786BAB" w:rsidRPr="00FD4C39">
        <w:rPr>
          <w:rFonts w:ascii="Times New Roman" w:eastAsia="Calibri" w:hAnsi="Times New Roman" w:cs="Times New Roman"/>
          <w:bCs/>
          <w:sz w:val="24"/>
          <w:szCs w:val="24"/>
        </w:rPr>
        <w:t>ЗЗЛД</w:t>
      </w:r>
      <w:r w:rsidRPr="00FD4C39">
        <w:rPr>
          <w:rFonts w:ascii="Times New Roman" w:eastAsia="Calibri" w:hAnsi="Times New Roman" w:cs="Times New Roman"/>
          <w:bCs/>
          <w:sz w:val="24"/>
          <w:szCs w:val="24"/>
        </w:rPr>
        <w:t xml:space="preserve">, защото е лична информация </w:t>
      </w:r>
      <w:r w:rsidR="00955170" w:rsidRPr="00FD4C39">
        <w:rPr>
          <w:rFonts w:ascii="Times New Roman" w:eastAsia="Calibri" w:hAnsi="Times New Roman" w:cs="Times New Roman"/>
          <w:bCs/>
          <w:sz w:val="24"/>
          <w:szCs w:val="24"/>
        </w:rPr>
        <w:t xml:space="preserve">за </w:t>
      </w:r>
      <w:r w:rsidRPr="00FD4C39">
        <w:rPr>
          <w:rFonts w:ascii="Times New Roman" w:eastAsia="Calibri" w:hAnsi="Times New Roman" w:cs="Times New Roman"/>
          <w:bCs/>
          <w:sz w:val="24"/>
          <w:szCs w:val="24"/>
        </w:rPr>
        <w:t>физическо</w:t>
      </w:r>
      <w:r w:rsidR="00955170" w:rsidRPr="00FD4C39">
        <w:rPr>
          <w:rFonts w:ascii="Times New Roman" w:eastAsia="Calibri" w:hAnsi="Times New Roman" w:cs="Times New Roman"/>
          <w:bCs/>
          <w:sz w:val="24"/>
          <w:szCs w:val="24"/>
        </w:rPr>
        <w:t>то</w:t>
      </w:r>
      <w:r w:rsidR="00963F89">
        <w:rPr>
          <w:rFonts w:ascii="Times New Roman" w:eastAsia="Calibri" w:hAnsi="Times New Roman" w:cs="Times New Roman"/>
          <w:bCs/>
          <w:sz w:val="24"/>
          <w:szCs w:val="24"/>
        </w:rPr>
        <w:t xml:space="preserve"> лице. Информация</w:t>
      </w:r>
      <w:r w:rsidRPr="00FD4C39">
        <w:rPr>
          <w:rFonts w:ascii="Times New Roman" w:eastAsia="Calibri" w:hAnsi="Times New Roman" w:cs="Times New Roman"/>
          <w:bCs/>
          <w:sz w:val="24"/>
          <w:szCs w:val="24"/>
        </w:rPr>
        <w:t xml:space="preserve"> като единен граждански номер, </w:t>
      </w:r>
      <w:proofErr w:type="spellStart"/>
      <w:r w:rsidRPr="00FD4C39">
        <w:rPr>
          <w:rFonts w:ascii="Times New Roman" w:eastAsia="Calibri" w:hAnsi="Times New Roman" w:cs="Times New Roman"/>
          <w:bCs/>
          <w:sz w:val="24"/>
          <w:szCs w:val="24"/>
        </w:rPr>
        <w:t>номер</w:t>
      </w:r>
      <w:proofErr w:type="spellEnd"/>
      <w:r w:rsidRPr="00FD4C39">
        <w:rPr>
          <w:rFonts w:ascii="Times New Roman" w:eastAsia="Calibri" w:hAnsi="Times New Roman" w:cs="Times New Roman"/>
          <w:bCs/>
          <w:sz w:val="24"/>
          <w:szCs w:val="24"/>
        </w:rPr>
        <w:t xml:space="preserve"> на документ за самоличност, постоянен или настоящ адрес, която индивидуализира </w:t>
      </w:r>
      <w:r w:rsidR="00955170" w:rsidRPr="00FD4C39">
        <w:rPr>
          <w:rFonts w:ascii="Times New Roman" w:eastAsia="Calibri" w:hAnsi="Times New Roman" w:cs="Times New Roman"/>
          <w:bCs/>
          <w:sz w:val="24"/>
          <w:szCs w:val="24"/>
        </w:rPr>
        <w:t>физическото</w:t>
      </w:r>
      <w:r w:rsidRPr="00FD4C39">
        <w:rPr>
          <w:rFonts w:ascii="Times New Roman" w:eastAsia="Calibri" w:hAnsi="Times New Roman" w:cs="Times New Roman"/>
          <w:bCs/>
          <w:sz w:val="24"/>
          <w:szCs w:val="24"/>
        </w:rPr>
        <w:t xml:space="preserve"> лице в документите по</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22б,</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2 от ЗОП, следва да се публикува след получаване на съгласие по смисъла на</w:t>
      </w:r>
      <w:r w:rsidR="00884B97">
        <w:rPr>
          <w:rFonts w:ascii="Times New Roman" w:eastAsia="Calibri" w:hAnsi="Times New Roman" w:cs="Times New Roman"/>
          <w:bCs/>
          <w:sz w:val="24"/>
          <w:szCs w:val="24"/>
        </w:rPr>
        <w:t xml:space="preserve"> т. </w:t>
      </w:r>
      <w:r w:rsidRPr="00FD4C39">
        <w:rPr>
          <w:rFonts w:ascii="Times New Roman" w:eastAsia="Calibri" w:hAnsi="Times New Roman" w:cs="Times New Roman"/>
          <w:bCs/>
          <w:sz w:val="24"/>
          <w:szCs w:val="24"/>
        </w:rPr>
        <w:t xml:space="preserve">13 от параграф 1 на </w:t>
      </w:r>
      <w:r w:rsidR="00955170" w:rsidRPr="00FD4C39">
        <w:rPr>
          <w:rFonts w:ascii="Times New Roman" w:eastAsia="Calibri" w:hAnsi="Times New Roman" w:cs="Times New Roman"/>
          <w:bCs/>
          <w:sz w:val="24"/>
          <w:szCs w:val="24"/>
        </w:rPr>
        <w:t>ДР</w:t>
      </w:r>
      <w:r w:rsidRPr="00FD4C39">
        <w:rPr>
          <w:rFonts w:ascii="Times New Roman" w:eastAsia="Calibri" w:hAnsi="Times New Roman" w:cs="Times New Roman"/>
          <w:bCs/>
          <w:sz w:val="24"/>
          <w:szCs w:val="24"/>
        </w:rPr>
        <w:t xml:space="preserve"> на ЗЗЛД. Това съгласие следва да е свободно изразено, конкретно и информирано, и с него физическото лице трябва недвусмислено да се съгласява те</w:t>
      </w:r>
      <w:r w:rsidR="001C10ED" w:rsidRPr="00FD4C39">
        <w:rPr>
          <w:rFonts w:ascii="Times New Roman" w:eastAsia="Calibri" w:hAnsi="Times New Roman" w:cs="Times New Roman"/>
          <w:bCs/>
          <w:sz w:val="24"/>
          <w:szCs w:val="24"/>
        </w:rPr>
        <w:t>зи данни</w:t>
      </w:r>
      <w:r w:rsidRPr="00FD4C39">
        <w:rPr>
          <w:rFonts w:ascii="Times New Roman" w:eastAsia="Calibri" w:hAnsi="Times New Roman" w:cs="Times New Roman"/>
          <w:bCs/>
          <w:sz w:val="24"/>
          <w:szCs w:val="24"/>
        </w:rPr>
        <w:t xml:space="preserve"> да бъдат обработвани. Във връзка с това е целесъобразно съгласието да бъде </w:t>
      </w:r>
      <w:proofErr w:type="spellStart"/>
      <w:r w:rsidRPr="00FD4C39">
        <w:rPr>
          <w:rFonts w:ascii="Times New Roman" w:eastAsia="Calibri" w:hAnsi="Times New Roman" w:cs="Times New Roman"/>
          <w:bCs/>
          <w:sz w:val="24"/>
          <w:szCs w:val="24"/>
        </w:rPr>
        <w:t>обективирано</w:t>
      </w:r>
      <w:proofErr w:type="spellEnd"/>
      <w:r w:rsidRPr="00FD4C39">
        <w:rPr>
          <w:rFonts w:ascii="Times New Roman" w:eastAsia="Calibri" w:hAnsi="Times New Roman" w:cs="Times New Roman"/>
          <w:bCs/>
          <w:sz w:val="24"/>
          <w:szCs w:val="24"/>
        </w:rPr>
        <w:t xml:space="preserve"> в писмена форма, </w:t>
      </w:r>
      <w:r w:rsidR="00963F89">
        <w:rPr>
          <w:rFonts w:ascii="Times New Roman" w:eastAsia="Calibri" w:hAnsi="Times New Roman" w:cs="Times New Roman"/>
          <w:bCs/>
          <w:sz w:val="24"/>
          <w:szCs w:val="24"/>
        </w:rPr>
        <w:t>въпреки</w:t>
      </w:r>
      <w:r w:rsidRPr="00FD4C39">
        <w:rPr>
          <w:rFonts w:ascii="Times New Roman" w:eastAsia="Calibri" w:hAnsi="Times New Roman" w:cs="Times New Roman"/>
          <w:bCs/>
          <w:sz w:val="24"/>
          <w:szCs w:val="24"/>
        </w:rPr>
        <w:t xml:space="preserve"> че такава не се изисква по ЗЗЛД, с цел доказване на неговото наличие. </w:t>
      </w:r>
    </w:p>
    <w:p w:rsidR="00D953C7" w:rsidRPr="00FD4C39" w:rsidRDefault="00EF364C"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lastRenderedPageBreak/>
        <w:t>С публикуване</w:t>
      </w:r>
      <w:r w:rsidR="006258A5" w:rsidRPr="00FD4C39">
        <w:rPr>
          <w:rFonts w:ascii="Times New Roman" w:eastAsia="Calibri" w:hAnsi="Times New Roman" w:cs="Times New Roman"/>
          <w:bCs/>
          <w:sz w:val="24"/>
          <w:szCs w:val="24"/>
        </w:rPr>
        <w:t>то на изрично посочени в</w:t>
      </w:r>
      <w:r w:rsidR="00884B97">
        <w:rPr>
          <w:rFonts w:ascii="Times New Roman" w:eastAsia="Calibri" w:hAnsi="Times New Roman" w:cs="Times New Roman"/>
          <w:bCs/>
          <w:sz w:val="24"/>
          <w:szCs w:val="24"/>
        </w:rPr>
        <w:t xml:space="preserve"> чл. </w:t>
      </w:r>
      <w:r w:rsidR="006258A5" w:rsidRPr="00FD4C39">
        <w:rPr>
          <w:rFonts w:ascii="Times New Roman" w:eastAsia="Calibri" w:hAnsi="Times New Roman" w:cs="Times New Roman"/>
          <w:bCs/>
          <w:sz w:val="24"/>
          <w:szCs w:val="24"/>
        </w:rPr>
        <w:t>22</w:t>
      </w:r>
      <w:r w:rsidRPr="00FD4C39">
        <w:rPr>
          <w:rFonts w:ascii="Times New Roman" w:eastAsia="Calibri" w:hAnsi="Times New Roman" w:cs="Times New Roman"/>
          <w:bCs/>
          <w:sz w:val="24"/>
          <w:szCs w:val="24"/>
        </w:rPr>
        <w:t>б,</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 xml:space="preserve">1 </w:t>
      </w:r>
      <w:r w:rsidR="004D3377" w:rsidRPr="00FD4C39">
        <w:rPr>
          <w:rFonts w:ascii="Times New Roman" w:eastAsia="Calibri" w:hAnsi="Times New Roman" w:cs="Times New Roman"/>
          <w:bCs/>
          <w:sz w:val="24"/>
          <w:szCs w:val="24"/>
        </w:rPr>
        <w:t xml:space="preserve">от ЗОП </w:t>
      </w:r>
      <w:r w:rsidRPr="00FD4C39">
        <w:rPr>
          <w:rFonts w:ascii="Times New Roman" w:eastAsia="Calibri" w:hAnsi="Times New Roman" w:cs="Times New Roman"/>
          <w:bCs/>
          <w:sz w:val="24"/>
          <w:szCs w:val="24"/>
        </w:rPr>
        <w:t xml:space="preserve">документи, един от които е протоколът от работата на </w:t>
      </w:r>
      <w:r w:rsidR="00FE7018" w:rsidRPr="00FD4C39">
        <w:rPr>
          <w:rFonts w:ascii="Times New Roman" w:eastAsia="Calibri" w:hAnsi="Times New Roman" w:cs="Times New Roman"/>
          <w:bCs/>
          <w:sz w:val="24"/>
          <w:szCs w:val="24"/>
        </w:rPr>
        <w:t>КЗЛД</w:t>
      </w:r>
      <w:r w:rsidRPr="00FD4C39">
        <w:rPr>
          <w:rFonts w:ascii="Times New Roman" w:eastAsia="Calibri" w:hAnsi="Times New Roman" w:cs="Times New Roman"/>
          <w:bCs/>
          <w:sz w:val="24"/>
          <w:szCs w:val="24"/>
        </w:rPr>
        <w:t xml:space="preserve"> за провеждане на процедура за обществена поръчка, се цели публичност и прозрачност. Предвид това, че в протоколите по</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22б,</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1,</w:t>
      </w:r>
      <w:r w:rsidR="00884B97">
        <w:rPr>
          <w:rFonts w:ascii="Times New Roman" w:eastAsia="Calibri" w:hAnsi="Times New Roman" w:cs="Times New Roman"/>
          <w:bCs/>
          <w:sz w:val="24"/>
          <w:szCs w:val="24"/>
        </w:rPr>
        <w:t xml:space="preserve"> т. </w:t>
      </w:r>
      <w:r w:rsidRPr="00FD4C39">
        <w:rPr>
          <w:rFonts w:ascii="Times New Roman" w:eastAsia="Calibri" w:hAnsi="Times New Roman" w:cs="Times New Roman"/>
          <w:bCs/>
          <w:sz w:val="24"/>
          <w:szCs w:val="24"/>
        </w:rPr>
        <w:t>7 личните данни на определена категория лица фигурират, защото те са служители или консултанти по дадена обществена поръчка, то техните имена следва да се публикуват с оглед осъществяването на целта на регистъра на обществените поръчки, а именно: осигуряване на публичност и прозрачност относно процеса на възлагане и изпълнение на обществените поръчки. Тези данни са и задължителни реквизити по смисъла на</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 xml:space="preserve">72 от ЗОП, от съдържанието на протоколите за разглеждането, оценяването и класирането на офертите. По отношение на подписа </w:t>
      </w:r>
      <w:r w:rsidR="00D953C7" w:rsidRPr="00FD4C39">
        <w:rPr>
          <w:rFonts w:ascii="Times New Roman" w:eastAsia="Calibri" w:hAnsi="Times New Roman" w:cs="Times New Roman"/>
          <w:bCs/>
          <w:sz w:val="24"/>
          <w:szCs w:val="24"/>
        </w:rPr>
        <w:t>КЗЛД потвърждава разбирането си</w:t>
      </w:r>
      <w:r w:rsidR="00C21C9D" w:rsidRPr="00FD4C39">
        <w:rPr>
          <w:rFonts w:ascii="Times New Roman" w:eastAsia="Calibri" w:hAnsi="Times New Roman" w:cs="Times New Roman"/>
          <w:bCs/>
          <w:sz w:val="24"/>
          <w:szCs w:val="24"/>
        </w:rPr>
        <w:t xml:space="preserve">, че </w:t>
      </w:r>
      <w:r w:rsidRPr="00FD4C39">
        <w:rPr>
          <w:rFonts w:ascii="Times New Roman" w:eastAsia="Calibri" w:hAnsi="Times New Roman" w:cs="Times New Roman"/>
          <w:bCs/>
          <w:sz w:val="24"/>
          <w:szCs w:val="24"/>
        </w:rPr>
        <w:t xml:space="preserve">публикуването му се явява непропорционално на целта на </w:t>
      </w:r>
      <w:r w:rsidR="00D953C7" w:rsidRPr="00FD4C39">
        <w:rPr>
          <w:rFonts w:ascii="Times New Roman" w:eastAsia="Calibri" w:hAnsi="Times New Roman" w:cs="Times New Roman"/>
          <w:bCs/>
          <w:sz w:val="24"/>
          <w:szCs w:val="24"/>
        </w:rPr>
        <w:t>закона</w:t>
      </w:r>
      <w:r w:rsidRPr="00FD4C39">
        <w:rPr>
          <w:rFonts w:ascii="Times New Roman" w:eastAsia="Calibri" w:hAnsi="Times New Roman" w:cs="Times New Roman"/>
          <w:bCs/>
          <w:sz w:val="24"/>
          <w:szCs w:val="24"/>
        </w:rPr>
        <w:t xml:space="preserve">, тъй като с публикуването на съдържанието на протокола и имената на визираните по-горе лица е осъществена целената публичност и прозрачност. </w:t>
      </w:r>
    </w:p>
    <w:p w:rsidR="00F82710" w:rsidRPr="00FD4C39" w:rsidRDefault="00F82710"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
          <w:bCs/>
          <w:sz w:val="24"/>
          <w:szCs w:val="24"/>
        </w:rPr>
        <w:t xml:space="preserve">По предложение на Цветелин </w:t>
      </w:r>
      <w:proofErr w:type="spellStart"/>
      <w:r w:rsidRPr="00FD4C39">
        <w:rPr>
          <w:rFonts w:ascii="Times New Roman" w:eastAsia="Calibri" w:hAnsi="Times New Roman" w:cs="Times New Roman"/>
          <w:b/>
          <w:bCs/>
          <w:sz w:val="24"/>
          <w:szCs w:val="24"/>
        </w:rPr>
        <w:t>Софрониев</w:t>
      </w:r>
      <w:proofErr w:type="spellEnd"/>
      <w:r w:rsidR="004D42A2">
        <w:rPr>
          <w:rFonts w:ascii="Times New Roman" w:eastAsia="Calibri" w:hAnsi="Times New Roman" w:cs="Times New Roman"/>
          <w:b/>
          <w:bCs/>
          <w:sz w:val="24"/>
          <w:szCs w:val="24"/>
        </w:rPr>
        <w:t xml:space="preserve"> – </w:t>
      </w:r>
      <w:r w:rsidRPr="00FD4C39">
        <w:rPr>
          <w:rFonts w:ascii="Times New Roman" w:eastAsia="Calibri" w:hAnsi="Times New Roman" w:cs="Times New Roman"/>
          <w:b/>
          <w:bCs/>
          <w:sz w:val="24"/>
          <w:szCs w:val="24"/>
        </w:rPr>
        <w:t xml:space="preserve">член на </w:t>
      </w:r>
      <w:r w:rsidR="00FE7018" w:rsidRPr="00FD4C39">
        <w:rPr>
          <w:rFonts w:ascii="Times New Roman" w:eastAsia="Calibri" w:hAnsi="Times New Roman" w:cs="Times New Roman"/>
          <w:b/>
          <w:bCs/>
          <w:sz w:val="24"/>
          <w:szCs w:val="24"/>
        </w:rPr>
        <w:t>КЗЛД</w:t>
      </w:r>
      <w:r w:rsidR="00963F89">
        <w:rPr>
          <w:rFonts w:ascii="Times New Roman" w:eastAsia="Calibri" w:hAnsi="Times New Roman" w:cs="Times New Roman"/>
          <w:b/>
          <w:bCs/>
          <w:sz w:val="24"/>
          <w:szCs w:val="24"/>
        </w:rPr>
        <w:t>, през 2014 година се</w:t>
      </w:r>
      <w:r w:rsidRPr="00FD4C39">
        <w:rPr>
          <w:rFonts w:ascii="Times New Roman" w:eastAsia="Calibri" w:hAnsi="Times New Roman" w:cs="Times New Roman"/>
          <w:b/>
          <w:bCs/>
          <w:sz w:val="24"/>
          <w:szCs w:val="24"/>
        </w:rPr>
        <w:t xml:space="preserve"> разгле</w:t>
      </w:r>
      <w:r w:rsidR="00963F89">
        <w:rPr>
          <w:rFonts w:ascii="Times New Roman" w:eastAsia="Calibri" w:hAnsi="Times New Roman" w:cs="Times New Roman"/>
          <w:b/>
          <w:bCs/>
          <w:sz w:val="24"/>
          <w:szCs w:val="24"/>
        </w:rPr>
        <w:t>жда</w:t>
      </w:r>
      <w:r w:rsidRPr="00FD4C39">
        <w:rPr>
          <w:rFonts w:ascii="Times New Roman" w:eastAsia="Calibri" w:hAnsi="Times New Roman" w:cs="Times New Roman"/>
          <w:b/>
          <w:bCs/>
          <w:sz w:val="24"/>
          <w:szCs w:val="24"/>
        </w:rPr>
        <w:t xml:space="preserve"> казус във връзка с употребата на ЕГН в най-често използваните документи в системата на народната просвета, а именно</w:t>
      </w:r>
      <w:r w:rsidR="004D42A2">
        <w:rPr>
          <w:rFonts w:ascii="Times New Roman" w:eastAsia="Calibri" w:hAnsi="Times New Roman" w:cs="Times New Roman"/>
          <w:b/>
          <w:bCs/>
          <w:sz w:val="24"/>
          <w:szCs w:val="24"/>
        </w:rPr>
        <w:t xml:space="preserve"> – </w:t>
      </w:r>
      <w:r w:rsidRPr="00FD4C39">
        <w:rPr>
          <w:rFonts w:ascii="Times New Roman" w:eastAsia="Calibri" w:hAnsi="Times New Roman" w:cs="Times New Roman"/>
          <w:b/>
          <w:bCs/>
          <w:sz w:val="24"/>
          <w:szCs w:val="24"/>
        </w:rPr>
        <w:t>ученическа лична карта, ученическа книжка и ученическа книжка за задочно обучение.</w:t>
      </w:r>
      <w:r w:rsidRPr="00FD4C39">
        <w:rPr>
          <w:rFonts w:ascii="Times New Roman" w:eastAsia="Calibri" w:hAnsi="Times New Roman" w:cs="Times New Roman"/>
          <w:bCs/>
          <w:sz w:val="24"/>
          <w:szCs w:val="24"/>
        </w:rPr>
        <w:t xml:space="preserve"> Въпросните документи, като част от задължителните изисквания на </w:t>
      </w:r>
      <w:r w:rsidR="00FE7018" w:rsidRPr="00FD4C39">
        <w:rPr>
          <w:rFonts w:ascii="Times New Roman" w:eastAsia="Calibri" w:hAnsi="Times New Roman" w:cs="Times New Roman"/>
          <w:bCs/>
          <w:sz w:val="24"/>
          <w:szCs w:val="24"/>
        </w:rPr>
        <w:t>З</w:t>
      </w:r>
      <w:r w:rsidR="00D953C7" w:rsidRPr="00FD4C39">
        <w:rPr>
          <w:rFonts w:ascii="Times New Roman" w:eastAsia="Calibri" w:hAnsi="Times New Roman" w:cs="Times New Roman"/>
          <w:bCs/>
          <w:sz w:val="24"/>
          <w:szCs w:val="24"/>
        </w:rPr>
        <w:t>акона</w:t>
      </w:r>
      <w:r w:rsidRPr="00FD4C39">
        <w:rPr>
          <w:rFonts w:ascii="Times New Roman" w:eastAsia="Calibri" w:hAnsi="Times New Roman" w:cs="Times New Roman"/>
          <w:bCs/>
          <w:sz w:val="24"/>
          <w:szCs w:val="24"/>
        </w:rPr>
        <w:t xml:space="preserve"> за народната просвета, се съхраняват от всеки ученик в системата на образованието,</w:t>
      </w:r>
      <w:r w:rsidR="00DD5719">
        <w:rPr>
          <w:rFonts w:ascii="Times New Roman" w:eastAsia="Calibri" w:hAnsi="Times New Roman" w:cs="Times New Roman"/>
          <w:bCs/>
          <w:sz w:val="24"/>
          <w:szCs w:val="24"/>
        </w:rPr>
        <w:t xml:space="preserve"> т.</w:t>
      </w:r>
      <w:r w:rsidRPr="00FD4C39">
        <w:rPr>
          <w:rFonts w:ascii="Times New Roman" w:eastAsia="Calibri" w:hAnsi="Times New Roman" w:cs="Times New Roman"/>
          <w:bCs/>
          <w:sz w:val="24"/>
          <w:szCs w:val="24"/>
        </w:rPr>
        <w:t xml:space="preserve">е. кръгът от засегнатите лица е много голям. </w:t>
      </w:r>
    </w:p>
    <w:p w:rsidR="00F82710" w:rsidRPr="00FD4C39" w:rsidRDefault="00DD5719" w:rsidP="007B189E">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Разглежда се</w:t>
      </w:r>
      <w:r w:rsidR="00F82710" w:rsidRPr="00FD4C39">
        <w:rPr>
          <w:rFonts w:ascii="Times New Roman" w:eastAsia="Calibri" w:hAnsi="Times New Roman" w:cs="Times New Roman"/>
          <w:bCs/>
          <w:sz w:val="24"/>
          <w:szCs w:val="24"/>
        </w:rPr>
        <w:t xml:space="preserve"> обстойно действащата нормативна уредба. Доколкото разглежданите документи се използват и съхраняват от деца, </w:t>
      </w:r>
      <w:r w:rsidR="007C397E">
        <w:rPr>
          <w:rFonts w:ascii="Times New Roman" w:eastAsia="Calibri" w:hAnsi="Times New Roman" w:cs="Times New Roman"/>
          <w:bCs/>
          <w:sz w:val="24"/>
          <w:szCs w:val="24"/>
        </w:rPr>
        <w:t xml:space="preserve">се </w:t>
      </w:r>
      <w:r w:rsidR="00F82710" w:rsidRPr="00FD4C39">
        <w:rPr>
          <w:rFonts w:ascii="Times New Roman" w:eastAsia="Calibri" w:hAnsi="Times New Roman" w:cs="Times New Roman"/>
          <w:bCs/>
          <w:sz w:val="24"/>
          <w:szCs w:val="24"/>
        </w:rPr>
        <w:t>анализира</w:t>
      </w:r>
      <w:r w:rsidR="007C397E">
        <w:rPr>
          <w:rFonts w:ascii="Times New Roman" w:eastAsia="Calibri" w:hAnsi="Times New Roman" w:cs="Times New Roman"/>
          <w:bCs/>
          <w:sz w:val="24"/>
          <w:szCs w:val="24"/>
        </w:rPr>
        <w:t>т</w:t>
      </w:r>
      <w:r w:rsidR="00F82710" w:rsidRPr="00FD4C39">
        <w:rPr>
          <w:rFonts w:ascii="Times New Roman" w:eastAsia="Calibri" w:hAnsi="Times New Roman" w:cs="Times New Roman"/>
          <w:bCs/>
          <w:sz w:val="24"/>
          <w:szCs w:val="24"/>
        </w:rPr>
        <w:t xml:space="preserve"> и някои специални разпоредби, свързани със статута на децата и тяхната закрила, както и международните стандарти, касаещи тази особена категория субекти на лични данни.</w:t>
      </w:r>
    </w:p>
    <w:p w:rsidR="00F82710" w:rsidRPr="00FD4C39" w:rsidRDefault="007C397E" w:rsidP="007B189E">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Установява се</w:t>
      </w:r>
      <w:r w:rsidR="00F82710" w:rsidRPr="00FD4C39">
        <w:rPr>
          <w:rFonts w:ascii="Times New Roman" w:eastAsia="Calibri" w:hAnsi="Times New Roman" w:cs="Times New Roman"/>
          <w:bCs/>
          <w:sz w:val="24"/>
          <w:szCs w:val="24"/>
        </w:rPr>
        <w:t>, че при използването на ЕГН във формулярите на лична ученическа карта, ученическа книжка и ученич</w:t>
      </w:r>
      <w:r>
        <w:rPr>
          <w:rFonts w:ascii="Times New Roman" w:eastAsia="Calibri" w:hAnsi="Times New Roman" w:cs="Times New Roman"/>
          <w:bCs/>
          <w:sz w:val="24"/>
          <w:szCs w:val="24"/>
        </w:rPr>
        <w:t>еска книжка за задочно обучение</w:t>
      </w:r>
      <w:r w:rsidR="00F82710" w:rsidRPr="00FD4C39">
        <w:rPr>
          <w:rFonts w:ascii="Times New Roman" w:eastAsia="Calibri" w:hAnsi="Times New Roman" w:cs="Times New Roman"/>
          <w:bCs/>
          <w:sz w:val="24"/>
          <w:szCs w:val="24"/>
        </w:rPr>
        <w:t xml:space="preserve"> се нарушават някои от основните принципи при обработването на лични данни:</w:t>
      </w:r>
    </w:p>
    <w:p w:rsidR="00F82710" w:rsidRPr="00FD4C39" w:rsidRDefault="00F82710" w:rsidP="0069463D">
      <w:pPr>
        <w:numPr>
          <w:ilvl w:val="0"/>
          <w:numId w:val="25"/>
        </w:numPr>
        <w:tabs>
          <w:tab w:val="left" w:pos="993"/>
        </w:tabs>
        <w:spacing w:after="0" w:line="360" w:lineRule="auto"/>
        <w:ind w:left="0"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t xml:space="preserve">използването на ЕГН е </w:t>
      </w:r>
      <w:proofErr w:type="spellStart"/>
      <w:r w:rsidRPr="00FD4C39">
        <w:rPr>
          <w:rFonts w:ascii="Times New Roman" w:eastAsia="Calibri" w:hAnsi="Times New Roman" w:cs="Times New Roman"/>
          <w:bCs/>
          <w:sz w:val="24"/>
          <w:szCs w:val="24"/>
        </w:rPr>
        <w:t>несъотносимо</w:t>
      </w:r>
      <w:proofErr w:type="spellEnd"/>
      <w:r w:rsidRPr="00FD4C39">
        <w:rPr>
          <w:rFonts w:ascii="Times New Roman" w:eastAsia="Calibri" w:hAnsi="Times New Roman" w:cs="Times New Roman"/>
          <w:bCs/>
          <w:sz w:val="24"/>
          <w:szCs w:val="24"/>
        </w:rPr>
        <w:t xml:space="preserve"> с целите, за които са създадени въпросните докум</w:t>
      </w:r>
      <w:r w:rsidR="005949C9" w:rsidRPr="00FD4C39">
        <w:rPr>
          <w:rFonts w:ascii="Times New Roman" w:eastAsia="Calibri" w:hAnsi="Times New Roman" w:cs="Times New Roman"/>
          <w:bCs/>
          <w:sz w:val="24"/>
          <w:szCs w:val="24"/>
        </w:rPr>
        <w:t>енти;</w:t>
      </w:r>
    </w:p>
    <w:p w:rsidR="00F82710" w:rsidRPr="00FD4C39" w:rsidRDefault="007C397E" w:rsidP="0069463D">
      <w:pPr>
        <w:numPr>
          <w:ilvl w:val="0"/>
          <w:numId w:val="25"/>
        </w:numPr>
        <w:tabs>
          <w:tab w:val="left" w:pos="993"/>
        </w:tabs>
        <w:spacing w:after="0" w:line="36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нарушава се принципът</w:t>
      </w:r>
      <w:r w:rsidR="00F82710" w:rsidRPr="00FD4C39">
        <w:rPr>
          <w:rFonts w:ascii="Times New Roman" w:eastAsia="Calibri" w:hAnsi="Times New Roman" w:cs="Times New Roman"/>
          <w:bCs/>
          <w:sz w:val="24"/>
          <w:szCs w:val="24"/>
        </w:rPr>
        <w:t xml:space="preserve"> за обработването на минимален обем от данни, които са достатъчни за</w:t>
      </w:r>
      <w:r w:rsidR="005949C9" w:rsidRPr="00FD4C39">
        <w:rPr>
          <w:rFonts w:ascii="Times New Roman" w:eastAsia="Calibri" w:hAnsi="Times New Roman" w:cs="Times New Roman"/>
          <w:bCs/>
          <w:sz w:val="24"/>
          <w:szCs w:val="24"/>
        </w:rPr>
        <w:t xml:space="preserve"> постигане на определените цели;</w:t>
      </w:r>
    </w:p>
    <w:p w:rsidR="00F82710" w:rsidRPr="00FD4C39" w:rsidRDefault="00F82710" w:rsidP="0069463D">
      <w:pPr>
        <w:numPr>
          <w:ilvl w:val="0"/>
          <w:numId w:val="25"/>
        </w:numPr>
        <w:tabs>
          <w:tab w:val="left" w:pos="993"/>
        </w:tabs>
        <w:spacing w:after="0" w:line="360" w:lineRule="auto"/>
        <w:ind w:left="0"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t>нарушава се принцип</w:t>
      </w:r>
      <w:r w:rsidR="007C397E">
        <w:rPr>
          <w:rFonts w:ascii="Times New Roman" w:eastAsia="Calibri" w:hAnsi="Times New Roman" w:cs="Times New Roman"/>
          <w:bCs/>
          <w:sz w:val="24"/>
          <w:szCs w:val="24"/>
        </w:rPr>
        <w:t>ът</w:t>
      </w:r>
      <w:r w:rsidRPr="00FD4C39">
        <w:rPr>
          <w:rFonts w:ascii="Times New Roman" w:eastAsia="Calibri" w:hAnsi="Times New Roman" w:cs="Times New Roman"/>
          <w:bCs/>
          <w:sz w:val="24"/>
          <w:szCs w:val="24"/>
        </w:rPr>
        <w:t xml:space="preserve"> за пропорционалност, като не се гарантира в достатъчна степен безопасността на децата по отношение на техните лични данни.</w:t>
      </w:r>
    </w:p>
    <w:p w:rsidR="00F82710" w:rsidRPr="00FD4C39" w:rsidRDefault="00F82710"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lastRenderedPageBreak/>
        <w:t xml:space="preserve">Правният анализ показва, че е налице несъответствие на Наредба </w:t>
      </w:r>
      <w:r w:rsidR="009A2D9F" w:rsidRPr="00FD4C39">
        <w:rPr>
          <w:rFonts w:ascii="Times New Roman" w:eastAsia="Calibri" w:hAnsi="Times New Roman" w:cs="Times New Roman"/>
          <w:bCs/>
          <w:sz w:val="24"/>
          <w:szCs w:val="24"/>
        </w:rPr>
        <w:t>№ </w:t>
      </w:r>
      <w:r w:rsidRPr="00FD4C39">
        <w:rPr>
          <w:rFonts w:ascii="Times New Roman" w:eastAsia="Calibri" w:hAnsi="Times New Roman" w:cs="Times New Roman"/>
          <w:bCs/>
          <w:sz w:val="24"/>
          <w:szCs w:val="24"/>
        </w:rPr>
        <w:t>4 от 16.04.2003</w:t>
      </w:r>
      <w:r w:rsidR="004D42A2">
        <w:rPr>
          <w:rFonts w:ascii="Times New Roman" w:eastAsia="Calibri" w:hAnsi="Times New Roman" w:cs="Times New Roman"/>
          <w:bCs/>
          <w:sz w:val="24"/>
          <w:szCs w:val="24"/>
        </w:rPr>
        <w:t> г.</w:t>
      </w:r>
      <w:r w:rsidRPr="00FD4C39">
        <w:rPr>
          <w:rFonts w:ascii="Times New Roman" w:eastAsia="Calibri" w:hAnsi="Times New Roman" w:cs="Times New Roman"/>
          <w:bCs/>
          <w:sz w:val="24"/>
          <w:szCs w:val="24"/>
        </w:rPr>
        <w:t xml:space="preserve"> за документите за системата на народната просвета, регламентираща съдържанието на въпросните документи, и </w:t>
      </w:r>
      <w:r w:rsidR="00FE7018" w:rsidRPr="00FD4C39">
        <w:rPr>
          <w:rFonts w:ascii="Times New Roman" w:eastAsia="Calibri" w:hAnsi="Times New Roman" w:cs="Times New Roman"/>
          <w:bCs/>
          <w:sz w:val="24"/>
          <w:szCs w:val="24"/>
        </w:rPr>
        <w:t>ЗЗЛД</w:t>
      </w:r>
      <w:r w:rsidRPr="00FD4C39">
        <w:rPr>
          <w:rFonts w:ascii="Times New Roman" w:eastAsia="Calibri" w:hAnsi="Times New Roman" w:cs="Times New Roman"/>
          <w:bCs/>
          <w:sz w:val="24"/>
          <w:szCs w:val="24"/>
        </w:rPr>
        <w:t xml:space="preserve"> като акт от по-висока степен, съгласно</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 xml:space="preserve">15 от </w:t>
      </w:r>
      <w:r w:rsidR="00FE7018" w:rsidRPr="00FD4C39">
        <w:rPr>
          <w:rFonts w:ascii="Times New Roman" w:eastAsia="Calibri" w:hAnsi="Times New Roman" w:cs="Times New Roman"/>
          <w:bCs/>
          <w:sz w:val="24"/>
          <w:szCs w:val="24"/>
        </w:rPr>
        <w:t>З</w:t>
      </w:r>
      <w:r w:rsidR="00BC068B" w:rsidRPr="00FD4C39">
        <w:rPr>
          <w:rFonts w:ascii="Times New Roman" w:eastAsia="Calibri" w:hAnsi="Times New Roman" w:cs="Times New Roman"/>
          <w:bCs/>
          <w:sz w:val="24"/>
          <w:szCs w:val="24"/>
        </w:rPr>
        <w:t>акона</w:t>
      </w:r>
      <w:r w:rsidRPr="00FD4C39">
        <w:rPr>
          <w:rFonts w:ascii="Times New Roman" w:eastAsia="Calibri" w:hAnsi="Times New Roman" w:cs="Times New Roman"/>
          <w:bCs/>
          <w:sz w:val="24"/>
          <w:szCs w:val="24"/>
        </w:rPr>
        <w:t xml:space="preserve"> за нормативните актове.</w:t>
      </w:r>
    </w:p>
    <w:p w:rsidR="00F82710" w:rsidRPr="00FD4C39" w:rsidRDefault="007C397E" w:rsidP="007B189E">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 отчитане на горното</w:t>
      </w:r>
      <w:r w:rsidR="00F82710" w:rsidRPr="00FD4C39">
        <w:rPr>
          <w:rFonts w:ascii="Times New Roman" w:eastAsia="Calibri" w:hAnsi="Times New Roman" w:cs="Times New Roman"/>
          <w:bCs/>
          <w:sz w:val="24"/>
          <w:szCs w:val="24"/>
        </w:rPr>
        <w:t xml:space="preserve"> </w:t>
      </w:r>
      <w:r w:rsidR="00FE7018" w:rsidRPr="00FD4C39">
        <w:rPr>
          <w:rFonts w:ascii="Times New Roman" w:eastAsia="Calibri" w:hAnsi="Times New Roman" w:cs="Times New Roman"/>
          <w:bCs/>
          <w:sz w:val="24"/>
          <w:szCs w:val="24"/>
        </w:rPr>
        <w:t>КЗЛД</w:t>
      </w:r>
      <w:r>
        <w:rPr>
          <w:rFonts w:ascii="Times New Roman" w:eastAsia="Calibri" w:hAnsi="Times New Roman" w:cs="Times New Roman"/>
          <w:bCs/>
          <w:sz w:val="24"/>
          <w:szCs w:val="24"/>
        </w:rPr>
        <w:t xml:space="preserve"> </w:t>
      </w:r>
      <w:r w:rsidR="00F82710" w:rsidRPr="00FD4C39">
        <w:rPr>
          <w:rFonts w:ascii="Times New Roman" w:eastAsia="Calibri" w:hAnsi="Times New Roman" w:cs="Times New Roman"/>
          <w:bCs/>
          <w:sz w:val="24"/>
          <w:szCs w:val="24"/>
        </w:rPr>
        <w:t>израз</w:t>
      </w:r>
      <w:r>
        <w:rPr>
          <w:rFonts w:ascii="Times New Roman" w:eastAsia="Calibri" w:hAnsi="Times New Roman" w:cs="Times New Roman"/>
          <w:bCs/>
          <w:sz w:val="24"/>
          <w:szCs w:val="24"/>
        </w:rPr>
        <w:t>ява</w:t>
      </w:r>
      <w:r w:rsidR="00F82710" w:rsidRPr="00FD4C39">
        <w:rPr>
          <w:rFonts w:ascii="Times New Roman" w:eastAsia="Calibri" w:hAnsi="Times New Roman" w:cs="Times New Roman"/>
          <w:bCs/>
          <w:sz w:val="24"/>
          <w:szCs w:val="24"/>
        </w:rPr>
        <w:t xml:space="preserve"> становище, че използването на ЕГН като част от задължителното съдържание на личната ученическа карта, ученическата книжка и ученическата книжка за задочно обучение по смисъла на</w:t>
      </w:r>
      <w:r w:rsidR="00884B97">
        <w:rPr>
          <w:rFonts w:ascii="Times New Roman" w:eastAsia="Calibri" w:hAnsi="Times New Roman" w:cs="Times New Roman"/>
          <w:bCs/>
          <w:sz w:val="24"/>
          <w:szCs w:val="24"/>
        </w:rPr>
        <w:t xml:space="preserve"> чл. </w:t>
      </w:r>
      <w:r w:rsidR="00F82710" w:rsidRPr="00FD4C39">
        <w:rPr>
          <w:rFonts w:ascii="Times New Roman" w:eastAsia="Calibri" w:hAnsi="Times New Roman" w:cs="Times New Roman"/>
          <w:bCs/>
          <w:sz w:val="24"/>
          <w:szCs w:val="24"/>
        </w:rPr>
        <w:t xml:space="preserve">65-67 от Наредба </w:t>
      </w:r>
      <w:r w:rsidR="009A2D9F" w:rsidRPr="00FD4C39">
        <w:rPr>
          <w:rFonts w:ascii="Times New Roman" w:eastAsia="Calibri" w:hAnsi="Times New Roman" w:cs="Times New Roman"/>
          <w:bCs/>
          <w:sz w:val="24"/>
          <w:szCs w:val="24"/>
        </w:rPr>
        <w:t>№ </w:t>
      </w:r>
      <w:r w:rsidR="00F82710" w:rsidRPr="00FD4C39">
        <w:rPr>
          <w:rFonts w:ascii="Times New Roman" w:eastAsia="Calibri" w:hAnsi="Times New Roman" w:cs="Times New Roman"/>
          <w:bCs/>
          <w:sz w:val="24"/>
          <w:szCs w:val="24"/>
        </w:rPr>
        <w:t>4 от 16.04.2003</w:t>
      </w:r>
      <w:r w:rsidR="004D42A2">
        <w:rPr>
          <w:rFonts w:ascii="Times New Roman" w:eastAsia="Calibri" w:hAnsi="Times New Roman" w:cs="Times New Roman"/>
          <w:bCs/>
          <w:sz w:val="24"/>
          <w:szCs w:val="24"/>
        </w:rPr>
        <w:t> г.</w:t>
      </w:r>
      <w:r w:rsidR="00F82710" w:rsidRPr="00FD4C39">
        <w:rPr>
          <w:rFonts w:ascii="Times New Roman" w:eastAsia="Calibri" w:hAnsi="Times New Roman" w:cs="Times New Roman"/>
          <w:bCs/>
          <w:sz w:val="24"/>
          <w:szCs w:val="24"/>
        </w:rPr>
        <w:t xml:space="preserve"> за документите за системата на народната просвета, издадена от Министъра на образованието и науката, е незаконосъобразно и следв</w:t>
      </w:r>
      <w:r>
        <w:rPr>
          <w:rFonts w:ascii="Times New Roman" w:eastAsia="Calibri" w:hAnsi="Times New Roman" w:cs="Times New Roman"/>
          <w:bCs/>
          <w:sz w:val="24"/>
          <w:szCs w:val="24"/>
        </w:rPr>
        <w:t xml:space="preserve">а да бъде преустановено. КЗЛД </w:t>
      </w:r>
      <w:r w:rsidR="00F82710" w:rsidRPr="00FD4C39">
        <w:rPr>
          <w:rFonts w:ascii="Times New Roman" w:eastAsia="Calibri" w:hAnsi="Times New Roman" w:cs="Times New Roman"/>
          <w:bCs/>
          <w:sz w:val="24"/>
          <w:szCs w:val="24"/>
        </w:rPr>
        <w:t>изда</w:t>
      </w:r>
      <w:r>
        <w:rPr>
          <w:rFonts w:ascii="Times New Roman" w:eastAsia="Calibri" w:hAnsi="Times New Roman" w:cs="Times New Roman"/>
          <w:bCs/>
          <w:sz w:val="24"/>
          <w:szCs w:val="24"/>
        </w:rPr>
        <w:t>в</w:t>
      </w:r>
      <w:r w:rsidR="00F82710" w:rsidRPr="00FD4C39">
        <w:rPr>
          <w:rFonts w:ascii="Times New Roman" w:eastAsia="Calibri" w:hAnsi="Times New Roman" w:cs="Times New Roman"/>
          <w:bCs/>
          <w:sz w:val="24"/>
          <w:szCs w:val="24"/>
        </w:rPr>
        <w:t>а задължително предписание по смисъла на</w:t>
      </w:r>
      <w:r w:rsidR="00884B97">
        <w:rPr>
          <w:rFonts w:ascii="Times New Roman" w:eastAsia="Calibri" w:hAnsi="Times New Roman" w:cs="Times New Roman"/>
          <w:bCs/>
          <w:sz w:val="24"/>
          <w:szCs w:val="24"/>
        </w:rPr>
        <w:t xml:space="preserve"> чл. </w:t>
      </w:r>
      <w:r w:rsidR="00F82710" w:rsidRPr="00FD4C39">
        <w:rPr>
          <w:rFonts w:ascii="Times New Roman" w:eastAsia="Calibri" w:hAnsi="Times New Roman" w:cs="Times New Roman"/>
          <w:bCs/>
          <w:sz w:val="24"/>
          <w:szCs w:val="24"/>
        </w:rPr>
        <w:t>10,</w:t>
      </w:r>
      <w:r w:rsidR="00884B97">
        <w:rPr>
          <w:rFonts w:ascii="Times New Roman" w:eastAsia="Calibri" w:hAnsi="Times New Roman" w:cs="Times New Roman"/>
          <w:bCs/>
          <w:sz w:val="24"/>
          <w:szCs w:val="24"/>
        </w:rPr>
        <w:t xml:space="preserve"> ал. </w:t>
      </w:r>
      <w:r w:rsidR="00F82710" w:rsidRPr="00FD4C39">
        <w:rPr>
          <w:rFonts w:ascii="Times New Roman" w:eastAsia="Calibri" w:hAnsi="Times New Roman" w:cs="Times New Roman"/>
          <w:bCs/>
          <w:sz w:val="24"/>
          <w:szCs w:val="24"/>
        </w:rPr>
        <w:t>1,</w:t>
      </w:r>
      <w:r w:rsidR="00884B97">
        <w:rPr>
          <w:rFonts w:ascii="Times New Roman" w:eastAsia="Calibri" w:hAnsi="Times New Roman" w:cs="Times New Roman"/>
          <w:bCs/>
          <w:sz w:val="24"/>
          <w:szCs w:val="24"/>
        </w:rPr>
        <w:t xml:space="preserve"> т. </w:t>
      </w:r>
      <w:r w:rsidR="00F82710" w:rsidRPr="00FD4C39">
        <w:rPr>
          <w:rFonts w:ascii="Times New Roman" w:eastAsia="Calibri" w:hAnsi="Times New Roman" w:cs="Times New Roman"/>
          <w:bCs/>
          <w:sz w:val="24"/>
          <w:szCs w:val="24"/>
        </w:rPr>
        <w:t xml:space="preserve">5 от </w:t>
      </w:r>
      <w:r w:rsidR="00FE7018" w:rsidRPr="00FD4C39">
        <w:rPr>
          <w:rFonts w:ascii="Times New Roman" w:eastAsia="Calibri" w:hAnsi="Times New Roman" w:cs="Times New Roman"/>
          <w:bCs/>
          <w:sz w:val="24"/>
          <w:szCs w:val="24"/>
        </w:rPr>
        <w:t>ЗЗЛД</w:t>
      </w:r>
      <w:r>
        <w:rPr>
          <w:rFonts w:ascii="Times New Roman" w:eastAsia="Calibri" w:hAnsi="Times New Roman" w:cs="Times New Roman"/>
          <w:bCs/>
          <w:sz w:val="24"/>
          <w:szCs w:val="24"/>
        </w:rPr>
        <w:t xml:space="preserve">, с което </w:t>
      </w:r>
      <w:r w:rsidR="00F82710" w:rsidRPr="00FD4C39">
        <w:rPr>
          <w:rFonts w:ascii="Times New Roman" w:eastAsia="Calibri" w:hAnsi="Times New Roman" w:cs="Times New Roman"/>
          <w:bCs/>
          <w:sz w:val="24"/>
          <w:szCs w:val="24"/>
        </w:rPr>
        <w:t>задълж</w:t>
      </w:r>
      <w:r>
        <w:rPr>
          <w:rFonts w:ascii="Times New Roman" w:eastAsia="Calibri" w:hAnsi="Times New Roman" w:cs="Times New Roman"/>
          <w:bCs/>
          <w:sz w:val="24"/>
          <w:szCs w:val="24"/>
        </w:rPr>
        <w:t>ава</w:t>
      </w:r>
      <w:r w:rsidR="00F82710" w:rsidRPr="00FD4C3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w:t>
      </w:r>
      <w:r w:rsidR="00F82710" w:rsidRPr="00FD4C39">
        <w:rPr>
          <w:rFonts w:ascii="Times New Roman" w:eastAsia="Calibri" w:hAnsi="Times New Roman" w:cs="Times New Roman"/>
          <w:bCs/>
          <w:sz w:val="24"/>
          <w:szCs w:val="24"/>
        </w:rPr>
        <w:t>инистъра на образованието и науката да предприеме необходимите мерки за премахване от следващата учебна година (2015/2016</w:t>
      </w:r>
      <w:r w:rsidR="004D42A2">
        <w:rPr>
          <w:rFonts w:ascii="Times New Roman" w:eastAsia="Calibri" w:hAnsi="Times New Roman" w:cs="Times New Roman"/>
          <w:bCs/>
          <w:sz w:val="24"/>
          <w:szCs w:val="24"/>
        </w:rPr>
        <w:t> г.</w:t>
      </w:r>
      <w:r w:rsidR="00F82710" w:rsidRPr="00FD4C39">
        <w:rPr>
          <w:rFonts w:ascii="Times New Roman" w:eastAsia="Calibri" w:hAnsi="Times New Roman" w:cs="Times New Roman"/>
          <w:bCs/>
          <w:sz w:val="24"/>
          <w:szCs w:val="24"/>
        </w:rPr>
        <w:t>) на ЕГН от съдържанието на личната ученическа карта, ученическата книжка и ученическата книжка за задочно обучение.</w:t>
      </w:r>
    </w:p>
    <w:p w:rsidR="00CC08F7" w:rsidRPr="00FD4C39" w:rsidRDefault="007C397E" w:rsidP="007B189E">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Задължителното предписание се</w:t>
      </w:r>
      <w:r w:rsidR="00CC08F7" w:rsidRPr="00FD4C39">
        <w:rPr>
          <w:rFonts w:ascii="Times New Roman" w:eastAsia="Calibri" w:hAnsi="Times New Roman" w:cs="Times New Roman"/>
          <w:bCs/>
          <w:sz w:val="24"/>
          <w:szCs w:val="24"/>
        </w:rPr>
        <w:t xml:space="preserve"> връч</w:t>
      </w:r>
      <w:r>
        <w:rPr>
          <w:rFonts w:ascii="Times New Roman" w:eastAsia="Calibri" w:hAnsi="Times New Roman" w:cs="Times New Roman"/>
          <w:bCs/>
          <w:sz w:val="24"/>
          <w:szCs w:val="24"/>
        </w:rPr>
        <w:t>ва</w:t>
      </w:r>
      <w:r w:rsidR="00CC08F7" w:rsidRPr="00FD4C39">
        <w:rPr>
          <w:rFonts w:ascii="Times New Roman" w:eastAsia="Calibri" w:hAnsi="Times New Roman" w:cs="Times New Roman"/>
          <w:bCs/>
          <w:sz w:val="24"/>
          <w:szCs w:val="24"/>
        </w:rPr>
        <w:t xml:space="preserve"> за изпълнение на 23.12.2014</w:t>
      </w:r>
      <w:r w:rsidR="004D42A2">
        <w:rPr>
          <w:rFonts w:ascii="Times New Roman" w:eastAsia="Calibri" w:hAnsi="Times New Roman" w:cs="Times New Roman"/>
          <w:bCs/>
          <w:sz w:val="24"/>
          <w:szCs w:val="24"/>
        </w:rPr>
        <w:t> г.</w:t>
      </w:r>
      <w:r w:rsidR="00CC08F7" w:rsidRPr="00FD4C39">
        <w:rPr>
          <w:rFonts w:ascii="Times New Roman" w:eastAsia="Calibri" w:hAnsi="Times New Roman" w:cs="Times New Roman"/>
          <w:bCs/>
          <w:sz w:val="24"/>
          <w:szCs w:val="24"/>
        </w:rPr>
        <w:t xml:space="preserve"> </w:t>
      </w:r>
    </w:p>
    <w:p w:rsidR="00372C02" w:rsidRPr="00FD4C39" w:rsidRDefault="00CC08F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През 201</w:t>
      </w:r>
      <w:r w:rsidR="007C397E">
        <w:rPr>
          <w:rFonts w:ascii="Times New Roman" w:eastAsia="Calibri" w:hAnsi="Times New Roman" w:cs="Times New Roman"/>
          <w:b/>
          <w:sz w:val="24"/>
          <w:szCs w:val="24"/>
        </w:rPr>
        <w:t>4 година КЗЛД се произнася</w:t>
      </w:r>
      <w:r w:rsidRPr="00FD4C39">
        <w:rPr>
          <w:rFonts w:ascii="Times New Roman" w:eastAsia="Calibri" w:hAnsi="Times New Roman" w:cs="Times New Roman"/>
          <w:b/>
          <w:sz w:val="24"/>
          <w:szCs w:val="24"/>
        </w:rPr>
        <w:t xml:space="preserve"> с обобщено становище по въпросите, свързани с </w:t>
      </w:r>
      <w:proofErr w:type="spellStart"/>
      <w:r w:rsidRPr="00FD4C39">
        <w:rPr>
          <w:rFonts w:ascii="Times New Roman" w:eastAsia="Calibri" w:hAnsi="Times New Roman" w:cs="Times New Roman"/>
          <w:b/>
          <w:sz w:val="24"/>
          <w:szCs w:val="24"/>
        </w:rPr>
        <w:t>видеонаблюдението</w:t>
      </w:r>
      <w:proofErr w:type="spellEnd"/>
      <w:r w:rsidRPr="00FD4C39">
        <w:rPr>
          <w:rFonts w:ascii="Times New Roman" w:eastAsia="Calibri" w:hAnsi="Times New Roman" w:cs="Times New Roman"/>
          <w:b/>
          <w:sz w:val="24"/>
          <w:szCs w:val="24"/>
        </w:rPr>
        <w:t xml:space="preserve">. </w:t>
      </w:r>
      <w:r w:rsidRPr="00FD4C39">
        <w:rPr>
          <w:rFonts w:ascii="Times New Roman" w:eastAsia="Calibri" w:hAnsi="Times New Roman" w:cs="Times New Roman"/>
          <w:sz w:val="24"/>
          <w:szCs w:val="24"/>
        </w:rPr>
        <w:t>Темата за законосъобразното</w:t>
      </w:r>
      <w:r w:rsidR="007C397E">
        <w:rPr>
          <w:rFonts w:ascii="Times New Roman" w:eastAsia="Calibri" w:hAnsi="Times New Roman" w:cs="Times New Roman"/>
          <w:sz w:val="24"/>
          <w:szCs w:val="24"/>
        </w:rPr>
        <w:t xml:space="preserve"> извършване на </w:t>
      </w:r>
      <w:proofErr w:type="spellStart"/>
      <w:r w:rsidR="007C397E">
        <w:rPr>
          <w:rFonts w:ascii="Times New Roman" w:eastAsia="Calibri" w:hAnsi="Times New Roman" w:cs="Times New Roman"/>
          <w:sz w:val="24"/>
          <w:szCs w:val="24"/>
        </w:rPr>
        <w:t>видеонаблюдение</w:t>
      </w:r>
      <w:proofErr w:type="spellEnd"/>
      <w:r w:rsidR="007C397E">
        <w:rPr>
          <w:rFonts w:ascii="Times New Roman" w:eastAsia="Calibri" w:hAnsi="Times New Roman" w:cs="Times New Roman"/>
          <w:sz w:val="24"/>
          <w:szCs w:val="24"/>
        </w:rPr>
        <w:t xml:space="preserve"> се поставя</w:t>
      </w:r>
      <w:r w:rsidRPr="00FD4C39">
        <w:rPr>
          <w:rFonts w:ascii="Times New Roman" w:eastAsia="Calibri" w:hAnsi="Times New Roman" w:cs="Times New Roman"/>
          <w:sz w:val="24"/>
          <w:szCs w:val="24"/>
        </w:rPr>
        <w:t xml:space="preserve"> многократно за произнасяне от КЗЛД, съобразно вменените й със ЗЗЛД компетенции. Практиката на КЗЛД по въпросите, свързани с </w:t>
      </w:r>
      <w:proofErr w:type="spellStart"/>
      <w:r w:rsidRPr="00FD4C39">
        <w:rPr>
          <w:rFonts w:ascii="Times New Roman" w:eastAsia="Calibri" w:hAnsi="Times New Roman" w:cs="Times New Roman"/>
          <w:sz w:val="24"/>
          <w:szCs w:val="24"/>
        </w:rPr>
        <w:t>видеонаблюдението</w:t>
      </w:r>
      <w:proofErr w:type="spellEnd"/>
      <w:r w:rsidRPr="00FD4C39">
        <w:rPr>
          <w:rFonts w:ascii="Times New Roman" w:eastAsia="Calibri" w:hAnsi="Times New Roman" w:cs="Times New Roman"/>
          <w:sz w:val="24"/>
          <w:szCs w:val="24"/>
        </w:rPr>
        <w:t xml:space="preserve"> в последните години показва, че с развитието на технологиите в национален и световен мащаб се развива и възможността за наблюдаване на различни обекти от разсто</w:t>
      </w:r>
      <w:r w:rsidR="007C397E">
        <w:rPr>
          <w:rFonts w:ascii="Times New Roman" w:eastAsia="Calibri" w:hAnsi="Times New Roman" w:cs="Times New Roman"/>
          <w:sz w:val="24"/>
          <w:szCs w:val="24"/>
        </w:rPr>
        <w:t>яние чрез използването на видео</w:t>
      </w:r>
      <w:r w:rsidRPr="00FD4C39">
        <w:rPr>
          <w:rFonts w:ascii="Times New Roman" w:eastAsia="Calibri" w:hAnsi="Times New Roman" w:cs="Times New Roman"/>
          <w:sz w:val="24"/>
          <w:szCs w:val="24"/>
        </w:rPr>
        <w:t xml:space="preserve">камери. Това развитие на технологиите и прякото им отражение в сферата на обществения и частния живот не може да не бъде отчитано от КЗЛД, когато решава въпросите за законосъобразността и допустимостта на </w:t>
      </w:r>
      <w:proofErr w:type="spellStart"/>
      <w:r w:rsidRPr="00FD4C39">
        <w:rPr>
          <w:rFonts w:ascii="Times New Roman" w:eastAsia="Calibri" w:hAnsi="Times New Roman" w:cs="Times New Roman"/>
          <w:sz w:val="24"/>
          <w:szCs w:val="24"/>
        </w:rPr>
        <w:t>видеонаблюдението</w:t>
      </w:r>
      <w:proofErr w:type="spellEnd"/>
      <w:r w:rsidRPr="00FD4C39">
        <w:rPr>
          <w:rFonts w:ascii="Times New Roman" w:eastAsia="Calibri" w:hAnsi="Times New Roman" w:cs="Times New Roman"/>
          <w:sz w:val="24"/>
          <w:szCs w:val="24"/>
        </w:rPr>
        <w:t xml:space="preserve">. Поради обстоятелството, че в България </w:t>
      </w:r>
      <w:proofErr w:type="spellStart"/>
      <w:r w:rsidRPr="00FD4C39">
        <w:rPr>
          <w:rFonts w:ascii="Times New Roman" w:eastAsia="Calibri" w:hAnsi="Times New Roman" w:cs="Times New Roman"/>
          <w:sz w:val="24"/>
          <w:szCs w:val="24"/>
        </w:rPr>
        <w:t>видеонаблюдението</w:t>
      </w:r>
      <w:proofErr w:type="spellEnd"/>
      <w:r w:rsidRPr="00FD4C39">
        <w:rPr>
          <w:rFonts w:ascii="Times New Roman" w:eastAsia="Calibri" w:hAnsi="Times New Roman" w:cs="Times New Roman"/>
          <w:sz w:val="24"/>
          <w:szCs w:val="24"/>
        </w:rPr>
        <w:t>, като вид обработване на лични данни</w:t>
      </w:r>
      <w:r w:rsidR="007C397E">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не е подробно уредено, при </w:t>
      </w:r>
      <w:r w:rsidR="007C397E">
        <w:rPr>
          <w:rFonts w:ascii="Times New Roman" w:eastAsia="Calibri" w:hAnsi="Times New Roman" w:cs="Times New Roman"/>
          <w:sz w:val="24"/>
          <w:szCs w:val="24"/>
        </w:rPr>
        <w:t>разглеждане на отделните казуси</w:t>
      </w:r>
      <w:r w:rsidRPr="00FD4C39">
        <w:rPr>
          <w:rFonts w:ascii="Times New Roman" w:eastAsia="Calibri" w:hAnsi="Times New Roman" w:cs="Times New Roman"/>
          <w:sz w:val="24"/>
          <w:szCs w:val="24"/>
        </w:rPr>
        <w:t xml:space="preserve"> КЗЛД анализира и международното законодателство и практика, свързани с обработването на лични данни, извършвано чрез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w:t>
      </w:r>
    </w:p>
    <w:p w:rsidR="00CC08F7" w:rsidRPr="00FD4C39" w:rsidRDefault="00CC08F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Въпросите могат да бъдат анализирани в няколко насоки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защита на лицата, защита на собствеността, обществен интерес, разкриване, предотвратяване и контрол на нарушения/престъпления, други законни интереси. Изводът, който може да се направи</w:t>
      </w:r>
      <w:r w:rsidR="007C397E">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е, че при използването на средства за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е изключително важно </w:t>
      </w:r>
      <w:r w:rsidRPr="00FD4C39">
        <w:rPr>
          <w:rFonts w:ascii="Times New Roman" w:eastAsia="Calibri" w:hAnsi="Times New Roman" w:cs="Times New Roman"/>
          <w:sz w:val="24"/>
          <w:szCs w:val="24"/>
        </w:rPr>
        <w:lastRenderedPageBreak/>
        <w:t xml:space="preserve">да се прилага принципът за адекватност и пропорционалност при обработване на лични данни чрез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w:t>
      </w:r>
    </w:p>
    <w:p w:rsidR="00CC08F7" w:rsidRPr="00FD4C39" w:rsidRDefault="00CC08F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По принцип право да извършват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в сгради, офиси, държавни и обществени предприятия и институции имат търговци или юридически лица, както и техни звена за </w:t>
      </w:r>
      <w:proofErr w:type="spellStart"/>
      <w:r w:rsidRPr="00FD4C39">
        <w:rPr>
          <w:rFonts w:ascii="Times New Roman" w:eastAsia="Calibri" w:hAnsi="Times New Roman" w:cs="Times New Roman"/>
          <w:sz w:val="24"/>
          <w:szCs w:val="24"/>
        </w:rPr>
        <w:t>самоохрана</w:t>
      </w:r>
      <w:proofErr w:type="spellEnd"/>
      <w:r w:rsidRPr="00FD4C39">
        <w:rPr>
          <w:rFonts w:ascii="Times New Roman" w:eastAsia="Calibri" w:hAnsi="Times New Roman" w:cs="Times New Roman"/>
          <w:sz w:val="24"/>
          <w:szCs w:val="24"/>
        </w:rPr>
        <w:t>, които са лицензирани за извършването</w:t>
      </w:r>
      <w:r w:rsidR="00372C02" w:rsidRPr="00FD4C39">
        <w:rPr>
          <w:rFonts w:ascii="Times New Roman" w:eastAsia="Calibri" w:hAnsi="Times New Roman" w:cs="Times New Roman"/>
          <w:sz w:val="24"/>
          <w:szCs w:val="24"/>
        </w:rPr>
        <w:t xml:space="preserve"> на частна охранителна дейност, както и </w:t>
      </w:r>
      <w:r w:rsidRPr="00FD4C39">
        <w:rPr>
          <w:rFonts w:ascii="Times New Roman" w:eastAsia="Calibri" w:hAnsi="Times New Roman" w:cs="Times New Roman"/>
          <w:sz w:val="24"/>
          <w:szCs w:val="24"/>
        </w:rPr>
        <w:t xml:space="preserve">държавни институции, на които се налага да извършват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за изпълнение на своите функции. Във всички останали случаи </w:t>
      </w:r>
      <w:proofErr w:type="spellStart"/>
      <w:r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може да бъде извършвано само при наличие на нормативно основание или при съгласие на физическите лица, обект на </w:t>
      </w:r>
      <w:proofErr w:type="spellStart"/>
      <w:r w:rsidRPr="00FD4C39">
        <w:rPr>
          <w:rFonts w:ascii="Times New Roman" w:eastAsia="Calibri" w:hAnsi="Times New Roman" w:cs="Times New Roman"/>
          <w:sz w:val="24"/>
          <w:szCs w:val="24"/>
        </w:rPr>
        <w:t>видеозаснемане</w:t>
      </w:r>
      <w:proofErr w:type="spellEnd"/>
      <w:r w:rsidRPr="00FD4C39">
        <w:rPr>
          <w:rFonts w:ascii="Times New Roman" w:eastAsia="Calibri" w:hAnsi="Times New Roman" w:cs="Times New Roman"/>
          <w:sz w:val="24"/>
          <w:szCs w:val="24"/>
        </w:rPr>
        <w:t>.</w:t>
      </w:r>
    </w:p>
    <w:p w:rsidR="00CC08F7" w:rsidRPr="00FD4C39" w:rsidRDefault="00CC08F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практиката си КЗЛД следи за това, гражданите задължително да </w:t>
      </w:r>
      <w:r w:rsidR="00A91058" w:rsidRPr="00FD4C39">
        <w:rPr>
          <w:rFonts w:ascii="Times New Roman" w:eastAsia="Calibri" w:hAnsi="Times New Roman" w:cs="Times New Roman"/>
          <w:sz w:val="24"/>
          <w:szCs w:val="24"/>
        </w:rPr>
        <w:t>бъдат уведомявани</w:t>
      </w:r>
      <w:r w:rsidRPr="00FD4C39">
        <w:rPr>
          <w:rFonts w:ascii="Times New Roman" w:eastAsia="Calibri" w:hAnsi="Times New Roman" w:cs="Times New Roman"/>
          <w:sz w:val="24"/>
          <w:szCs w:val="24"/>
        </w:rPr>
        <w:t xml:space="preserve"> чрез информационни табла, поставени на видно място, за използването на технически средства за наблюдение и контрол на обекта. В случай че те не са възразили пред администратора за обработването на личните им данни, се приема, че същите са предоставили своето съгласие по смисъла на ЗЗЛД техни лични данни да бъдат обработвани чрез технически средства за видеоконтрол. </w:t>
      </w:r>
    </w:p>
    <w:p w:rsidR="00CC08F7" w:rsidRPr="00FD4C39" w:rsidRDefault="00CC08F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 разглеждане на въпроси за </w:t>
      </w:r>
      <w:proofErr w:type="spellStart"/>
      <w:r w:rsidRPr="00FD4C39">
        <w:rPr>
          <w:rFonts w:ascii="Times New Roman" w:eastAsia="Calibri" w:hAnsi="Times New Roman" w:cs="Times New Roman"/>
          <w:sz w:val="24"/>
          <w:szCs w:val="24"/>
        </w:rPr>
        <w:t>видеонаблюдението</w:t>
      </w:r>
      <w:proofErr w:type="spellEnd"/>
      <w:r w:rsidRPr="00FD4C39">
        <w:rPr>
          <w:rFonts w:ascii="Times New Roman" w:eastAsia="Calibri" w:hAnsi="Times New Roman" w:cs="Times New Roman"/>
          <w:sz w:val="24"/>
          <w:szCs w:val="24"/>
        </w:rPr>
        <w:t xml:space="preserve"> КЗЛД информира лицата за правото им да възразят пред администратора, че не желаят да бъдат записвани</w:t>
      </w:r>
      <w:r w:rsidR="00A91058" w:rsidRPr="00FD4C39">
        <w:rPr>
          <w:rFonts w:ascii="Times New Roman" w:eastAsia="Calibri" w:hAnsi="Times New Roman" w:cs="Times New Roman"/>
          <w:sz w:val="24"/>
          <w:szCs w:val="24"/>
        </w:rPr>
        <w:t xml:space="preserve"> чрез камери за </w:t>
      </w:r>
      <w:proofErr w:type="spellStart"/>
      <w:r w:rsidR="00A91058" w:rsidRPr="00FD4C39">
        <w:rPr>
          <w:rFonts w:ascii="Times New Roman" w:eastAsia="Calibri" w:hAnsi="Times New Roman" w:cs="Times New Roman"/>
          <w:sz w:val="24"/>
          <w:szCs w:val="24"/>
        </w:rPr>
        <w:t>видеонаблюдение</w:t>
      </w:r>
      <w:proofErr w:type="spellEnd"/>
      <w:r w:rsidRPr="00FD4C39">
        <w:rPr>
          <w:rFonts w:ascii="Times New Roman" w:eastAsia="Calibri" w:hAnsi="Times New Roman" w:cs="Times New Roman"/>
          <w:sz w:val="24"/>
          <w:szCs w:val="24"/>
        </w:rPr>
        <w:t xml:space="preserve"> </w:t>
      </w:r>
      <w:r w:rsidR="00A91058"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ако администраторът не докаже наличието на правно основание в конкретния случай</w:t>
      </w:r>
      <w:r w:rsidR="00A91058" w:rsidRPr="00FD4C39">
        <w:rPr>
          <w:rFonts w:ascii="Times New Roman" w:eastAsia="Calibri" w:hAnsi="Times New Roman" w:cs="Times New Roman"/>
          <w:sz w:val="24"/>
          <w:szCs w:val="24"/>
        </w:rPr>
        <w:t>)</w:t>
      </w:r>
      <w:r w:rsidR="007C397E">
        <w:rPr>
          <w:rFonts w:ascii="Times New Roman" w:eastAsia="Calibri" w:hAnsi="Times New Roman" w:cs="Times New Roman"/>
          <w:sz w:val="24"/>
          <w:szCs w:val="24"/>
        </w:rPr>
        <w:t xml:space="preserve">, както и </w:t>
      </w:r>
      <w:r w:rsidRPr="00FD4C39">
        <w:rPr>
          <w:rFonts w:ascii="Times New Roman" w:eastAsia="Calibri" w:hAnsi="Times New Roman" w:cs="Times New Roman"/>
          <w:sz w:val="24"/>
          <w:szCs w:val="24"/>
        </w:rPr>
        <w:t xml:space="preserve">правото им на достъп до отнасящите се до тях лични данни. В случаите, когато при осъществяване правото на достъп на физическото лице могат да се разкрият лични данни и за трето лице, администраторът е длъжен да предостави на </w:t>
      </w:r>
      <w:proofErr w:type="spellStart"/>
      <w:r w:rsidRPr="00FD4C39">
        <w:rPr>
          <w:rFonts w:ascii="Times New Roman" w:eastAsia="Calibri" w:hAnsi="Times New Roman" w:cs="Times New Roman"/>
          <w:sz w:val="24"/>
          <w:szCs w:val="24"/>
        </w:rPr>
        <w:t>искателя</w:t>
      </w:r>
      <w:proofErr w:type="spellEnd"/>
      <w:r w:rsidRPr="00FD4C39">
        <w:rPr>
          <w:rFonts w:ascii="Times New Roman" w:eastAsia="Calibri" w:hAnsi="Times New Roman" w:cs="Times New Roman"/>
          <w:sz w:val="24"/>
          <w:szCs w:val="24"/>
        </w:rPr>
        <w:t xml:space="preserve"> достъп до частта от тях, отнасяща се само за него. За тази цел той трябва да предприеме съответни технически мерки за заличаване/маскиране на образит</w:t>
      </w:r>
      <w:r w:rsidR="007C397E">
        <w:rPr>
          <w:rFonts w:ascii="Times New Roman" w:eastAsia="Calibri" w:hAnsi="Times New Roman" w:cs="Times New Roman"/>
          <w:sz w:val="24"/>
          <w:szCs w:val="24"/>
        </w:rPr>
        <w:t xml:space="preserve">е на другите лица, </w:t>
      </w:r>
      <w:r w:rsidRPr="00FD4C39">
        <w:rPr>
          <w:rFonts w:ascii="Times New Roman" w:eastAsia="Calibri" w:hAnsi="Times New Roman" w:cs="Times New Roman"/>
          <w:sz w:val="24"/>
          <w:szCs w:val="24"/>
        </w:rPr>
        <w:t xml:space="preserve">обект на </w:t>
      </w:r>
      <w:proofErr w:type="spellStart"/>
      <w:r w:rsidRPr="00FD4C39">
        <w:rPr>
          <w:rFonts w:ascii="Times New Roman" w:eastAsia="Calibri" w:hAnsi="Times New Roman" w:cs="Times New Roman"/>
          <w:sz w:val="24"/>
          <w:szCs w:val="24"/>
        </w:rPr>
        <w:t>видеонаблюдението</w:t>
      </w:r>
      <w:proofErr w:type="spellEnd"/>
      <w:r w:rsidRPr="00FD4C39">
        <w:rPr>
          <w:rFonts w:ascii="Times New Roman" w:eastAsia="Calibri" w:hAnsi="Times New Roman" w:cs="Times New Roman"/>
          <w:sz w:val="24"/>
          <w:szCs w:val="24"/>
        </w:rPr>
        <w:t>. При липса на такава техническа възможност достъп до видеозаписи може да бъде предоставен сам</w:t>
      </w:r>
      <w:r w:rsidR="007C397E">
        <w:rPr>
          <w:rFonts w:ascii="Times New Roman" w:eastAsia="Calibri" w:hAnsi="Times New Roman" w:cs="Times New Roman"/>
          <w:sz w:val="24"/>
          <w:szCs w:val="24"/>
        </w:rPr>
        <w:t xml:space="preserve">о със съгласието на всички лица, </w:t>
      </w:r>
      <w:r w:rsidRPr="00FD4C39">
        <w:rPr>
          <w:rFonts w:ascii="Times New Roman" w:eastAsia="Calibri" w:hAnsi="Times New Roman" w:cs="Times New Roman"/>
          <w:sz w:val="24"/>
          <w:szCs w:val="24"/>
        </w:rPr>
        <w:t xml:space="preserve">обект на </w:t>
      </w:r>
      <w:proofErr w:type="spellStart"/>
      <w:r w:rsidRPr="00FD4C39">
        <w:rPr>
          <w:rFonts w:ascii="Times New Roman" w:eastAsia="Calibri" w:hAnsi="Times New Roman" w:cs="Times New Roman"/>
          <w:sz w:val="24"/>
          <w:szCs w:val="24"/>
        </w:rPr>
        <w:t>видеонаблюдението</w:t>
      </w:r>
      <w:proofErr w:type="spellEnd"/>
      <w:r w:rsidRPr="00FD4C39">
        <w:rPr>
          <w:rFonts w:ascii="Times New Roman" w:eastAsia="Calibri" w:hAnsi="Times New Roman" w:cs="Times New Roman"/>
          <w:sz w:val="24"/>
          <w:szCs w:val="24"/>
        </w:rPr>
        <w:t xml:space="preserve">. </w:t>
      </w:r>
    </w:p>
    <w:p w:rsidR="00CC08F7" w:rsidRPr="00FD4C39" w:rsidRDefault="00CC08F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Когато действията във връзка с осъществяване на </w:t>
      </w:r>
      <w:proofErr w:type="spellStart"/>
      <w:r w:rsidRPr="00FD4C39">
        <w:rPr>
          <w:rFonts w:ascii="Times New Roman" w:eastAsia="Calibri" w:hAnsi="Times New Roman" w:cs="Times New Roman"/>
          <w:sz w:val="24"/>
          <w:szCs w:val="24"/>
        </w:rPr>
        <w:t>видеозаснемане</w:t>
      </w:r>
      <w:proofErr w:type="spellEnd"/>
      <w:r w:rsidRPr="00FD4C39">
        <w:rPr>
          <w:rFonts w:ascii="Times New Roman" w:eastAsia="Calibri" w:hAnsi="Times New Roman" w:cs="Times New Roman"/>
          <w:sz w:val="24"/>
          <w:szCs w:val="24"/>
        </w:rPr>
        <w:t xml:space="preserve"> се извършват от дружества с предмет осъществяване на охранителна дейност по Закона за частната охранителна дейност, КЗЛД информира физи</w:t>
      </w:r>
      <w:r w:rsidR="007C397E">
        <w:rPr>
          <w:rFonts w:ascii="Times New Roman" w:eastAsia="Calibri" w:hAnsi="Times New Roman" w:cs="Times New Roman"/>
          <w:sz w:val="24"/>
          <w:szCs w:val="24"/>
        </w:rPr>
        <w:t>ческите лица, че контролът</w:t>
      </w:r>
      <w:r w:rsidRPr="00FD4C39">
        <w:rPr>
          <w:rFonts w:ascii="Times New Roman" w:eastAsia="Calibri" w:hAnsi="Times New Roman" w:cs="Times New Roman"/>
          <w:sz w:val="24"/>
          <w:szCs w:val="24"/>
        </w:rPr>
        <w:t xml:space="preserve"> върху дейностите в тези случаи е възложен на Главна дирекция „Охранителна полиция</w:t>
      </w:r>
      <w:r w:rsidR="007C397E">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областните дирекции на МВР. Лицето може да се обърне към тези структури на МВР, доколкото няма извършено нарушение на ЗЗЛД. </w:t>
      </w:r>
    </w:p>
    <w:p w:rsidR="00CC08F7" w:rsidRPr="00FD4C39" w:rsidRDefault="00CC08F7"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
          <w:bCs/>
          <w:sz w:val="24"/>
          <w:szCs w:val="24"/>
        </w:rPr>
        <w:t>В допълнение към принципното становище по</w:t>
      </w:r>
      <w:r w:rsidR="00570A32">
        <w:rPr>
          <w:rFonts w:ascii="Times New Roman" w:eastAsia="Calibri" w:hAnsi="Times New Roman" w:cs="Times New Roman"/>
          <w:b/>
          <w:bCs/>
          <w:sz w:val="24"/>
          <w:szCs w:val="24"/>
        </w:rPr>
        <w:t xml:space="preserve"> въпросите за </w:t>
      </w:r>
      <w:proofErr w:type="spellStart"/>
      <w:r w:rsidR="00570A32">
        <w:rPr>
          <w:rFonts w:ascii="Times New Roman" w:eastAsia="Calibri" w:hAnsi="Times New Roman" w:cs="Times New Roman"/>
          <w:b/>
          <w:bCs/>
          <w:sz w:val="24"/>
          <w:szCs w:val="24"/>
        </w:rPr>
        <w:t>видеонаблюдението</w:t>
      </w:r>
      <w:proofErr w:type="spellEnd"/>
      <w:r w:rsidRPr="00FD4C39">
        <w:rPr>
          <w:rFonts w:ascii="Times New Roman" w:eastAsia="Calibri" w:hAnsi="Times New Roman" w:cs="Times New Roman"/>
          <w:b/>
          <w:bCs/>
          <w:sz w:val="24"/>
          <w:szCs w:val="24"/>
        </w:rPr>
        <w:t xml:space="preserve"> през 2014 година КЗЛД се произнася и по конкретни казуси. </w:t>
      </w:r>
      <w:r w:rsidRPr="00FD4C39">
        <w:rPr>
          <w:rFonts w:ascii="Times New Roman" w:eastAsia="Calibri" w:hAnsi="Times New Roman" w:cs="Times New Roman"/>
          <w:b/>
          <w:bCs/>
          <w:sz w:val="24"/>
          <w:szCs w:val="24"/>
        </w:rPr>
        <w:lastRenderedPageBreak/>
        <w:t>Такова е изразеното становище по повод искане от МВР относно съответствието с изискванията за защита на личните данни на предстоящо въвеждане на автоматизирана информационна система „</w:t>
      </w:r>
      <w:proofErr w:type="spellStart"/>
      <w:r w:rsidRPr="00FD4C39">
        <w:rPr>
          <w:rFonts w:ascii="Times New Roman" w:eastAsia="Calibri" w:hAnsi="Times New Roman" w:cs="Times New Roman"/>
          <w:b/>
          <w:bCs/>
          <w:sz w:val="24"/>
          <w:szCs w:val="24"/>
        </w:rPr>
        <w:t>Видеозаснемане</w:t>
      </w:r>
      <w:proofErr w:type="spellEnd"/>
      <w:r w:rsidRPr="00FD4C39">
        <w:rPr>
          <w:rFonts w:ascii="Times New Roman" w:eastAsia="Calibri" w:hAnsi="Times New Roman" w:cs="Times New Roman"/>
          <w:b/>
          <w:bCs/>
          <w:sz w:val="24"/>
          <w:szCs w:val="24"/>
        </w:rPr>
        <w:t xml:space="preserve"> на пътен контрол</w:t>
      </w:r>
      <w:r w:rsidR="00570A32">
        <w:rPr>
          <w:rFonts w:ascii="Times New Roman" w:eastAsia="Calibri" w:hAnsi="Times New Roman" w:cs="Times New Roman"/>
          <w:b/>
          <w:bCs/>
          <w:sz w:val="24"/>
          <w:szCs w:val="24"/>
        </w:rPr>
        <w:t>“</w:t>
      </w:r>
      <w:r w:rsidR="004D42A2">
        <w:rPr>
          <w:rFonts w:ascii="Times New Roman" w:eastAsia="Calibri" w:hAnsi="Times New Roman" w:cs="Times New Roman"/>
          <w:b/>
          <w:bCs/>
          <w:sz w:val="24"/>
          <w:szCs w:val="24"/>
        </w:rPr>
        <w:t xml:space="preserve"> – </w:t>
      </w:r>
      <w:r w:rsidRPr="00FD4C39">
        <w:rPr>
          <w:rFonts w:ascii="Times New Roman" w:eastAsia="Calibri" w:hAnsi="Times New Roman" w:cs="Times New Roman"/>
          <w:b/>
          <w:bCs/>
          <w:sz w:val="24"/>
          <w:szCs w:val="24"/>
        </w:rPr>
        <w:t>тема със значителен обществен интерес.</w:t>
      </w:r>
      <w:r w:rsidRPr="00FD4C39">
        <w:rPr>
          <w:rFonts w:ascii="Times New Roman" w:eastAsia="Calibri" w:hAnsi="Times New Roman" w:cs="Times New Roman"/>
          <w:bCs/>
          <w:sz w:val="24"/>
          <w:szCs w:val="24"/>
        </w:rPr>
        <w:t xml:space="preserve"> Чрез тази система се обработват лични данни (</w:t>
      </w:r>
      <w:proofErr w:type="spellStart"/>
      <w:r w:rsidRPr="00FD4C39">
        <w:rPr>
          <w:rFonts w:ascii="Times New Roman" w:eastAsia="Calibri" w:hAnsi="Times New Roman" w:cs="Times New Roman"/>
          <w:bCs/>
          <w:sz w:val="24"/>
          <w:szCs w:val="24"/>
        </w:rPr>
        <w:t>видеоизображения</w:t>
      </w:r>
      <w:proofErr w:type="spellEnd"/>
      <w:r w:rsidRPr="00FD4C39">
        <w:rPr>
          <w:rFonts w:ascii="Times New Roman" w:eastAsia="Calibri" w:hAnsi="Times New Roman" w:cs="Times New Roman"/>
          <w:bCs/>
          <w:sz w:val="24"/>
          <w:szCs w:val="24"/>
        </w:rPr>
        <w:t>) на попаднали в обсега на средствата за заснемане лица</w:t>
      </w:r>
      <w:r w:rsidR="004D42A2">
        <w:rPr>
          <w:rFonts w:ascii="Times New Roman" w:eastAsia="Calibri" w:hAnsi="Times New Roman" w:cs="Times New Roman"/>
          <w:bCs/>
          <w:sz w:val="24"/>
          <w:szCs w:val="24"/>
        </w:rPr>
        <w:t xml:space="preserve"> – </w:t>
      </w:r>
      <w:r w:rsidRPr="00FD4C39">
        <w:rPr>
          <w:rFonts w:ascii="Times New Roman" w:eastAsia="Calibri" w:hAnsi="Times New Roman" w:cs="Times New Roman"/>
          <w:bCs/>
          <w:sz w:val="24"/>
          <w:szCs w:val="24"/>
        </w:rPr>
        <w:t>служители на МВР, извършващи проверка</w:t>
      </w:r>
      <w:r w:rsidR="00570A32">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 xml:space="preserve"> и водачи на моторни превозни средства, както и самите превозни средства</w:t>
      </w:r>
      <w:r w:rsidR="004D42A2">
        <w:rPr>
          <w:rFonts w:ascii="Times New Roman" w:eastAsia="Calibri" w:hAnsi="Times New Roman" w:cs="Times New Roman"/>
          <w:bCs/>
          <w:sz w:val="24"/>
          <w:szCs w:val="24"/>
        </w:rPr>
        <w:t xml:space="preserve"> – </w:t>
      </w:r>
      <w:r w:rsidRPr="00FD4C39">
        <w:rPr>
          <w:rFonts w:ascii="Times New Roman" w:eastAsia="Calibri" w:hAnsi="Times New Roman" w:cs="Times New Roman"/>
          <w:bCs/>
          <w:sz w:val="24"/>
          <w:szCs w:val="24"/>
        </w:rPr>
        <w:t>обект на проверка</w:t>
      </w:r>
      <w:r w:rsidR="00570A32">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 xml:space="preserve"> за спазване на правилата за движение по пътищата.</w:t>
      </w:r>
    </w:p>
    <w:p w:rsidR="00CC08F7" w:rsidRPr="00FD4C39" w:rsidRDefault="00CC08F7"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t>За да се произнесе, Комисията разглежда разпо</w:t>
      </w:r>
      <w:r w:rsidR="00570A32">
        <w:rPr>
          <w:rFonts w:ascii="Times New Roman" w:eastAsia="Calibri" w:hAnsi="Times New Roman" w:cs="Times New Roman"/>
          <w:bCs/>
          <w:sz w:val="24"/>
          <w:szCs w:val="24"/>
        </w:rPr>
        <w:t xml:space="preserve">редбите на два специални закона </w:t>
      </w:r>
      <w:r w:rsidR="00053134" w:rsidRPr="00FD4C39">
        <w:rPr>
          <w:rFonts w:ascii="Times New Roman" w:eastAsia="Calibri" w:hAnsi="Times New Roman" w:cs="Times New Roman"/>
          <w:bCs/>
          <w:sz w:val="24"/>
          <w:szCs w:val="24"/>
        </w:rPr>
        <w:sym w:font="Symbol" w:char="F02D"/>
      </w:r>
      <w:r w:rsidRPr="00FD4C39">
        <w:rPr>
          <w:rFonts w:ascii="Times New Roman" w:eastAsia="Calibri" w:hAnsi="Times New Roman" w:cs="Times New Roman"/>
          <w:bCs/>
          <w:sz w:val="24"/>
          <w:szCs w:val="24"/>
        </w:rPr>
        <w:t xml:space="preserve"> Закона за министерствот</w:t>
      </w:r>
      <w:r w:rsidR="00570A32">
        <w:rPr>
          <w:rFonts w:ascii="Times New Roman" w:eastAsia="Calibri" w:hAnsi="Times New Roman" w:cs="Times New Roman"/>
          <w:bCs/>
          <w:sz w:val="24"/>
          <w:szCs w:val="24"/>
        </w:rPr>
        <w:t>о на вътрешните работи (ЗМВР) и</w:t>
      </w:r>
      <w:r w:rsidRPr="00FD4C39">
        <w:rPr>
          <w:rFonts w:ascii="Times New Roman" w:eastAsia="Calibri" w:hAnsi="Times New Roman" w:cs="Times New Roman"/>
          <w:bCs/>
          <w:sz w:val="24"/>
          <w:szCs w:val="24"/>
        </w:rPr>
        <w:t xml:space="preserve"> Закона за движението по пътищата (ЗДВП).</w:t>
      </w:r>
    </w:p>
    <w:p w:rsidR="00CC08F7" w:rsidRPr="00FD4C39" w:rsidRDefault="00CC08F7"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t>При анализ на нормативната уредба, в т.</w:t>
      </w:r>
      <w:r w:rsidR="00570A32">
        <w:rPr>
          <w:rFonts w:ascii="Times New Roman" w:eastAsia="Calibri" w:hAnsi="Times New Roman" w:cs="Times New Roman"/>
          <w:bCs/>
          <w:sz w:val="24"/>
          <w:szCs w:val="24"/>
        </w:rPr>
        <w:t xml:space="preserve">ч. и </w:t>
      </w:r>
      <w:r w:rsidRPr="00FD4C39">
        <w:rPr>
          <w:rFonts w:ascii="Times New Roman" w:eastAsia="Calibri" w:hAnsi="Times New Roman" w:cs="Times New Roman"/>
          <w:bCs/>
          <w:sz w:val="24"/>
          <w:szCs w:val="24"/>
        </w:rPr>
        <w:t xml:space="preserve">утвърдените от </w:t>
      </w:r>
      <w:r w:rsidR="00570A32">
        <w:rPr>
          <w:rFonts w:ascii="Times New Roman" w:eastAsia="Calibri" w:hAnsi="Times New Roman" w:cs="Times New Roman"/>
          <w:bCs/>
          <w:sz w:val="24"/>
          <w:szCs w:val="24"/>
        </w:rPr>
        <w:t>М</w:t>
      </w:r>
      <w:r w:rsidRPr="00FD4C39">
        <w:rPr>
          <w:rFonts w:ascii="Times New Roman" w:eastAsia="Calibri" w:hAnsi="Times New Roman" w:cs="Times New Roman"/>
          <w:bCs/>
          <w:sz w:val="24"/>
          <w:szCs w:val="24"/>
        </w:rPr>
        <w:t>инистъра на вътрешните работи „Организационно</w:t>
      </w:r>
      <w:r w:rsidR="00A91058" w:rsidRPr="00FD4C39">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технологични правила за работа с автоматизираната информационна система „</w:t>
      </w:r>
      <w:proofErr w:type="spellStart"/>
      <w:r w:rsidRPr="00FD4C39">
        <w:rPr>
          <w:rFonts w:ascii="Times New Roman" w:eastAsia="Calibri" w:hAnsi="Times New Roman" w:cs="Times New Roman"/>
          <w:bCs/>
          <w:sz w:val="24"/>
          <w:szCs w:val="24"/>
        </w:rPr>
        <w:t>Видеозаснемане</w:t>
      </w:r>
      <w:proofErr w:type="spellEnd"/>
      <w:r w:rsidRPr="00FD4C39">
        <w:rPr>
          <w:rFonts w:ascii="Times New Roman" w:eastAsia="Calibri" w:hAnsi="Times New Roman" w:cs="Times New Roman"/>
          <w:bCs/>
          <w:sz w:val="24"/>
          <w:szCs w:val="24"/>
        </w:rPr>
        <w:t xml:space="preserve"> на пътен контрол“</w:t>
      </w:r>
      <w:r w:rsidR="00A91058" w:rsidRPr="00FD4C39">
        <w:rPr>
          <w:rFonts w:ascii="Times New Roman" w:eastAsia="Calibri" w:hAnsi="Times New Roman" w:cs="Times New Roman"/>
          <w:bCs/>
          <w:sz w:val="24"/>
          <w:szCs w:val="24"/>
        </w:rPr>
        <w:t>,</w:t>
      </w:r>
      <w:r w:rsidR="00570A32">
        <w:rPr>
          <w:rFonts w:ascii="Times New Roman" w:eastAsia="Calibri" w:hAnsi="Times New Roman" w:cs="Times New Roman"/>
          <w:bCs/>
          <w:sz w:val="24"/>
          <w:szCs w:val="24"/>
        </w:rPr>
        <w:t xml:space="preserve"> </w:t>
      </w:r>
      <w:r w:rsidRPr="00FD4C39">
        <w:rPr>
          <w:rFonts w:ascii="Times New Roman" w:eastAsia="Calibri" w:hAnsi="Times New Roman" w:cs="Times New Roman"/>
          <w:bCs/>
          <w:sz w:val="24"/>
          <w:szCs w:val="24"/>
        </w:rPr>
        <w:t>КЗЛД отчита, че</w:t>
      </w:r>
      <w:r w:rsidR="00570A32">
        <w:rPr>
          <w:rFonts w:ascii="Times New Roman" w:eastAsia="Calibri" w:hAnsi="Times New Roman" w:cs="Times New Roman"/>
          <w:bCs/>
          <w:sz w:val="24"/>
          <w:szCs w:val="24"/>
        </w:rPr>
        <w:t xml:space="preserve"> администраторът на лични данни</w:t>
      </w:r>
      <w:r w:rsidR="004D42A2">
        <w:rPr>
          <w:rFonts w:ascii="Times New Roman" w:eastAsia="Calibri" w:hAnsi="Times New Roman" w:cs="Times New Roman"/>
          <w:bCs/>
          <w:sz w:val="24"/>
          <w:szCs w:val="24"/>
        </w:rPr>
        <w:t xml:space="preserve"> – </w:t>
      </w:r>
      <w:r w:rsidR="00570A32">
        <w:rPr>
          <w:rFonts w:ascii="Times New Roman" w:eastAsia="Calibri" w:hAnsi="Times New Roman" w:cs="Times New Roman"/>
          <w:bCs/>
          <w:sz w:val="24"/>
          <w:szCs w:val="24"/>
        </w:rPr>
        <w:t>М</w:t>
      </w:r>
      <w:r w:rsidRPr="00FD4C39">
        <w:rPr>
          <w:rFonts w:ascii="Times New Roman" w:eastAsia="Calibri" w:hAnsi="Times New Roman" w:cs="Times New Roman"/>
          <w:bCs/>
          <w:sz w:val="24"/>
          <w:szCs w:val="24"/>
        </w:rPr>
        <w:t>инистърът на вътрешните работи, е предприел необходимите технически и организационни мерки, за да защити данните от случайно или незаконно унищожаване, от случайна загуба, от неправомерен достъп, изменение или разпространение, както и от други незаконни форми на обработване</w:t>
      </w:r>
      <w:r w:rsidR="00A91058" w:rsidRPr="00FD4C39">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 xml:space="preserve"> в съответствие с нормите на Наредба № 1 на КЗЛД от 30 януари 2013 година за минималното ниво на технически и организационни мерки и допустимия вид защита. </w:t>
      </w:r>
    </w:p>
    <w:p w:rsidR="00CC08F7" w:rsidRPr="00FD4C39" w:rsidRDefault="00CC08F7" w:rsidP="007B189E">
      <w:pPr>
        <w:spacing w:after="0" w:line="360" w:lineRule="auto"/>
        <w:ind w:firstLine="709"/>
        <w:jc w:val="both"/>
        <w:rPr>
          <w:rFonts w:ascii="Times New Roman" w:eastAsia="Calibri" w:hAnsi="Times New Roman" w:cs="Times New Roman"/>
          <w:bCs/>
          <w:sz w:val="24"/>
          <w:szCs w:val="24"/>
        </w:rPr>
      </w:pPr>
      <w:r w:rsidRPr="00FD4C39">
        <w:rPr>
          <w:rFonts w:ascii="Times New Roman" w:eastAsia="Calibri" w:hAnsi="Times New Roman" w:cs="Times New Roman"/>
          <w:bCs/>
          <w:sz w:val="24"/>
          <w:szCs w:val="24"/>
        </w:rPr>
        <w:t>Становищет</w:t>
      </w:r>
      <w:r w:rsidR="00A91058" w:rsidRPr="00FD4C39">
        <w:rPr>
          <w:rFonts w:ascii="Times New Roman" w:eastAsia="Calibri" w:hAnsi="Times New Roman" w:cs="Times New Roman"/>
          <w:bCs/>
          <w:sz w:val="24"/>
          <w:szCs w:val="24"/>
        </w:rPr>
        <w:t>о на КЗЛД по конкретното питане</w:t>
      </w:r>
      <w:r w:rsidRPr="00FD4C39">
        <w:rPr>
          <w:rFonts w:ascii="Times New Roman" w:eastAsia="Calibri" w:hAnsi="Times New Roman" w:cs="Times New Roman"/>
          <w:bCs/>
          <w:sz w:val="24"/>
          <w:szCs w:val="24"/>
        </w:rPr>
        <w:t xml:space="preserve"> е</w:t>
      </w:r>
      <w:r w:rsidR="00A91058" w:rsidRPr="00FD4C39">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 xml:space="preserve"> че министърът на вътрешните работи</w:t>
      </w:r>
      <w:r w:rsidR="00A91058" w:rsidRPr="00FD4C39">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 xml:space="preserve"> в качеството му на АЛД</w:t>
      </w:r>
      <w:r w:rsidR="00A91058" w:rsidRPr="00FD4C39">
        <w:rPr>
          <w:rFonts w:ascii="Times New Roman" w:eastAsia="Calibri" w:hAnsi="Times New Roman" w:cs="Times New Roman"/>
          <w:bCs/>
          <w:sz w:val="24"/>
          <w:szCs w:val="24"/>
        </w:rPr>
        <w:t>,</w:t>
      </w:r>
      <w:r w:rsidRPr="00FD4C39">
        <w:rPr>
          <w:rFonts w:ascii="Times New Roman" w:eastAsia="Calibri" w:hAnsi="Times New Roman" w:cs="Times New Roman"/>
          <w:bCs/>
          <w:sz w:val="24"/>
          <w:szCs w:val="24"/>
        </w:rPr>
        <w:t xml:space="preserve"> може да извършва обрабо</w:t>
      </w:r>
      <w:r w:rsidR="00570A32">
        <w:rPr>
          <w:rFonts w:ascii="Times New Roman" w:eastAsia="Calibri" w:hAnsi="Times New Roman" w:cs="Times New Roman"/>
          <w:bCs/>
          <w:sz w:val="24"/>
          <w:szCs w:val="24"/>
        </w:rPr>
        <w:t>тване на лични данни чрез видео</w:t>
      </w:r>
      <w:r w:rsidRPr="00FD4C39">
        <w:rPr>
          <w:rFonts w:ascii="Times New Roman" w:eastAsia="Calibri" w:hAnsi="Times New Roman" w:cs="Times New Roman"/>
          <w:bCs/>
          <w:sz w:val="24"/>
          <w:szCs w:val="24"/>
        </w:rPr>
        <w:t>информация от автоматизираната информационна система „</w:t>
      </w:r>
      <w:proofErr w:type="spellStart"/>
      <w:r w:rsidR="00570A32">
        <w:rPr>
          <w:rFonts w:ascii="Times New Roman" w:eastAsia="Calibri" w:hAnsi="Times New Roman" w:cs="Times New Roman"/>
          <w:bCs/>
          <w:sz w:val="24"/>
          <w:szCs w:val="24"/>
        </w:rPr>
        <w:t>Видеозаснемане</w:t>
      </w:r>
      <w:proofErr w:type="spellEnd"/>
      <w:r w:rsidR="00570A32">
        <w:rPr>
          <w:rFonts w:ascii="Times New Roman" w:eastAsia="Calibri" w:hAnsi="Times New Roman" w:cs="Times New Roman"/>
          <w:bCs/>
          <w:sz w:val="24"/>
          <w:szCs w:val="24"/>
        </w:rPr>
        <w:t xml:space="preserve"> на пътен контрол“. В случая </w:t>
      </w:r>
      <w:r w:rsidRPr="00FD4C39">
        <w:rPr>
          <w:rFonts w:ascii="Times New Roman" w:eastAsia="Calibri" w:hAnsi="Times New Roman" w:cs="Times New Roman"/>
          <w:bCs/>
          <w:sz w:val="24"/>
          <w:szCs w:val="24"/>
        </w:rPr>
        <w:t>обработването е допустимо и законосъобразно на основание</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4,</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1,</w:t>
      </w:r>
      <w:r w:rsidR="00884B97">
        <w:rPr>
          <w:rFonts w:ascii="Times New Roman" w:eastAsia="Calibri" w:hAnsi="Times New Roman" w:cs="Times New Roman"/>
          <w:bCs/>
          <w:sz w:val="24"/>
          <w:szCs w:val="24"/>
        </w:rPr>
        <w:t xml:space="preserve"> т. </w:t>
      </w:r>
      <w:r w:rsidRPr="00FD4C39">
        <w:rPr>
          <w:rFonts w:ascii="Times New Roman" w:eastAsia="Calibri" w:hAnsi="Times New Roman" w:cs="Times New Roman"/>
          <w:bCs/>
          <w:sz w:val="24"/>
          <w:szCs w:val="24"/>
        </w:rPr>
        <w:t>6 от ЗЗЛД</w:t>
      </w:r>
      <w:r w:rsidR="004D42A2">
        <w:rPr>
          <w:rFonts w:ascii="Times New Roman" w:eastAsia="Calibri" w:hAnsi="Times New Roman" w:cs="Times New Roman"/>
          <w:bCs/>
          <w:sz w:val="24"/>
          <w:szCs w:val="24"/>
        </w:rPr>
        <w:t xml:space="preserve"> – </w:t>
      </w:r>
      <w:r w:rsidRPr="00FD4C39">
        <w:rPr>
          <w:rFonts w:ascii="Times New Roman" w:eastAsia="Calibri" w:hAnsi="Times New Roman" w:cs="Times New Roman"/>
          <w:bCs/>
          <w:sz w:val="24"/>
          <w:szCs w:val="24"/>
        </w:rPr>
        <w:t>упражняване на правомощия, предоставени на администратора на лични данни със специални закони (чл. 25,</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26 и</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91 от ЗМВР , както и</w:t>
      </w:r>
      <w:r w:rsidR="00884B97">
        <w:rPr>
          <w:rFonts w:ascii="Times New Roman" w:eastAsia="Calibri" w:hAnsi="Times New Roman" w:cs="Times New Roman"/>
          <w:bCs/>
          <w:sz w:val="24"/>
          <w:szCs w:val="24"/>
        </w:rPr>
        <w:t xml:space="preserve"> чл. </w:t>
      </w:r>
      <w:r w:rsidRPr="00FD4C39">
        <w:rPr>
          <w:rFonts w:ascii="Times New Roman" w:eastAsia="Calibri" w:hAnsi="Times New Roman" w:cs="Times New Roman"/>
          <w:bCs/>
          <w:sz w:val="24"/>
          <w:szCs w:val="24"/>
        </w:rPr>
        <w:t>165,</w:t>
      </w:r>
      <w:r w:rsidR="00884B97">
        <w:rPr>
          <w:rFonts w:ascii="Times New Roman" w:eastAsia="Calibri" w:hAnsi="Times New Roman" w:cs="Times New Roman"/>
          <w:bCs/>
          <w:sz w:val="24"/>
          <w:szCs w:val="24"/>
        </w:rPr>
        <w:t xml:space="preserve"> ал. </w:t>
      </w:r>
      <w:r w:rsidRPr="00FD4C39">
        <w:rPr>
          <w:rFonts w:ascii="Times New Roman" w:eastAsia="Calibri" w:hAnsi="Times New Roman" w:cs="Times New Roman"/>
          <w:bCs/>
          <w:sz w:val="24"/>
          <w:szCs w:val="24"/>
        </w:rPr>
        <w:t>2,</w:t>
      </w:r>
      <w:r w:rsidR="00884B97">
        <w:rPr>
          <w:rFonts w:ascii="Times New Roman" w:eastAsia="Calibri" w:hAnsi="Times New Roman" w:cs="Times New Roman"/>
          <w:bCs/>
          <w:sz w:val="24"/>
          <w:szCs w:val="24"/>
        </w:rPr>
        <w:t xml:space="preserve"> т. </w:t>
      </w:r>
      <w:r w:rsidRPr="00FD4C39">
        <w:rPr>
          <w:rFonts w:ascii="Times New Roman" w:eastAsia="Calibri" w:hAnsi="Times New Roman" w:cs="Times New Roman"/>
          <w:bCs/>
          <w:sz w:val="24"/>
          <w:szCs w:val="24"/>
        </w:rPr>
        <w:t>7 от ЗДвП).</w:t>
      </w:r>
    </w:p>
    <w:p w:rsidR="00695EBF" w:rsidRPr="00FD4C39" w:rsidRDefault="00695EBF" w:rsidP="007B189E">
      <w:pPr>
        <w:spacing w:after="0" w:line="360" w:lineRule="auto"/>
        <w:ind w:firstLine="709"/>
        <w:jc w:val="both"/>
        <w:rPr>
          <w:rFonts w:ascii="Times New Roman" w:eastAsia="Calibri" w:hAnsi="Times New Roman" w:cs="Times New Roman"/>
          <w:b/>
          <w:bCs/>
          <w:sz w:val="24"/>
          <w:szCs w:val="24"/>
        </w:rPr>
      </w:pPr>
    </w:p>
    <w:p w:rsidR="00FC725D" w:rsidRPr="00FD4C39" w:rsidRDefault="009E3A17" w:rsidP="007B189E">
      <w:pPr>
        <w:spacing w:after="0" w:line="360" w:lineRule="auto"/>
        <w:ind w:firstLine="709"/>
        <w:jc w:val="both"/>
        <w:rPr>
          <w:rFonts w:ascii="Times New Roman" w:eastAsia="Calibri" w:hAnsi="Times New Roman" w:cs="Times New Roman"/>
          <w:b/>
          <w:bCs/>
          <w:sz w:val="24"/>
          <w:szCs w:val="24"/>
        </w:rPr>
      </w:pPr>
      <w:r w:rsidRPr="00FD4C39">
        <w:rPr>
          <w:rFonts w:ascii="Times New Roman" w:eastAsia="Calibri" w:hAnsi="Times New Roman" w:cs="Times New Roman"/>
          <w:b/>
          <w:bCs/>
          <w:sz w:val="24"/>
          <w:szCs w:val="24"/>
        </w:rPr>
        <w:t xml:space="preserve">2. </w:t>
      </w:r>
      <w:r w:rsidR="00FC725D" w:rsidRPr="00FD4C39">
        <w:rPr>
          <w:rFonts w:ascii="Times New Roman" w:eastAsia="Calibri" w:hAnsi="Times New Roman" w:cs="Times New Roman"/>
          <w:b/>
          <w:bCs/>
          <w:sz w:val="24"/>
          <w:szCs w:val="24"/>
        </w:rPr>
        <w:t>Трансфери на лични данни</w:t>
      </w:r>
    </w:p>
    <w:p w:rsidR="00660919" w:rsidRPr="00FD4C39" w:rsidRDefault="00EF364C" w:rsidP="007B189E">
      <w:pPr>
        <w:spacing w:after="0" w:line="360" w:lineRule="auto"/>
        <w:ind w:firstLine="709"/>
        <w:jc w:val="both"/>
        <w:rPr>
          <w:rFonts w:ascii="Times New Roman" w:hAnsi="Times New Roman" w:cs="Times New Roman"/>
          <w:sz w:val="24"/>
          <w:szCs w:val="24"/>
        </w:rPr>
      </w:pPr>
      <w:r w:rsidRPr="00FD4C39">
        <w:rPr>
          <w:rFonts w:ascii="Times New Roman" w:eastAsia="Calibri" w:hAnsi="Times New Roman" w:cs="Times New Roman"/>
          <w:bCs/>
          <w:sz w:val="24"/>
          <w:szCs w:val="24"/>
        </w:rPr>
        <w:tab/>
        <w:t xml:space="preserve">През отчетния период </w:t>
      </w:r>
      <w:r w:rsidR="00D87FFB" w:rsidRPr="00FD4C39">
        <w:rPr>
          <w:rFonts w:ascii="Times New Roman" w:eastAsia="Calibri" w:hAnsi="Times New Roman" w:cs="Times New Roman"/>
          <w:bCs/>
          <w:sz w:val="24"/>
          <w:szCs w:val="24"/>
        </w:rPr>
        <w:t xml:space="preserve">към </w:t>
      </w:r>
      <w:r w:rsidR="00FE7018" w:rsidRPr="00FD4C39">
        <w:rPr>
          <w:rFonts w:ascii="Times New Roman" w:eastAsia="Calibri" w:hAnsi="Times New Roman" w:cs="Times New Roman"/>
          <w:bCs/>
          <w:sz w:val="24"/>
          <w:szCs w:val="24"/>
        </w:rPr>
        <w:t>КЗЛД</w:t>
      </w:r>
      <w:r w:rsidR="00786BAB" w:rsidRPr="00FD4C39">
        <w:rPr>
          <w:rFonts w:ascii="Times New Roman" w:eastAsia="Calibri" w:hAnsi="Times New Roman" w:cs="Times New Roman"/>
          <w:bCs/>
          <w:sz w:val="24"/>
          <w:szCs w:val="24"/>
        </w:rPr>
        <w:t xml:space="preserve"> </w:t>
      </w:r>
      <w:r w:rsidR="00380ACE" w:rsidRPr="00FD4C39">
        <w:rPr>
          <w:rFonts w:ascii="Times New Roman" w:eastAsia="Calibri" w:hAnsi="Times New Roman" w:cs="Times New Roman"/>
          <w:bCs/>
          <w:sz w:val="24"/>
          <w:szCs w:val="24"/>
        </w:rPr>
        <w:t>са отправени 11</w:t>
      </w:r>
      <w:r w:rsidR="00757D63" w:rsidRPr="00FD4C39">
        <w:rPr>
          <w:rFonts w:ascii="Times New Roman" w:eastAsia="Calibri" w:hAnsi="Times New Roman" w:cs="Times New Roman"/>
          <w:bCs/>
          <w:sz w:val="24"/>
          <w:szCs w:val="24"/>
        </w:rPr>
        <w:t xml:space="preserve"> </w:t>
      </w:r>
      <w:r w:rsidRPr="00FD4C39">
        <w:rPr>
          <w:rFonts w:ascii="Times New Roman" w:eastAsia="Calibri" w:hAnsi="Times New Roman" w:cs="Times New Roman"/>
          <w:bCs/>
          <w:sz w:val="24"/>
          <w:szCs w:val="24"/>
        </w:rPr>
        <w:t xml:space="preserve">искания за </w:t>
      </w:r>
      <w:r w:rsidR="00380ACE" w:rsidRPr="00FD4C39">
        <w:rPr>
          <w:rFonts w:ascii="Times New Roman" w:eastAsia="Calibri" w:hAnsi="Times New Roman" w:cs="Times New Roman"/>
          <w:bCs/>
          <w:sz w:val="24"/>
          <w:szCs w:val="24"/>
        </w:rPr>
        <w:t>разрешаване на</w:t>
      </w:r>
      <w:r w:rsidRPr="00FD4C39">
        <w:rPr>
          <w:rFonts w:ascii="Times New Roman" w:eastAsia="Calibri" w:hAnsi="Times New Roman" w:cs="Times New Roman"/>
          <w:bCs/>
          <w:sz w:val="24"/>
          <w:szCs w:val="24"/>
        </w:rPr>
        <w:t xml:space="preserve"> трансфери на лични данни в трети държави по смисъла на</w:t>
      </w:r>
      <w:r w:rsidRPr="00FD4C39">
        <w:rPr>
          <w:rFonts w:ascii="Times New Roman" w:hAnsi="Times New Roman" w:cs="Times New Roman"/>
          <w:b/>
          <w:sz w:val="24"/>
          <w:szCs w:val="24"/>
        </w:rPr>
        <w:t xml:space="preserve"> </w:t>
      </w:r>
      <w:r w:rsidRPr="00FD4C39">
        <w:rPr>
          <w:rFonts w:ascii="Times New Roman" w:hAnsi="Times New Roman" w:cs="Times New Roman"/>
          <w:sz w:val="24"/>
          <w:szCs w:val="24"/>
        </w:rPr>
        <w:t>ЗЗЛД.</w:t>
      </w:r>
      <w:r w:rsidR="00380ACE" w:rsidRPr="00FD4C39">
        <w:rPr>
          <w:rFonts w:ascii="Times New Roman" w:hAnsi="Times New Roman" w:cs="Times New Roman"/>
          <w:sz w:val="24"/>
          <w:szCs w:val="24"/>
        </w:rPr>
        <w:t xml:space="preserve"> </w:t>
      </w:r>
    </w:p>
    <w:p w:rsidR="00660919" w:rsidRPr="00FD4C39" w:rsidRDefault="00EF364C" w:rsidP="007B189E">
      <w:pPr>
        <w:spacing w:after="0" w:line="360" w:lineRule="auto"/>
        <w:ind w:firstLine="709"/>
        <w:jc w:val="both"/>
        <w:rPr>
          <w:rFonts w:ascii="Times New Roman" w:hAnsi="Times New Roman" w:cs="Times New Roman"/>
          <w:bCs/>
          <w:sz w:val="24"/>
          <w:szCs w:val="24"/>
        </w:rPr>
      </w:pPr>
      <w:r w:rsidRPr="00FD4C39">
        <w:rPr>
          <w:rFonts w:ascii="Times New Roman" w:hAnsi="Times New Roman" w:cs="Times New Roman"/>
          <w:bCs/>
          <w:sz w:val="24"/>
          <w:szCs w:val="24"/>
        </w:rPr>
        <w:t xml:space="preserve">В обобщен вид позицията </w:t>
      </w:r>
      <w:r w:rsidR="00757D63" w:rsidRPr="00FD4C39">
        <w:rPr>
          <w:rFonts w:ascii="Times New Roman" w:hAnsi="Times New Roman" w:cs="Times New Roman"/>
          <w:bCs/>
          <w:sz w:val="24"/>
          <w:szCs w:val="24"/>
        </w:rPr>
        <w:t xml:space="preserve">на КЗЛД по искания за разрешаване на предоставяне на данни в трети държави </w:t>
      </w:r>
      <w:r w:rsidRPr="00FD4C39">
        <w:rPr>
          <w:rFonts w:ascii="Times New Roman" w:hAnsi="Times New Roman" w:cs="Times New Roman"/>
          <w:bCs/>
          <w:sz w:val="24"/>
          <w:szCs w:val="24"/>
        </w:rPr>
        <w:t xml:space="preserve">е следната: </w:t>
      </w:r>
      <w:r w:rsidR="00570A32">
        <w:rPr>
          <w:rFonts w:ascii="Times New Roman" w:hAnsi="Times New Roman" w:cs="Times New Roman"/>
          <w:sz w:val="24"/>
          <w:szCs w:val="24"/>
        </w:rPr>
        <w:t>в</w:t>
      </w:r>
      <w:r w:rsidRPr="00FD4C39">
        <w:rPr>
          <w:rFonts w:ascii="Times New Roman" w:hAnsi="Times New Roman" w:cs="Times New Roman"/>
          <w:sz w:val="24"/>
          <w:szCs w:val="24"/>
        </w:rPr>
        <w:t xml:space="preserve"> случаите на осъществяване на трансфер на лични данни</w:t>
      </w:r>
      <w:r w:rsidR="00570A32">
        <w:rPr>
          <w:rFonts w:ascii="Times New Roman" w:hAnsi="Times New Roman" w:cs="Times New Roman"/>
          <w:sz w:val="24"/>
          <w:szCs w:val="24"/>
        </w:rPr>
        <w:t>,</w:t>
      </w:r>
      <w:r w:rsidRPr="00FD4C39">
        <w:rPr>
          <w:rFonts w:ascii="Times New Roman" w:hAnsi="Times New Roman" w:cs="Times New Roman"/>
          <w:sz w:val="24"/>
          <w:szCs w:val="24"/>
        </w:rPr>
        <w:t xml:space="preserve"> на основание</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36а,</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5,</w:t>
      </w:r>
      <w:r w:rsidR="00884B97">
        <w:rPr>
          <w:rFonts w:ascii="Times New Roman" w:hAnsi="Times New Roman" w:cs="Times New Roman"/>
          <w:sz w:val="24"/>
          <w:szCs w:val="24"/>
        </w:rPr>
        <w:t xml:space="preserve"> т. </w:t>
      </w:r>
      <w:r w:rsidRPr="00FD4C39">
        <w:rPr>
          <w:rFonts w:ascii="Times New Roman" w:hAnsi="Times New Roman" w:cs="Times New Roman"/>
          <w:sz w:val="24"/>
          <w:szCs w:val="24"/>
        </w:rPr>
        <w:t xml:space="preserve">2 от ЗЗЛД, </w:t>
      </w:r>
      <w:r w:rsidR="00580030" w:rsidRPr="00FD4C39">
        <w:rPr>
          <w:rFonts w:ascii="Times New Roman" w:hAnsi="Times New Roman" w:cs="Times New Roman"/>
          <w:sz w:val="24"/>
          <w:szCs w:val="24"/>
        </w:rPr>
        <w:t>АЛД</w:t>
      </w:r>
      <w:r w:rsidR="00570A32">
        <w:rPr>
          <w:rFonts w:ascii="Times New Roman" w:hAnsi="Times New Roman" w:cs="Times New Roman"/>
          <w:sz w:val="24"/>
          <w:szCs w:val="24"/>
        </w:rPr>
        <w:t>,</w:t>
      </w:r>
      <w:r w:rsidRPr="00FD4C39">
        <w:rPr>
          <w:rFonts w:ascii="Times New Roman" w:hAnsi="Times New Roman" w:cs="Times New Roman"/>
          <w:sz w:val="24"/>
          <w:szCs w:val="24"/>
        </w:rPr>
        <w:t xml:space="preserve"> не следва да подава искане </w:t>
      </w:r>
      <w:r w:rsidRPr="00FD4C39">
        <w:rPr>
          <w:rFonts w:ascii="Times New Roman" w:hAnsi="Times New Roman" w:cs="Times New Roman"/>
          <w:sz w:val="24"/>
          <w:szCs w:val="24"/>
        </w:rPr>
        <w:lastRenderedPageBreak/>
        <w:t>за разреша</w:t>
      </w:r>
      <w:r w:rsidR="00570A32">
        <w:rPr>
          <w:rFonts w:ascii="Times New Roman" w:hAnsi="Times New Roman" w:cs="Times New Roman"/>
          <w:sz w:val="24"/>
          <w:szCs w:val="24"/>
        </w:rPr>
        <w:t>ване на трансфер. В тези случаи</w:t>
      </w:r>
      <w:r w:rsidRPr="00FD4C39">
        <w:rPr>
          <w:rFonts w:ascii="Times New Roman" w:hAnsi="Times New Roman" w:cs="Times New Roman"/>
          <w:sz w:val="24"/>
          <w:szCs w:val="24"/>
        </w:rPr>
        <w:t xml:space="preserve"> същият следва да подаде уведомление до КЗЛД за предстоящия трансфер, като приложи доказателства относно наличието на сключени стандартни договорни клаузи. </w:t>
      </w:r>
    </w:p>
    <w:p w:rsidR="00507811" w:rsidRPr="00FD4C39" w:rsidRDefault="00EF364C"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 случаите на осъществяване на трансфер на лични данни на основание</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36а,</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5,</w:t>
      </w:r>
      <w:r w:rsidR="00884B97">
        <w:rPr>
          <w:rFonts w:ascii="Times New Roman" w:hAnsi="Times New Roman" w:cs="Times New Roman"/>
          <w:sz w:val="24"/>
          <w:szCs w:val="24"/>
        </w:rPr>
        <w:t xml:space="preserve"> т. </w:t>
      </w:r>
      <w:r w:rsidRPr="00FD4C39">
        <w:rPr>
          <w:rFonts w:ascii="Times New Roman" w:hAnsi="Times New Roman" w:cs="Times New Roman"/>
          <w:sz w:val="24"/>
          <w:szCs w:val="24"/>
        </w:rPr>
        <w:t xml:space="preserve">1 от ЗЗЛД, </w:t>
      </w:r>
      <w:r w:rsidR="00580030" w:rsidRPr="00FD4C39">
        <w:rPr>
          <w:rFonts w:ascii="Times New Roman" w:hAnsi="Times New Roman" w:cs="Times New Roman"/>
          <w:sz w:val="24"/>
          <w:szCs w:val="24"/>
        </w:rPr>
        <w:t>АЛД</w:t>
      </w:r>
      <w:r w:rsidRPr="00FD4C39">
        <w:rPr>
          <w:rFonts w:ascii="Times New Roman" w:hAnsi="Times New Roman" w:cs="Times New Roman"/>
          <w:sz w:val="24"/>
          <w:szCs w:val="24"/>
        </w:rPr>
        <w:t xml:space="preserve"> не следва да подава ис</w:t>
      </w:r>
      <w:r w:rsidR="00570A32">
        <w:rPr>
          <w:rFonts w:ascii="Times New Roman" w:hAnsi="Times New Roman" w:cs="Times New Roman"/>
          <w:sz w:val="24"/>
          <w:szCs w:val="24"/>
        </w:rPr>
        <w:t>кане за разрешаване на трансфер</w:t>
      </w:r>
      <w:r w:rsidRPr="00FD4C39">
        <w:rPr>
          <w:rFonts w:ascii="Times New Roman" w:hAnsi="Times New Roman" w:cs="Times New Roman"/>
          <w:sz w:val="24"/>
          <w:szCs w:val="24"/>
        </w:rPr>
        <w:t xml:space="preserve"> </w:t>
      </w:r>
      <w:r w:rsidR="00BC068B" w:rsidRPr="00FD4C39">
        <w:rPr>
          <w:rFonts w:ascii="Times New Roman" w:hAnsi="Times New Roman" w:cs="Times New Roman"/>
          <w:sz w:val="24"/>
          <w:szCs w:val="24"/>
        </w:rPr>
        <w:t>тогава, когато има</w:t>
      </w:r>
      <w:r w:rsidRPr="00FD4C39">
        <w:rPr>
          <w:rFonts w:ascii="Times New Roman" w:hAnsi="Times New Roman" w:cs="Times New Roman"/>
          <w:sz w:val="24"/>
          <w:szCs w:val="24"/>
        </w:rPr>
        <w:t xml:space="preserve"> решение на Европейската комисия, с което тя се е произнесла, че третата държава, в която се предоставят лични данни, осигурява адекватно ниво на защита. </w:t>
      </w:r>
      <w:r w:rsidR="00580030" w:rsidRPr="00FD4C39">
        <w:rPr>
          <w:rFonts w:ascii="Times New Roman" w:hAnsi="Times New Roman" w:cs="Times New Roman"/>
          <w:sz w:val="24"/>
          <w:szCs w:val="24"/>
        </w:rPr>
        <w:t>АЛД</w:t>
      </w:r>
      <w:r w:rsidRPr="00FD4C39">
        <w:rPr>
          <w:rFonts w:ascii="Times New Roman" w:hAnsi="Times New Roman" w:cs="Times New Roman"/>
          <w:sz w:val="24"/>
          <w:szCs w:val="24"/>
        </w:rPr>
        <w:t xml:space="preserve"> следва да заяви предоставянето на данни във водения от КЗЛД регистър по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42,</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1 от ПДКЗЛДНА, като посочи съответната държава на получателя на данните.</w:t>
      </w:r>
    </w:p>
    <w:p w:rsidR="00507811" w:rsidRPr="00FD4C39" w:rsidRDefault="00EF364C"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 случаите, в които договорът за предоставяне</w:t>
      </w:r>
      <w:r w:rsidR="00570A32">
        <w:rPr>
          <w:rFonts w:ascii="Times New Roman" w:hAnsi="Times New Roman" w:cs="Times New Roman"/>
          <w:sz w:val="24"/>
          <w:szCs w:val="24"/>
        </w:rPr>
        <w:t xml:space="preserve"> на данни е сключен с дружество получател</w:t>
      </w:r>
      <w:r w:rsidRPr="00FD4C39">
        <w:rPr>
          <w:rFonts w:ascii="Times New Roman" w:hAnsi="Times New Roman" w:cs="Times New Roman"/>
          <w:sz w:val="24"/>
          <w:szCs w:val="24"/>
        </w:rPr>
        <w:t xml:space="preserve"> със седалище и управление в Съединените американски щати, което е включено в списъка на Сейф </w:t>
      </w:r>
      <w:proofErr w:type="spellStart"/>
      <w:r w:rsidRPr="00FD4C39">
        <w:rPr>
          <w:rFonts w:ascii="Times New Roman" w:hAnsi="Times New Roman" w:cs="Times New Roman"/>
          <w:sz w:val="24"/>
          <w:szCs w:val="24"/>
        </w:rPr>
        <w:t>Харбър</w:t>
      </w:r>
      <w:proofErr w:type="spellEnd"/>
      <w:r w:rsidR="000B664A" w:rsidRPr="00FD4C39">
        <w:rPr>
          <w:rStyle w:val="FootnoteReference"/>
          <w:rFonts w:ascii="Times New Roman" w:hAnsi="Times New Roman" w:cs="Times New Roman"/>
          <w:sz w:val="24"/>
          <w:szCs w:val="24"/>
        </w:rPr>
        <w:footnoteReference w:id="1"/>
      </w:r>
      <w:r w:rsidR="00142EEA" w:rsidRPr="00FD4C39">
        <w:rPr>
          <w:rFonts w:ascii="Times New Roman" w:hAnsi="Times New Roman" w:cs="Times New Roman"/>
          <w:sz w:val="24"/>
          <w:szCs w:val="24"/>
        </w:rPr>
        <w:t xml:space="preserve"> </w:t>
      </w:r>
      <w:r w:rsidRPr="00FD4C39">
        <w:rPr>
          <w:rFonts w:ascii="Times New Roman" w:hAnsi="Times New Roman" w:cs="Times New Roman"/>
          <w:sz w:val="24"/>
          <w:szCs w:val="24"/>
        </w:rPr>
        <w:t xml:space="preserve">и е декларирало пред Департамента по търговия на САЩ, че ще се придържа към така наречената Сейф </w:t>
      </w:r>
      <w:proofErr w:type="spellStart"/>
      <w:r w:rsidRPr="00FD4C39">
        <w:rPr>
          <w:rFonts w:ascii="Times New Roman" w:hAnsi="Times New Roman" w:cs="Times New Roman"/>
          <w:sz w:val="24"/>
          <w:szCs w:val="24"/>
        </w:rPr>
        <w:t>Харбър</w:t>
      </w:r>
      <w:proofErr w:type="spellEnd"/>
      <w:r w:rsidRPr="00FD4C39">
        <w:rPr>
          <w:rFonts w:ascii="Times New Roman" w:hAnsi="Times New Roman" w:cs="Times New Roman"/>
          <w:sz w:val="24"/>
          <w:szCs w:val="24"/>
        </w:rPr>
        <w:t xml:space="preserve"> рамка</w:t>
      </w:r>
      <w:r w:rsidR="00F4358B" w:rsidRPr="00FD4C39">
        <w:rPr>
          <w:rFonts w:ascii="Times New Roman" w:hAnsi="Times New Roman" w:cs="Times New Roman"/>
          <w:sz w:val="24"/>
          <w:szCs w:val="24"/>
        </w:rPr>
        <w:t>,</w:t>
      </w:r>
      <w:r w:rsidRPr="00FD4C39">
        <w:rPr>
          <w:rFonts w:ascii="Times New Roman" w:hAnsi="Times New Roman" w:cs="Times New Roman"/>
          <w:sz w:val="24"/>
          <w:szCs w:val="24"/>
        </w:rPr>
        <w:t xml:space="preserve"> </w:t>
      </w:r>
      <w:r w:rsidR="00F4358B" w:rsidRPr="00FD4C39">
        <w:rPr>
          <w:rFonts w:ascii="Times New Roman" w:hAnsi="Times New Roman" w:cs="Times New Roman"/>
          <w:bCs/>
          <w:iCs/>
          <w:sz w:val="24"/>
          <w:szCs w:val="24"/>
        </w:rPr>
        <w:t>е нео</w:t>
      </w:r>
      <w:r w:rsidR="00B71AD5" w:rsidRPr="00FD4C39">
        <w:rPr>
          <w:rFonts w:ascii="Times New Roman" w:hAnsi="Times New Roman" w:cs="Times New Roman"/>
          <w:bCs/>
          <w:iCs/>
          <w:sz w:val="24"/>
          <w:szCs w:val="24"/>
        </w:rPr>
        <w:t>б</w:t>
      </w:r>
      <w:r w:rsidR="00CB4700">
        <w:rPr>
          <w:rFonts w:ascii="Times New Roman" w:hAnsi="Times New Roman" w:cs="Times New Roman"/>
          <w:bCs/>
          <w:iCs/>
          <w:sz w:val="24"/>
          <w:szCs w:val="24"/>
        </w:rPr>
        <w:t>ходимо подаването на</w:t>
      </w:r>
      <w:r w:rsidRPr="00FD4C39">
        <w:rPr>
          <w:rFonts w:ascii="Times New Roman" w:hAnsi="Times New Roman" w:cs="Times New Roman"/>
          <w:bCs/>
          <w:iCs/>
          <w:sz w:val="24"/>
          <w:szCs w:val="24"/>
        </w:rPr>
        <w:t xml:space="preserve"> искане до КЗЛД за разрешение за предоставяне на лични данни в трета държава. </w:t>
      </w:r>
      <w:r w:rsidRPr="00FD4C39">
        <w:rPr>
          <w:rFonts w:ascii="Times New Roman" w:hAnsi="Times New Roman" w:cs="Times New Roman"/>
          <w:sz w:val="24"/>
          <w:szCs w:val="24"/>
        </w:rPr>
        <w:t>В този случай се прилага</w:t>
      </w:r>
      <w:r w:rsidR="00CB4700">
        <w:rPr>
          <w:rFonts w:ascii="Times New Roman" w:hAnsi="Times New Roman" w:cs="Times New Roman"/>
          <w:sz w:val="24"/>
          <w:szCs w:val="24"/>
        </w:rPr>
        <w:t>т</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36а,</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7 и</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36б,</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 xml:space="preserve">1 от ЗЗЛД. </w:t>
      </w:r>
    </w:p>
    <w:p w:rsidR="00660919" w:rsidRPr="00FD4C39" w:rsidRDefault="00EF364C"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Във всички случаи на подадено искане за разрешаване на трансфер на някои от основания</w:t>
      </w:r>
      <w:r w:rsidR="00BC068B" w:rsidRPr="00FD4C39">
        <w:rPr>
          <w:rFonts w:ascii="Times New Roman" w:hAnsi="Times New Roman" w:cs="Times New Roman"/>
          <w:sz w:val="24"/>
          <w:szCs w:val="24"/>
        </w:rPr>
        <w:t>та</w:t>
      </w:r>
      <w:r w:rsidRPr="00FD4C39">
        <w:rPr>
          <w:rFonts w:ascii="Times New Roman" w:hAnsi="Times New Roman" w:cs="Times New Roman"/>
          <w:sz w:val="24"/>
          <w:szCs w:val="24"/>
        </w:rPr>
        <w:t xml:space="preserve"> по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36а,</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7, в т.ч. и</w:t>
      </w:r>
      <w:r w:rsidR="00884B97">
        <w:rPr>
          <w:rFonts w:ascii="Times New Roman" w:hAnsi="Times New Roman" w:cs="Times New Roman"/>
          <w:sz w:val="24"/>
          <w:szCs w:val="24"/>
        </w:rPr>
        <w:t xml:space="preserve"> т. </w:t>
      </w:r>
      <w:r w:rsidRPr="00FD4C39">
        <w:rPr>
          <w:rFonts w:ascii="Times New Roman" w:hAnsi="Times New Roman" w:cs="Times New Roman"/>
          <w:sz w:val="24"/>
          <w:szCs w:val="24"/>
        </w:rPr>
        <w:t xml:space="preserve">1 от </w:t>
      </w:r>
      <w:r w:rsidR="00F430A3" w:rsidRPr="00FD4C39">
        <w:rPr>
          <w:rFonts w:ascii="Times New Roman" w:hAnsi="Times New Roman" w:cs="Times New Roman"/>
          <w:sz w:val="24"/>
          <w:szCs w:val="24"/>
        </w:rPr>
        <w:t>ЗЗЛД</w:t>
      </w:r>
      <w:r w:rsidRPr="00FD4C39">
        <w:rPr>
          <w:rFonts w:ascii="Times New Roman" w:hAnsi="Times New Roman" w:cs="Times New Roman"/>
          <w:sz w:val="24"/>
          <w:szCs w:val="24"/>
        </w:rPr>
        <w:t xml:space="preserve">, </w:t>
      </w:r>
      <w:r w:rsidR="00FE7018" w:rsidRPr="00FD4C39">
        <w:rPr>
          <w:rFonts w:ascii="Times New Roman" w:hAnsi="Times New Roman" w:cs="Times New Roman"/>
          <w:sz w:val="24"/>
          <w:szCs w:val="24"/>
        </w:rPr>
        <w:t>КЗЛД</w:t>
      </w:r>
      <w:r w:rsidR="00142EEA" w:rsidRPr="00FD4C39">
        <w:rPr>
          <w:rFonts w:ascii="Times New Roman" w:hAnsi="Times New Roman" w:cs="Times New Roman"/>
          <w:sz w:val="24"/>
          <w:szCs w:val="24"/>
        </w:rPr>
        <w:t xml:space="preserve"> </w:t>
      </w:r>
      <w:r w:rsidRPr="00FD4C39">
        <w:rPr>
          <w:rFonts w:ascii="Times New Roman" w:hAnsi="Times New Roman" w:cs="Times New Roman"/>
          <w:sz w:val="24"/>
          <w:szCs w:val="24"/>
        </w:rPr>
        <w:t>осъществява преценка, както относно наличието на адекватно ниво на защита на данните, така също и</w:t>
      </w:r>
      <w:r w:rsidR="00F4358B" w:rsidRPr="00FD4C39">
        <w:rPr>
          <w:rFonts w:ascii="Times New Roman" w:hAnsi="Times New Roman" w:cs="Times New Roman"/>
          <w:sz w:val="24"/>
          <w:szCs w:val="24"/>
        </w:rPr>
        <w:t xml:space="preserve"> относно</w:t>
      </w:r>
      <w:r w:rsidRPr="00FD4C39">
        <w:rPr>
          <w:rFonts w:ascii="Times New Roman" w:hAnsi="Times New Roman" w:cs="Times New Roman"/>
          <w:sz w:val="24"/>
          <w:szCs w:val="24"/>
        </w:rPr>
        <w:t xml:space="preserve"> предприетите мерки за тяхната защита във всеки един конкретен случай. </w:t>
      </w:r>
      <w:r w:rsidRPr="00FD4C39">
        <w:rPr>
          <w:rFonts w:ascii="Times New Roman" w:hAnsi="Times New Roman" w:cs="Times New Roman"/>
          <w:bCs/>
          <w:sz w:val="24"/>
          <w:szCs w:val="24"/>
        </w:rPr>
        <w:t>Обработването на лични да</w:t>
      </w:r>
      <w:r w:rsidR="00CB4700">
        <w:rPr>
          <w:rFonts w:ascii="Times New Roman" w:hAnsi="Times New Roman" w:cs="Times New Roman"/>
          <w:bCs/>
          <w:sz w:val="24"/>
          <w:szCs w:val="24"/>
        </w:rPr>
        <w:t>нни</w:t>
      </w:r>
      <w:r w:rsidRPr="00FD4C39">
        <w:rPr>
          <w:rFonts w:ascii="Times New Roman" w:hAnsi="Times New Roman" w:cs="Times New Roman"/>
          <w:bCs/>
          <w:sz w:val="24"/>
          <w:szCs w:val="24"/>
        </w:rPr>
        <w:t xml:space="preserve"> за цели</w:t>
      </w:r>
      <w:r w:rsidR="007B75B6" w:rsidRPr="00FD4C39">
        <w:rPr>
          <w:rFonts w:ascii="Times New Roman" w:hAnsi="Times New Roman" w:cs="Times New Roman"/>
          <w:bCs/>
          <w:sz w:val="24"/>
          <w:szCs w:val="24"/>
        </w:rPr>
        <w:t>,</w:t>
      </w:r>
      <w:r w:rsidRPr="00FD4C39">
        <w:rPr>
          <w:rFonts w:ascii="Times New Roman" w:hAnsi="Times New Roman" w:cs="Times New Roman"/>
          <w:bCs/>
          <w:sz w:val="24"/>
          <w:szCs w:val="24"/>
        </w:rPr>
        <w:t xml:space="preserve"> различни от тези, за които първоначално </w:t>
      </w:r>
      <w:r w:rsidR="00CB4700">
        <w:rPr>
          <w:rFonts w:ascii="Times New Roman" w:hAnsi="Times New Roman" w:cs="Times New Roman"/>
          <w:bCs/>
          <w:sz w:val="24"/>
          <w:szCs w:val="24"/>
        </w:rPr>
        <w:t>се</w:t>
      </w:r>
      <w:r w:rsidRPr="00FD4C39">
        <w:rPr>
          <w:rFonts w:ascii="Times New Roman" w:hAnsi="Times New Roman" w:cs="Times New Roman"/>
          <w:bCs/>
          <w:sz w:val="24"/>
          <w:szCs w:val="24"/>
        </w:rPr>
        <w:t xml:space="preserve"> </w:t>
      </w:r>
      <w:r w:rsidR="00CB4700">
        <w:rPr>
          <w:rFonts w:ascii="Times New Roman" w:hAnsi="Times New Roman" w:cs="Times New Roman"/>
          <w:bCs/>
          <w:sz w:val="24"/>
          <w:szCs w:val="24"/>
        </w:rPr>
        <w:t>събират</w:t>
      </w:r>
      <w:r w:rsidR="005752F7" w:rsidRPr="00FD4C39">
        <w:rPr>
          <w:rFonts w:ascii="Times New Roman" w:hAnsi="Times New Roman" w:cs="Times New Roman"/>
          <w:bCs/>
          <w:sz w:val="24"/>
          <w:szCs w:val="24"/>
        </w:rPr>
        <w:t>,</w:t>
      </w:r>
      <w:r w:rsidRPr="00FD4C39">
        <w:rPr>
          <w:rFonts w:ascii="Times New Roman" w:hAnsi="Times New Roman" w:cs="Times New Roman"/>
          <w:bCs/>
          <w:sz w:val="24"/>
          <w:szCs w:val="24"/>
        </w:rPr>
        <w:t xml:space="preserve"> ще се яви </w:t>
      </w:r>
      <w:proofErr w:type="spellStart"/>
      <w:r w:rsidRPr="00FD4C39">
        <w:rPr>
          <w:rFonts w:ascii="Times New Roman" w:hAnsi="Times New Roman" w:cs="Times New Roman"/>
          <w:bCs/>
          <w:sz w:val="24"/>
          <w:szCs w:val="24"/>
        </w:rPr>
        <w:t>последващо</w:t>
      </w:r>
      <w:proofErr w:type="spellEnd"/>
      <w:r w:rsidRPr="00FD4C39">
        <w:rPr>
          <w:rFonts w:ascii="Times New Roman" w:hAnsi="Times New Roman" w:cs="Times New Roman"/>
          <w:bCs/>
          <w:sz w:val="24"/>
          <w:szCs w:val="24"/>
        </w:rPr>
        <w:t xml:space="preserve"> обработване и за него следва да е налице самостоятелно условие за допустимост на обработването (чл. 4,</w:t>
      </w:r>
      <w:r w:rsidR="00884B97">
        <w:rPr>
          <w:rFonts w:ascii="Times New Roman" w:hAnsi="Times New Roman" w:cs="Times New Roman"/>
          <w:bCs/>
          <w:sz w:val="24"/>
          <w:szCs w:val="24"/>
        </w:rPr>
        <w:t xml:space="preserve"> ал. </w:t>
      </w:r>
      <w:r w:rsidRPr="00FD4C39">
        <w:rPr>
          <w:rFonts w:ascii="Times New Roman" w:hAnsi="Times New Roman" w:cs="Times New Roman"/>
          <w:bCs/>
          <w:sz w:val="24"/>
          <w:szCs w:val="24"/>
        </w:rPr>
        <w:t xml:space="preserve">1 от ЗЗЛД). </w:t>
      </w:r>
      <w:r w:rsidRPr="00FD4C39">
        <w:rPr>
          <w:rFonts w:ascii="Times New Roman" w:hAnsi="Times New Roman" w:cs="Times New Roman"/>
          <w:sz w:val="24"/>
          <w:szCs w:val="24"/>
        </w:rPr>
        <w:t>Съгласието на физическите лица е едно от алтернативно посочените условия, при които е допус</w:t>
      </w:r>
      <w:r w:rsidR="00CB4700">
        <w:rPr>
          <w:rFonts w:ascii="Times New Roman" w:hAnsi="Times New Roman" w:cs="Times New Roman"/>
          <w:sz w:val="24"/>
          <w:szCs w:val="24"/>
        </w:rPr>
        <w:t>тимо обработване на лични данни</w:t>
      </w:r>
      <w:r w:rsidRPr="00FD4C39">
        <w:rPr>
          <w:rFonts w:ascii="Times New Roman" w:hAnsi="Times New Roman" w:cs="Times New Roman"/>
          <w:sz w:val="24"/>
          <w:szCs w:val="24"/>
        </w:rPr>
        <w:t xml:space="preserve"> съгласно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4,</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1 от ЗЗЛД и едно от условията за предоставянето им в трета държава (чл. 36а,</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7,</w:t>
      </w:r>
      <w:r w:rsidR="00884B97">
        <w:rPr>
          <w:rFonts w:ascii="Times New Roman" w:hAnsi="Times New Roman" w:cs="Times New Roman"/>
          <w:sz w:val="24"/>
          <w:szCs w:val="24"/>
        </w:rPr>
        <w:t xml:space="preserve"> т. </w:t>
      </w:r>
      <w:r w:rsidRPr="00FD4C39">
        <w:rPr>
          <w:rFonts w:ascii="Times New Roman" w:hAnsi="Times New Roman" w:cs="Times New Roman"/>
          <w:sz w:val="24"/>
          <w:szCs w:val="24"/>
        </w:rPr>
        <w:t>1 от ЗЗЛД). Съгласие</w:t>
      </w:r>
      <w:r w:rsidR="009120ED" w:rsidRPr="00FD4C39">
        <w:rPr>
          <w:rFonts w:ascii="Times New Roman" w:hAnsi="Times New Roman" w:cs="Times New Roman"/>
          <w:sz w:val="24"/>
          <w:szCs w:val="24"/>
        </w:rPr>
        <w:t>то ще е задължително да бъде на</w:t>
      </w:r>
      <w:r w:rsidR="00CB4700">
        <w:rPr>
          <w:rFonts w:ascii="Times New Roman" w:hAnsi="Times New Roman" w:cs="Times New Roman"/>
          <w:sz w:val="24"/>
          <w:szCs w:val="24"/>
        </w:rPr>
        <w:t>лице</w:t>
      </w:r>
      <w:r w:rsidRPr="00FD4C39">
        <w:rPr>
          <w:rFonts w:ascii="Times New Roman" w:hAnsi="Times New Roman" w:cs="Times New Roman"/>
          <w:sz w:val="24"/>
          <w:szCs w:val="24"/>
        </w:rPr>
        <w:t xml:space="preserve"> във всички случаи, в които </w:t>
      </w:r>
      <w:r w:rsidR="00580030" w:rsidRPr="00FD4C39">
        <w:rPr>
          <w:rFonts w:ascii="Times New Roman" w:hAnsi="Times New Roman" w:cs="Times New Roman"/>
          <w:sz w:val="24"/>
          <w:szCs w:val="24"/>
        </w:rPr>
        <w:t xml:space="preserve">АЛД </w:t>
      </w:r>
      <w:r w:rsidRPr="00FD4C39">
        <w:rPr>
          <w:rFonts w:ascii="Times New Roman" w:hAnsi="Times New Roman" w:cs="Times New Roman"/>
          <w:sz w:val="24"/>
          <w:szCs w:val="24"/>
        </w:rPr>
        <w:t>трансферира лични данни към д</w:t>
      </w:r>
      <w:r w:rsidR="00CB4700">
        <w:rPr>
          <w:rFonts w:ascii="Times New Roman" w:hAnsi="Times New Roman" w:cs="Times New Roman"/>
          <w:sz w:val="24"/>
          <w:szCs w:val="24"/>
        </w:rPr>
        <w:t xml:space="preserve">ружество в трета държава и се </w:t>
      </w:r>
      <w:r w:rsidRPr="00FD4C39">
        <w:rPr>
          <w:rFonts w:ascii="Times New Roman" w:hAnsi="Times New Roman" w:cs="Times New Roman"/>
          <w:sz w:val="24"/>
          <w:szCs w:val="24"/>
        </w:rPr>
        <w:t>позова</w:t>
      </w:r>
      <w:r w:rsidR="00CB4700">
        <w:rPr>
          <w:rFonts w:ascii="Times New Roman" w:hAnsi="Times New Roman" w:cs="Times New Roman"/>
          <w:sz w:val="24"/>
          <w:szCs w:val="24"/>
        </w:rPr>
        <w:t>ва</w:t>
      </w:r>
      <w:r w:rsidRPr="00FD4C39">
        <w:rPr>
          <w:rFonts w:ascii="Times New Roman" w:hAnsi="Times New Roman" w:cs="Times New Roman"/>
          <w:sz w:val="24"/>
          <w:szCs w:val="24"/>
        </w:rPr>
        <w:t xml:space="preserve"> на това основание, а именно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36а,</w:t>
      </w:r>
      <w:r w:rsidR="00884B97">
        <w:rPr>
          <w:rFonts w:ascii="Times New Roman" w:hAnsi="Times New Roman" w:cs="Times New Roman"/>
          <w:sz w:val="24"/>
          <w:szCs w:val="24"/>
        </w:rPr>
        <w:t xml:space="preserve"> ал. </w:t>
      </w:r>
      <w:r w:rsidRPr="00FD4C39">
        <w:rPr>
          <w:rFonts w:ascii="Times New Roman" w:hAnsi="Times New Roman" w:cs="Times New Roman"/>
          <w:sz w:val="24"/>
          <w:szCs w:val="24"/>
        </w:rPr>
        <w:t>7,</w:t>
      </w:r>
      <w:r w:rsidR="00884B97">
        <w:rPr>
          <w:rFonts w:ascii="Times New Roman" w:hAnsi="Times New Roman" w:cs="Times New Roman"/>
          <w:sz w:val="24"/>
          <w:szCs w:val="24"/>
        </w:rPr>
        <w:t xml:space="preserve"> т. </w:t>
      </w:r>
      <w:r w:rsidRPr="00FD4C39">
        <w:rPr>
          <w:rFonts w:ascii="Times New Roman" w:hAnsi="Times New Roman" w:cs="Times New Roman"/>
          <w:sz w:val="24"/>
          <w:szCs w:val="24"/>
        </w:rPr>
        <w:t>1 от ЗЗЛД.</w:t>
      </w:r>
    </w:p>
    <w:p w:rsidR="008F1B8A" w:rsidRPr="00FD4C39" w:rsidRDefault="00EF364C"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И 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w:t>
      </w:r>
      <w:r w:rsidR="002F4282" w:rsidRPr="00FD4C39">
        <w:rPr>
          <w:rFonts w:ascii="Times New Roman" w:hAnsi="Times New Roman" w:cs="Times New Roman"/>
          <w:sz w:val="24"/>
          <w:szCs w:val="24"/>
        </w:rPr>
        <w:t xml:space="preserve">в КЗЛД </w:t>
      </w:r>
      <w:r w:rsidR="00DF1754" w:rsidRPr="00FD4C39">
        <w:rPr>
          <w:rFonts w:ascii="Times New Roman" w:hAnsi="Times New Roman" w:cs="Times New Roman"/>
          <w:sz w:val="24"/>
          <w:szCs w:val="24"/>
        </w:rPr>
        <w:t>постъп</w:t>
      </w:r>
      <w:r w:rsidR="004A7123" w:rsidRPr="00FD4C39">
        <w:rPr>
          <w:rFonts w:ascii="Times New Roman" w:hAnsi="Times New Roman" w:cs="Times New Roman"/>
          <w:sz w:val="24"/>
          <w:szCs w:val="24"/>
        </w:rPr>
        <w:t>ват</w:t>
      </w:r>
      <w:r w:rsidRPr="00FD4C39">
        <w:rPr>
          <w:rFonts w:ascii="Times New Roman" w:hAnsi="Times New Roman" w:cs="Times New Roman"/>
          <w:sz w:val="24"/>
          <w:szCs w:val="24"/>
        </w:rPr>
        <w:t xml:space="preserve"> искания за разрешение на трансфер на лични данни на основание прилагането на т.нар. обвързващи корпоративни правила, които са глобален кодекс за </w:t>
      </w:r>
      <w:r w:rsidR="006D6C67" w:rsidRPr="00FD4C39">
        <w:rPr>
          <w:rFonts w:ascii="Times New Roman" w:hAnsi="Times New Roman" w:cs="Times New Roman"/>
          <w:sz w:val="24"/>
          <w:szCs w:val="24"/>
        </w:rPr>
        <w:t xml:space="preserve">добри </w:t>
      </w:r>
      <w:r w:rsidRPr="00FD4C39">
        <w:rPr>
          <w:rFonts w:ascii="Times New Roman" w:hAnsi="Times New Roman" w:cs="Times New Roman"/>
          <w:sz w:val="24"/>
          <w:szCs w:val="24"/>
        </w:rPr>
        <w:t xml:space="preserve">практики, базиран на европейските стандарти за защита на </w:t>
      </w:r>
      <w:r w:rsidRPr="00FD4C39">
        <w:rPr>
          <w:rFonts w:ascii="Times New Roman" w:hAnsi="Times New Roman" w:cs="Times New Roman"/>
          <w:sz w:val="24"/>
          <w:szCs w:val="24"/>
        </w:rPr>
        <w:lastRenderedPageBreak/>
        <w:t xml:space="preserve">данните. </w:t>
      </w:r>
      <w:r w:rsidR="00A17FA0" w:rsidRPr="00FD4C39">
        <w:rPr>
          <w:rFonts w:ascii="Times New Roman" w:hAnsi="Times New Roman" w:cs="Times New Roman"/>
          <w:sz w:val="24"/>
          <w:szCs w:val="24"/>
        </w:rPr>
        <w:t>Тези правила</w:t>
      </w:r>
      <w:r w:rsidRPr="00FD4C39">
        <w:rPr>
          <w:rFonts w:ascii="Times New Roman" w:hAnsi="Times New Roman" w:cs="Times New Roman"/>
          <w:sz w:val="24"/>
          <w:szCs w:val="24"/>
        </w:rPr>
        <w:t xml:space="preserve"> се изготвят от мултинационални компании и се спазват доброволно от тях, с цел осигуряване на адекватни мерки за трансфер на данни между </w:t>
      </w:r>
      <w:r w:rsidR="00A17FA0" w:rsidRPr="00FD4C39">
        <w:rPr>
          <w:rFonts w:ascii="Times New Roman" w:hAnsi="Times New Roman" w:cs="Times New Roman"/>
          <w:sz w:val="24"/>
          <w:szCs w:val="24"/>
        </w:rPr>
        <w:t>отделните компании</w:t>
      </w:r>
      <w:r w:rsidRPr="00FD4C39">
        <w:rPr>
          <w:rFonts w:ascii="Times New Roman" w:hAnsi="Times New Roman" w:cs="Times New Roman"/>
          <w:sz w:val="24"/>
          <w:szCs w:val="24"/>
        </w:rPr>
        <w:t xml:space="preserve">, в рамките на корпорацията. Създадени са като допълнителен инструмент за трансфер, освен стандартните договорни клаузи, като тяхната регулация се </w:t>
      </w:r>
      <w:r w:rsidR="00815F79" w:rsidRPr="00FD4C39">
        <w:rPr>
          <w:rFonts w:ascii="Times New Roman" w:hAnsi="Times New Roman" w:cs="Times New Roman"/>
          <w:sz w:val="24"/>
          <w:szCs w:val="24"/>
        </w:rPr>
        <w:t>осъществява</w:t>
      </w:r>
      <w:r w:rsidRPr="00FD4C39">
        <w:rPr>
          <w:rFonts w:ascii="Times New Roman" w:hAnsi="Times New Roman" w:cs="Times New Roman"/>
          <w:sz w:val="24"/>
          <w:szCs w:val="24"/>
        </w:rPr>
        <w:t xml:space="preserve"> чрез Работните документи на Работната група по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 xml:space="preserve">29. По отношение на трансфера на данни към </w:t>
      </w:r>
      <w:r w:rsidR="008A6CA4" w:rsidRPr="00FD4C39">
        <w:rPr>
          <w:rFonts w:ascii="Times New Roman" w:hAnsi="Times New Roman" w:cs="Times New Roman"/>
          <w:sz w:val="24"/>
          <w:szCs w:val="24"/>
        </w:rPr>
        <w:t>компании</w:t>
      </w:r>
      <w:r w:rsidRPr="00FD4C39">
        <w:rPr>
          <w:rFonts w:ascii="Times New Roman" w:hAnsi="Times New Roman" w:cs="Times New Roman"/>
          <w:sz w:val="24"/>
          <w:szCs w:val="24"/>
        </w:rPr>
        <w:t xml:space="preserve"> извън корпорацията, намиращи се в трети страни, продължават да се прилагат стандартните договорни клаузи, приети с Решения за адекватност на Европейската комисия. Тъй като този правен инструмент не е познат в българското законодателство, при заявяване на искания за разрешение за трансфер на основание прилагането на </w:t>
      </w:r>
      <w:r w:rsidR="00CB4700">
        <w:rPr>
          <w:rFonts w:ascii="Times New Roman" w:hAnsi="Times New Roman" w:cs="Times New Roman"/>
          <w:sz w:val="24"/>
          <w:szCs w:val="24"/>
        </w:rPr>
        <w:t>обвързващи корпоративни правила</w:t>
      </w:r>
      <w:r w:rsidRPr="00FD4C39">
        <w:rPr>
          <w:rFonts w:ascii="Times New Roman" w:hAnsi="Times New Roman" w:cs="Times New Roman"/>
          <w:sz w:val="24"/>
          <w:szCs w:val="24"/>
        </w:rPr>
        <w:t xml:space="preserve"> КЗЛД разрешава трансфера на данни </w:t>
      </w:r>
      <w:r w:rsidR="00497530" w:rsidRPr="00FD4C39">
        <w:rPr>
          <w:rFonts w:ascii="Times New Roman" w:hAnsi="Times New Roman" w:cs="Times New Roman"/>
          <w:sz w:val="24"/>
          <w:szCs w:val="24"/>
        </w:rPr>
        <w:t>в изпълнение на</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36б от ЗЗЛД</w:t>
      </w:r>
      <w:r w:rsidR="006D6C67" w:rsidRPr="00FD4C39">
        <w:rPr>
          <w:rFonts w:ascii="Times New Roman" w:hAnsi="Times New Roman" w:cs="Times New Roman"/>
          <w:sz w:val="24"/>
          <w:szCs w:val="24"/>
        </w:rPr>
        <w:t xml:space="preserve"> и</w:t>
      </w:r>
      <w:r w:rsidRPr="00FD4C39">
        <w:rPr>
          <w:rFonts w:ascii="Times New Roman" w:hAnsi="Times New Roman" w:cs="Times New Roman"/>
          <w:sz w:val="24"/>
          <w:szCs w:val="24"/>
        </w:rPr>
        <w:t xml:space="preserve"> въз основа на представените доказателства, удостоверяващи поети договорни ангажименти за това, че </w:t>
      </w:r>
      <w:r w:rsidR="006D6C67" w:rsidRPr="00FD4C39">
        <w:rPr>
          <w:rFonts w:ascii="Times New Roman" w:hAnsi="Times New Roman" w:cs="Times New Roman"/>
          <w:sz w:val="24"/>
          <w:szCs w:val="24"/>
        </w:rPr>
        <w:t>АЛД</w:t>
      </w:r>
      <w:r w:rsidRPr="00FD4C39">
        <w:rPr>
          <w:rFonts w:ascii="Times New Roman" w:hAnsi="Times New Roman" w:cs="Times New Roman"/>
          <w:sz w:val="24"/>
          <w:szCs w:val="24"/>
        </w:rPr>
        <w:t xml:space="preserve">, предоставящ данните, и </w:t>
      </w:r>
      <w:r w:rsidR="006D6C67" w:rsidRPr="00FD4C39">
        <w:rPr>
          <w:rFonts w:ascii="Times New Roman" w:hAnsi="Times New Roman" w:cs="Times New Roman"/>
          <w:sz w:val="24"/>
          <w:szCs w:val="24"/>
        </w:rPr>
        <w:t>АЛД</w:t>
      </w:r>
      <w:r w:rsidRPr="00FD4C39">
        <w:rPr>
          <w:rFonts w:ascii="Times New Roman" w:hAnsi="Times New Roman" w:cs="Times New Roman"/>
          <w:sz w:val="24"/>
          <w:szCs w:val="24"/>
        </w:rPr>
        <w:t>, който ги получава, представят достатъчно гаранции за тяхната защита.</w:t>
      </w:r>
    </w:p>
    <w:p w:rsidR="00541B14" w:rsidRPr="00FD4C39" w:rsidRDefault="00541B14">
      <w:pPr>
        <w:rPr>
          <w:rFonts w:ascii="Times New Roman" w:hAnsi="Times New Roman" w:cs="Times New Roman"/>
          <w:sz w:val="24"/>
          <w:szCs w:val="24"/>
        </w:rPr>
      </w:pPr>
      <w:r w:rsidRPr="00FD4C39">
        <w:rPr>
          <w:rFonts w:ascii="Times New Roman" w:hAnsi="Times New Roman" w:cs="Times New Roman"/>
          <w:sz w:val="24"/>
          <w:szCs w:val="24"/>
        </w:rPr>
        <w:br w:type="page"/>
      </w:r>
    </w:p>
    <w:p w:rsidR="00FD2F02" w:rsidRPr="00FD4C39" w:rsidRDefault="00FD2F02" w:rsidP="007B189E">
      <w:pPr>
        <w:spacing w:after="0" w:line="360" w:lineRule="auto"/>
        <w:ind w:firstLine="709"/>
        <w:jc w:val="both"/>
        <w:rPr>
          <w:rFonts w:ascii="Times New Roman" w:eastAsia="Times New Roman" w:hAnsi="Times New Roman" w:cs="Times New Roman"/>
          <w:b/>
          <w:bCs/>
          <w:kern w:val="32"/>
          <w:sz w:val="24"/>
          <w:szCs w:val="24"/>
        </w:rPr>
      </w:pPr>
      <w:r w:rsidRPr="00FD4C39">
        <w:rPr>
          <w:rFonts w:ascii="Times New Roman" w:eastAsia="Times New Roman" w:hAnsi="Times New Roman" w:cs="Times New Roman"/>
          <w:b/>
          <w:bCs/>
          <w:kern w:val="32"/>
          <w:sz w:val="24"/>
          <w:szCs w:val="24"/>
        </w:rPr>
        <w:lastRenderedPageBreak/>
        <w:t xml:space="preserve">VII. Обучение в областта на защитата на личните данни </w:t>
      </w:r>
    </w:p>
    <w:p w:rsidR="00F43D10" w:rsidRPr="00FD4C39" w:rsidRDefault="00F43D10" w:rsidP="007B189E">
      <w:pPr>
        <w:spacing w:after="0" w:line="360" w:lineRule="auto"/>
        <w:ind w:firstLine="709"/>
        <w:jc w:val="both"/>
        <w:rPr>
          <w:rFonts w:ascii="Times New Roman" w:hAnsi="Times New Roman" w:cs="Times New Roman"/>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color w:val="000000"/>
          <w:spacing w:val="-5"/>
          <w:sz w:val="24"/>
          <w:szCs w:val="24"/>
        </w:rPr>
      </w:pPr>
      <w:r w:rsidRPr="00FD4C39">
        <w:rPr>
          <w:rFonts w:ascii="Times New Roman" w:eastAsia="Times New Roman" w:hAnsi="Times New Roman" w:cs="Times New Roman"/>
          <w:color w:val="000000"/>
          <w:spacing w:val="-5"/>
          <w:sz w:val="24"/>
          <w:szCs w:val="24"/>
        </w:rPr>
        <w:t>През 2014</w:t>
      </w:r>
      <w:r w:rsidR="004D42A2">
        <w:rPr>
          <w:rFonts w:ascii="Times New Roman" w:eastAsia="Times New Roman" w:hAnsi="Times New Roman" w:cs="Times New Roman"/>
          <w:color w:val="000000"/>
          <w:spacing w:val="-5"/>
          <w:sz w:val="24"/>
          <w:szCs w:val="24"/>
        </w:rPr>
        <w:t> г.</w:t>
      </w:r>
      <w:r w:rsidRPr="00FD4C39">
        <w:rPr>
          <w:rFonts w:ascii="Times New Roman" w:eastAsia="Times New Roman" w:hAnsi="Times New Roman" w:cs="Times New Roman"/>
          <w:color w:val="000000"/>
          <w:spacing w:val="-5"/>
          <w:sz w:val="24"/>
          <w:szCs w:val="24"/>
        </w:rPr>
        <w:t xml:space="preserve"> </w:t>
      </w:r>
      <w:r w:rsidR="00FE7018" w:rsidRPr="00FD4C39">
        <w:rPr>
          <w:rFonts w:ascii="Times New Roman" w:eastAsia="Times New Roman" w:hAnsi="Times New Roman" w:cs="Times New Roman"/>
          <w:color w:val="000000"/>
          <w:spacing w:val="-5"/>
          <w:sz w:val="24"/>
          <w:szCs w:val="24"/>
        </w:rPr>
        <w:t>КЗЛД</w:t>
      </w:r>
      <w:r w:rsidRPr="00FD4C39">
        <w:rPr>
          <w:rFonts w:ascii="Times New Roman" w:eastAsia="Times New Roman" w:hAnsi="Times New Roman" w:cs="Times New Roman"/>
          <w:color w:val="000000"/>
          <w:spacing w:val="-5"/>
          <w:sz w:val="24"/>
          <w:szCs w:val="24"/>
        </w:rPr>
        <w:t xml:space="preserve"> продълж</w:t>
      </w:r>
      <w:r w:rsidR="00D93BB0" w:rsidRPr="00FD4C39">
        <w:rPr>
          <w:rFonts w:ascii="Times New Roman" w:eastAsia="Times New Roman" w:hAnsi="Times New Roman" w:cs="Times New Roman"/>
          <w:color w:val="000000"/>
          <w:spacing w:val="-5"/>
          <w:sz w:val="24"/>
          <w:szCs w:val="24"/>
        </w:rPr>
        <w:t xml:space="preserve">ава </w:t>
      </w:r>
      <w:r w:rsidR="00F9515A" w:rsidRPr="00FD4C39">
        <w:rPr>
          <w:rFonts w:ascii="Times New Roman" w:eastAsia="Times New Roman" w:hAnsi="Times New Roman" w:cs="Times New Roman"/>
          <w:color w:val="000000"/>
          <w:spacing w:val="-5"/>
          <w:sz w:val="24"/>
          <w:szCs w:val="24"/>
        </w:rPr>
        <w:t xml:space="preserve">да </w:t>
      </w:r>
      <w:r w:rsidRPr="00FD4C39">
        <w:rPr>
          <w:rFonts w:ascii="Times New Roman" w:eastAsia="Times New Roman" w:hAnsi="Times New Roman" w:cs="Times New Roman"/>
          <w:color w:val="000000"/>
          <w:spacing w:val="-5"/>
          <w:sz w:val="24"/>
          <w:szCs w:val="24"/>
        </w:rPr>
        <w:t xml:space="preserve">развива своята систематизирана целенасочена обучителна дейност. За </w:t>
      </w:r>
      <w:r w:rsidR="00797186" w:rsidRPr="00FD4C39">
        <w:rPr>
          <w:rFonts w:ascii="Times New Roman" w:eastAsia="Times New Roman" w:hAnsi="Times New Roman" w:cs="Times New Roman"/>
          <w:color w:val="000000"/>
          <w:spacing w:val="-5"/>
          <w:sz w:val="24"/>
          <w:szCs w:val="24"/>
        </w:rPr>
        <w:t>отчетния период</w:t>
      </w:r>
      <w:r w:rsidR="00CB4700">
        <w:rPr>
          <w:rFonts w:ascii="Times New Roman" w:eastAsia="Times New Roman" w:hAnsi="Times New Roman" w:cs="Times New Roman"/>
          <w:color w:val="000000"/>
          <w:spacing w:val="-5"/>
          <w:sz w:val="24"/>
          <w:szCs w:val="24"/>
        </w:rPr>
        <w:t xml:space="preserve"> в обучителния план се</w:t>
      </w:r>
      <w:r w:rsidRPr="00FD4C39">
        <w:rPr>
          <w:rFonts w:ascii="Times New Roman" w:eastAsia="Times New Roman" w:hAnsi="Times New Roman" w:cs="Times New Roman"/>
          <w:color w:val="000000"/>
          <w:spacing w:val="-5"/>
          <w:sz w:val="24"/>
          <w:szCs w:val="24"/>
        </w:rPr>
        <w:t xml:space="preserve"> постав</w:t>
      </w:r>
      <w:r w:rsidR="00CB4700">
        <w:rPr>
          <w:rFonts w:ascii="Times New Roman" w:eastAsia="Times New Roman" w:hAnsi="Times New Roman" w:cs="Times New Roman"/>
          <w:color w:val="000000"/>
          <w:spacing w:val="-5"/>
          <w:sz w:val="24"/>
          <w:szCs w:val="24"/>
        </w:rPr>
        <w:t>ят</w:t>
      </w:r>
      <w:r w:rsidRPr="00FD4C39">
        <w:rPr>
          <w:rFonts w:ascii="Times New Roman" w:eastAsia="Times New Roman" w:hAnsi="Times New Roman" w:cs="Times New Roman"/>
          <w:color w:val="000000"/>
          <w:spacing w:val="-5"/>
          <w:sz w:val="24"/>
          <w:szCs w:val="24"/>
        </w:rPr>
        <w:t xml:space="preserve"> 4 акцента:</w:t>
      </w:r>
    </w:p>
    <w:p w:rsidR="00FD2F02" w:rsidRPr="00FD4C39" w:rsidRDefault="00FD2F02" w:rsidP="00B901DE">
      <w:pPr>
        <w:pStyle w:val="ListParagraph"/>
        <w:numPr>
          <w:ilvl w:val="0"/>
          <w:numId w:val="6"/>
        </w:numPr>
        <w:tabs>
          <w:tab w:val="left" w:pos="993"/>
        </w:tabs>
        <w:spacing w:after="0" w:line="360" w:lineRule="auto"/>
        <w:ind w:left="0" w:firstLine="709"/>
        <w:jc w:val="both"/>
        <w:rPr>
          <w:rFonts w:ascii="Times New Roman" w:eastAsia="Times New Roman" w:hAnsi="Times New Roman" w:cs="Times New Roman"/>
          <w:color w:val="000000"/>
          <w:spacing w:val="-5"/>
          <w:sz w:val="24"/>
          <w:szCs w:val="24"/>
        </w:rPr>
      </w:pPr>
      <w:r w:rsidRPr="00FD4C39">
        <w:rPr>
          <w:rFonts w:ascii="Times New Roman" w:eastAsia="Times New Roman" w:hAnsi="Times New Roman" w:cs="Times New Roman"/>
          <w:color w:val="000000"/>
          <w:spacing w:val="-5"/>
          <w:sz w:val="24"/>
          <w:szCs w:val="24"/>
        </w:rPr>
        <w:t>Обучение на съсловни организации;</w:t>
      </w:r>
    </w:p>
    <w:p w:rsidR="00FD2F02" w:rsidRPr="00FD4C39" w:rsidRDefault="00FD2F02" w:rsidP="00B901DE">
      <w:pPr>
        <w:pStyle w:val="ListParagraph"/>
        <w:numPr>
          <w:ilvl w:val="0"/>
          <w:numId w:val="6"/>
        </w:numPr>
        <w:tabs>
          <w:tab w:val="left" w:pos="993"/>
        </w:tabs>
        <w:spacing w:after="0" w:line="360" w:lineRule="auto"/>
        <w:ind w:left="0" w:firstLine="709"/>
        <w:jc w:val="both"/>
        <w:rPr>
          <w:rFonts w:ascii="Times New Roman" w:eastAsia="Times New Roman" w:hAnsi="Times New Roman" w:cs="Times New Roman"/>
          <w:color w:val="000000"/>
          <w:spacing w:val="-5"/>
          <w:sz w:val="24"/>
          <w:szCs w:val="24"/>
        </w:rPr>
      </w:pPr>
      <w:r w:rsidRPr="00FD4C39">
        <w:rPr>
          <w:rFonts w:ascii="Times New Roman" w:eastAsia="Times New Roman" w:hAnsi="Times New Roman" w:cs="Times New Roman"/>
          <w:color w:val="000000"/>
          <w:spacing w:val="-5"/>
          <w:sz w:val="24"/>
          <w:szCs w:val="24"/>
        </w:rPr>
        <w:t xml:space="preserve">Обучение на големи </w:t>
      </w:r>
      <w:r w:rsidR="00D21C02" w:rsidRPr="00FD4C39">
        <w:rPr>
          <w:rFonts w:ascii="Times New Roman" w:eastAsia="Times New Roman" w:hAnsi="Times New Roman" w:cs="Times New Roman"/>
          <w:color w:val="000000"/>
          <w:spacing w:val="-5"/>
          <w:sz w:val="24"/>
          <w:szCs w:val="24"/>
        </w:rPr>
        <w:t>АЛД</w:t>
      </w:r>
      <w:r w:rsidRPr="00FD4C39">
        <w:rPr>
          <w:rFonts w:ascii="Times New Roman" w:eastAsia="Times New Roman" w:hAnsi="Times New Roman" w:cs="Times New Roman"/>
          <w:color w:val="000000"/>
          <w:spacing w:val="-5"/>
          <w:sz w:val="24"/>
          <w:szCs w:val="24"/>
        </w:rPr>
        <w:t>;</w:t>
      </w:r>
    </w:p>
    <w:p w:rsidR="00FD2F02" w:rsidRPr="00FD4C39" w:rsidRDefault="00FD2F02" w:rsidP="00B901DE">
      <w:pPr>
        <w:pStyle w:val="ListParagraph"/>
        <w:numPr>
          <w:ilvl w:val="0"/>
          <w:numId w:val="6"/>
        </w:numPr>
        <w:tabs>
          <w:tab w:val="left" w:pos="993"/>
        </w:tabs>
        <w:spacing w:after="0" w:line="360" w:lineRule="auto"/>
        <w:ind w:left="0" w:firstLine="709"/>
        <w:jc w:val="both"/>
        <w:rPr>
          <w:rFonts w:ascii="Times New Roman" w:eastAsia="Times New Roman" w:hAnsi="Times New Roman" w:cs="Times New Roman"/>
          <w:color w:val="000000"/>
          <w:spacing w:val="-5"/>
          <w:sz w:val="24"/>
          <w:szCs w:val="24"/>
        </w:rPr>
      </w:pPr>
      <w:r w:rsidRPr="00FD4C39">
        <w:rPr>
          <w:rFonts w:ascii="Times New Roman" w:eastAsia="Times New Roman" w:hAnsi="Times New Roman" w:cs="Times New Roman"/>
          <w:color w:val="000000"/>
          <w:spacing w:val="-5"/>
          <w:sz w:val="24"/>
          <w:szCs w:val="24"/>
        </w:rPr>
        <w:t>Обучение на органи на централната и съдебната власт;</w:t>
      </w:r>
    </w:p>
    <w:p w:rsidR="00FD2F02" w:rsidRPr="00FD4C39" w:rsidRDefault="00FD2F02" w:rsidP="00B901DE">
      <w:pPr>
        <w:pStyle w:val="ListParagraph"/>
        <w:numPr>
          <w:ilvl w:val="0"/>
          <w:numId w:val="6"/>
        </w:numPr>
        <w:tabs>
          <w:tab w:val="left" w:pos="993"/>
        </w:tabs>
        <w:spacing w:after="0" w:line="360" w:lineRule="auto"/>
        <w:ind w:left="0" w:firstLine="709"/>
        <w:jc w:val="both"/>
        <w:rPr>
          <w:rFonts w:ascii="Times New Roman" w:eastAsia="Times New Roman" w:hAnsi="Times New Roman" w:cs="Times New Roman"/>
          <w:color w:val="000000"/>
          <w:spacing w:val="-5"/>
          <w:sz w:val="24"/>
          <w:szCs w:val="24"/>
        </w:rPr>
      </w:pPr>
      <w:r w:rsidRPr="00FD4C39">
        <w:rPr>
          <w:rFonts w:ascii="Times New Roman" w:eastAsia="Times New Roman" w:hAnsi="Times New Roman" w:cs="Times New Roman"/>
          <w:color w:val="000000"/>
          <w:spacing w:val="-5"/>
          <w:sz w:val="24"/>
          <w:szCs w:val="24"/>
        </w:rPr>
        <w:t>Обучение, провеждано съвместно с партньорски организации.</w:t>
      </w:r>
    </w:p>
    <w:p w:rsidR="00CA6D23"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CB4700">
        <w:rPr>
          <w:rFonts w:ascii="Times New Roman" w:eastAsia="Times New Roman" w:hAnsi="Times New Roman" w:cs="Times New Roman"/>
          <w:sz w:val="24"/>
          <w:szCs w:val="24"/>
        </w:rPr>
        <w:t>се</w:t>
      </w:r>
      <w:r w:rsidR="00DC0A8C" w:rsidRPr="00FD4C39">
        <w:rPr>
          <w:rFonts w:ascii="Times New Roman" w:eastAsia="Times New Roman" w:hAnsi="Times New Roman" w:cs="Times New Roman"/>
          <w:sz w:val="24"/>
          <w:szCs w:val="24"/>
        </w:rPr>
        <w:t xml:space="preserve"> прове</w:t>
      </w:r>
      <w:r w:rsidR="00CB4700">
        <w:rPr>
          <w:rFonts w:ascii="Times New Roman" w:eastAsia="Times New Roman" w:hAnsi="Times New Roman" w:cs="Times New Roman"/>
          <w:sz w:val="24"/>
          <w:szCs w:val="24"/>
        </w:rPr>
        <w:t>ждат</w:t>
      </w:r>
      <w:r w:rsidR="0010273D" w:rsidRPr="00FD4C39">
        <w:rPr>
          <w:rFonts w:ascii="Times New Roman" w:eastAsia="Times New Roman" w:hAnsi="Times New Roman" w:cs="Times New Roman"/>
          <w:sz w:val="24"/>
          <w:szCs w:val="24"/>
        </w:rPr>
        <w:t xml:space="preserve"> 19</w:t>
      </w:r>
      <w:r w:rsidRPr="00FD4C39">
        <w:rPr>
          <w:rFonts w:ascii="Times New Roman" w:eastAsia="Times New Roman" w:hAnsi="Times New Roman" w:cs="Times New Roman"/>
          <w:sz w:val="24"/>
          <w:szCs w:val="24"/>
        </w:rPr>
        <w:t xml:space="preserve"> обучителни семинара, от които 2 сем</w:t>
      </w:r>
      <w:r w:rsidR="00210BA7" w:rsidRPr="00FD4C39">
        <w:rPr>
          <w:rFonts w:ascii="Times New Roman" w:eastAsia="Times New Roman" w:hAnsi="Times New Roman" w:cs="Times New Roman"/>
          <w:sz w:val="24"/>
          <w:szCs w:val="24"/>
        </w:rPr>
        <w:t xml:space="preserve">инара за съсловни </w:t>
      </w:r>
      <w:r w:rsidR="005A1FB4" w:rsidRPr="00FD4C39">
        <w:rPr>
          <w:rFonts w:ascii="Times New Roman" w:eastAsia="Times New Roman" w:hAnsi="Times New Roman" w:cs="Times New Roman"/>
          <w:sz w:val="24"/>
          <w:szCs w:val="24"/>
        </w:rPr>
        <w:t xml:space="preserve">организации, </w:t>
      </w:r>
      <w:r w:rsidR="00750C9A" w:rsidRPr="00FD4C39">
        <w:rPr>
          <w:rFonts w:ascii="Times New Roman" w:eastAsia="Times New Roman" w:hAnsi="Times New Roman" w:cs="Times New Roman"/>
          <w:sz w:val="24"/>
          <w:szCs w:val="24"/>
        </w:rPr>
        <w:t>7</w:t>
      </w:r>
      <w:r w:rsidRPr="00FD4C39">
        <w:rPr>
          <w:rFonts w:ascii="Times New Roman" w:eastAsia="Times New Roman" w:hAnsi="Times New Roman" w:cs="Times New Roman"/>
          <w:sz w:val="24"/>
          <w:szCs w:val="24"/>
        </w:rPr>
        <w:t xml:space="preserve"> обучения с </w:t>
      </w:r>
      <w:r w:rsidRPr="00FD4C39">
        <w:rPr>
          <w:rFonts w:ascii="Times New Roman" w:eastAsia="Times New Roman" w:hAnsi="Times New Roman" w:cs="Times New Roman"/>
          <w:color w:val="000000"/>
          <w:spacing w:val="-5"/>
          <w:sz w:val="24"/>
          <w:szCs w:val="24"/>
        </w:rPr>
        <w:t>органи на централната и съдебната власт</w:t>
      </w:r>
      <w:r w:rsidRPr="00FD4C39">
        <w:rPr>
          <w:rFonts w:ascii="Times New Roman" w:eastAsia="Times New Roman" w:hAnsi="Times New Roman" w:cs="Times New Roman"/>
          <w:sz w:val="24"/>
          <w:szCs w:val="24"/>
        </w:rPr>
        <w:t xml:space="preserve">, 3 семинара с големи </w:t>
      </w:r>
      <w:r w:rsidR="00FE7018" w:rsidRPr="00FD4C39">
        <w:rPr>
          <w:rFonts w:ascii="Times New Roman" w:eastAsia="Times New Roman" w:hAnsi="Times New Roman" w:cs="Times New Roman"/>
          <w:sz w:val="24"/>
          <w:szCs w:val="24"/>
        </w:rPr>
        <w:t>АЛД</w:t>
      </w:r>
      <w:r w:rsidR="00786BAB"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от телекомуникационния сектор. Към тях се прибавят и 7 семинара, осъществени съвместно с обучителни партньори (Инс</w:t>
      </w:r>
      <w:r w:rsidR="00BF431A" w:rsidRPr="00FD4C39">
        <w:rPr>
          <w:rFonts w:ascii="Times New Roman" w:eastAsia="Times New Roman" w:hAnsi="Times New Roman" w:cs="Times New Roman"/>
          <w:sz w:val="24"/>
          <w:szCs w:val="24"/>
        </w:rPr>
        <w:t>титута по публична администрация</w:t>
      </w:r>
      <w:r w:rsidR="00F86338" w:rsidRPr="00FD4C39">
        <w:rPr>
          <w:rFonts w:ascii="Times New Roman" w:eastAsia="Times New Roman" w:hAnsi="Times New Roman" w:cs="Times New Roman"/>
          <w:sz w:val="24"/>
          <w:szCs w:val="24"/>
        </w:rPr>
        <w:t xml:space="preserve"> (ИПА)</w:t>
      </w:r>
      <w:r w:rsidR="00BF431A"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 xml:space="preserve">Международния банков институт). </w:t>
      </w:r>
    </w:p>
    <w:p w:rsidR="00CA6D23" w:rsidRPr="00FD4C39" w:rsidRDefault="00CA6D23" w:rsidP="007B189E">
      <w:pPr>
        <w:spacing w:after="0" w:line="360" w:lineRule="auto"/>
        <w:ind w:firstLine="709"/>
        <w:jc w:val="both"/>
        <w:rPr>
          <w:rFonts w:ascii="Times New Roman" w:eastAsia="Times New Roman" w:hAnsi="Times New Roman" w:cs="Times New Roman"/>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bCs/>
          <w:kern w:val="32"/>
          <w:sz w:val="24"/>
          <w:szCs w:val="24"/>
        </w:rPr>
        <w:t>1. Обучен</w:t>
      </w:r>
      <w:r w:rsidR="00EE4610" w:rsidRPr="00FD4C39">
        <w:rPr>
          <w:rFonts w:ascii="Times New Roman" w:eastAsia="Times New Roman" w:hAnsi="Times New Roman" w:cs="Times New Roman"/>
          <w:b/>
          <w:bCs/>
          <w:kern w:val="32"/>
          <w:sz w:val="24"/>
          <w:szCs w:val="24"/>
        </w:rPr>
        <w:t>ие на съсловни организации</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Един от основните акценти в обучителната дейност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за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е поставен върху обучението </w:t>
      </w:r>
      <w:r w:rsidR="00B206DC" w:rsidRPr="00FD4C39">
        <w:rPr>
          <w:rFonts w:ascii="Times New Roman" w:eastAsia="Times New Roman" w:hAnsi="Times New Roman" w:cs="Times New Roman"/>
          <w:sz w:val="24"/>
          <w:szCs w:val="24"/>
        </w:rPr>
        <w:t>н</w:t>
      </w:r>
      <w:r w:rsidRPr="00FD4C39">
        <w:rPr>
          <w:rFonts w:ascii="Times New Roman" w:eastAsia="Times New Roman" w:hAnsi="Times New Roman" w:cs="Times New Roman"/>
          <w:sz w:val="24"/>
          <w:szCs w:val="24"/>
        </w:rPr>
        <w:t xml:space="preserve">а съсловни организации. Тази традиция </w:t>
      </w:r>
      <w:r w:rsidR="00294390" w:rsidRPr="00FD4C39">
        <w:rPr>
          <w:rFonts w:ascii="Times New Roman" w:eastAsia="Times New Roman" w:hAnsi="Times New Roman" w:cs="Times New Roman"/>
          <w:sz w:val="24"/>
          <w:szCs w:val="24"/>
        </w:rPr>
        <w:t xml:space="preserve">и </w:t>
      </w:r>
      <w:r w:rsidR="00CB4700">
        <w:rPr>
          <w:rFonts w:ascii="Times New Roman" w:eastAsia="Times New Roman" w:hAnsi="Times New Roman" w:cs="Times New Roman"/>
          <w:sz w:val="24"/>
          <w:szCs w:val="24"/>
        </w:rPr>
        <w:t>добра практика се</w:t>
      </w:r>
      <w:r w:rsidRPr="00FD4C39">
        <w:rPr>
          <w:rFonts w:ascii="Times New Roman" w:eastAsia="Times New Roman" w:hAnsi="Times New Roman" w:cs="Times New Roman"/>
          <w:sz w:val="24"/>
          <w:szCs w:val="24"/>
        </w:rPr>
        <w:t xml:space="preserve"> въве</w:t>
      </w:r>
      <w:r w:rsidR="00CB4700">
        <w:rPr>
          <w:rFonts w:ascii="Times New Roman" w:eastAsia="Times New Roman" w:hAnsi="Times New Roman" w:cs="Times New Roman"/>
          <w:sz w:val="24"/>
          <w:szCs w:val="24"/>
        </w:rPr>
        <w:t>жда</w:t>
      </w:r>
      <w:r w:rsidRPr="00FD4C39">
        <w:rPr>
          <w:rFonts w:ascii="Times New Roman" w:eastAsia="Times New Roman" w:hAnsi="Times New Roman" w:cs="Times New Roman"/>
          <w:sz w:val="24"/>
          <w:szCs w:val="24"/>
        </w:rPr>
        <w:t xml:space="preserve"> през 2013</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и </w:t>
      </w:r>
      <w:r w:rsidR="00294390" w:rsidRPr="00FD4C39">
        <w:rPr>
          <w:rFonts w:ascii="Times New Roman" w:eastAsia="Times New Roman" w:hAnsi="Times New Roman" w:cs="Times New Roman"/>
          <w:sz w:val="24"/>
          <w:szCs w:val="24"/>
        </w:rPr>
        <w:t>намира своето естествено продължение</w:t>
      </w:r>
      <w:r w:rsidRPr="00FD4C39">
        <w:rPr>
          <w:rFonts w:ascii="Times New Roman" w:eastAsia="Times New Roman" w:hAnsi="Times New Roman" w:cs="Times New Roman"/>
          <w:sz w:val="24"/>
          <w:szCs w:val="24"/>
        </w:rPr>
        <w:t xml:space="preserve">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Чрез обучението на съсловни организации се създава възможност за по-добро унифициране на стандартите и практиките в защитата на данните от всички членове на организацията, както и по-широко разпространение на резултатите от обучението. Една от целите на тези обучения е намирането на отговор на общи проблемни области и създаването на еднообразна практика при решаването им.</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CB4700">
        <w:rPr>
          <w:rFonts w:ascii="Times New Roman" w:eastAsia="Times New Roman" w:hAnsi="Times New Roman" w:cs="Times New Roman"/>
          <w:sz w:val="24"/>
          <w:szCs w:val="24"/>
        </w:rPr>
        <w:t>обучение преминават</w:t>
      </w:r>
      <w:r w:rsidRPr="00FD4C39">
        <w:rPr>
          <w:rFonts w:ascii="Times New Roman" w:eastAsia="Times New Roman" w:hAnsi="Times New Roman" w:cs="Times New Roman"/>
          <w:sz w:val="24"/>
          <w:szCs w:val="24"/>
        </w:rPr>
        <w:t xml:space="preserve"> две съсловни организации: </w:t>
      </w:r>
      <w:r w:rsidRPr="00FD4C39">
        <w:rPr>
          <w:rFonts w:ascii="Times New Roman" w:eastAsia="Times New Roman" w:hAnsi="Times New Roman" w:cs="Times New Roman"/>
          <w:sz w:val="24"/>
          <w:szCs w:val="24"/>
          <w:highlight w:val="white"/>
          <w:shd w:val="clear" w:color="auto" w:fill="FEFEFE"/>
        </w:rPr>
        <w:t>Асоциация на специализираните счетоводни предприятия</w:t>
      </w:r>
      <w:r w:rsidRPr="00FD4C39">
        <w:rPr>
          <w:rFonts w:ascii="Times New Roman" w:eastAsia="Times New Roman" w:hAnsi="Times New Roman" w:cs="Times New Roman"/>
          <w:sz w:val="24"/>
          <w:szCs w:val="24"/>
          <w:shd w:val="clear" w:color="auto" w:fill="FEFEFE"/>
        </w:rPr>
        <w:t xml:space="preserve"> </w:t>
      </w:r>
      <w:r w:rsidRPr="00FD4C39">
        <w:rPr>
          <w:rFonts w:ascii="Times New Roman" w:eastAsia="Times New Roman" w:hAnsi="Times New Roman" w:cs="Times New Roman"/>
          <w:sz w:val="24"/>
          <w:szCs w:val="24"/>
        </w:rPr>
        <w:t>и Българския</w:t>
      </w:r>
      <w:r w:rsidR="00CB4700">
        <w:rPr>
          <w:rFonts w:ascii="Times New Roman" w:eastAsia="Times New Roman" w:hAnsi="Times New Roman" w:cs="Times New Roman"/>
          <w:sz w:val="24"/>
          <w:szCs w:val="24"/>
        </w:rPr>
        <w:t>т</w:t>
      </w:r>
      <w:r w:rsidRPr="00FD4C39">
        <w:rPr>
          <w:rFonts w:ascii="Times New Roman" w:eastAsia="Times New Roman" w:hAnsi="Times New Roman" w:cs="Times New Roman"/>
          <w:sz w:val="24"/>
          <w:szCs w:val="24"/>
        </w:rPr>
        <w:t xml:space="preserve"> лекарски съюз.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2. Обучение на големи </w:t>
      </w:r>
      <w:r w:rsidR="00D21C02" w:rsidRPr="00FD4C39">
        <w:rPr>
          <w:rFonts w:ascii="Times New Roman" w:eastAsia="Times New Roman" w:hAnsi="Times New Roman" w:cs="Times New Roman"/>
          <w:b/>
          <w:sz w:val="24"/>
          <w:szCs w:val="24"/>
        </w:rPr>
        <w:t>АЛД</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идентифицира нуждата от провеждане на обучение за </w:t>
      </w:r>
      <w:r w:rsidR="00D21C02" w:rsidRPr="00FD4C39">
        <w:rPr>
          <w:rFonts w:ascii="Times New Roman" w:eastAsia="Times New Roman" w:hAnsi="Times New Roman" w:cs="Times New Roman"/>
          <w:sz w:val="24"/>
          <w:szCs w:val="24"/>
        </w:rPr>
        <w:t>АЛД</w:t>
      </w:r>
      <w:r w:rsidRPr="00FD4C39">
        <w:rPr>
          <w:rFonts w:ascii="Times New Roman" w:eastAsia="Times New Roman" w:hAnsi="Times New Roman" w:cs="Times New Roman"/>
          <w:sz w:val="24"/>
          <w:szCs w:val="24"/>
        </w:rPr>
        <w:t>, които поддържат значителни</w:t>
      </w:r>
      <w:r w:rsidR="00CB4700">
        <w:rPr>
          <w:rFonts w:ascii="Times New Roman" w:eastAsia="Times New Roman" w:hAnsi="Times New Roman" w:cs="Times New Roman"/>
          <w:sz w:val="24"/>
          <w:szCs w:val="24"/>
        </w:rPr>
        <w:t xml:space="preserve"> по обем масиви с данни. Фокус се</w:t>
      </w:r>
      <w:r w:rsidRPr="00FD4C39">
        <w:rPr>
          <w:rFonts w:ascii="Times New Roman" w:eastAsia="Times New Roman" w:hAnsi="Times New Roman" w:cs="Times New Roman"/>
          <w:sz w:val="24"/>
          <w:szCs w:val="24"/>
        </w:rPr>
        <w:t xml:space="preserve"> постав</w:t>
      </w:r>
      <w:r w:rsidR="00CB4700">
        <w:rPr>
          <w:rFonts w:ascii="Times New Roman" w:eastAsia="Times New Roman" w:hAnsi="Times New Roman" w:cs="Times New Roman"/>
          <w:sz w:val="24"/>
          <w:szCs w:val="24"/>
        </w:rPr>
        <w:t>я</w:t>
      </w:r>
      <w:r w:rsidRPr="00FD4C39">
        <w:rPr>
          <w:rFonts w:ascii="Times New Roman" w:eastAsia="Times New Roman" w:hAnsi="Times New Roman" w:cs="Times New Roman"/>
          <w:sz w:val="24"/>
          <w:szCs w:val="24"/>
        </w:rPr>
        <w:t xml:space="preserve"> върху телекомуникационните оператори, предоставящи електронни съобщителни услуги. Нивото на проникване на мобилните услуги на българския пазар е високо (123% при 112% средно за ЕС), което оформя телекомуникационния сектор като едно от приоритетните направления за превантивна работа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Телекомуникационните оператори обработват значителен обем лични данни, освен това през 2013</w:t>
      </w:r>
      <w:r w:rsidR="004D42A2">
        <w:rPr>
          <w:rFonts w:ascii="Times New Roman" w:eastAsia="Times New Roman" w:hAnsi="Times New Roman" w:cs="Times New Roman"/>
          <w:sz w:val="24"/>
          <w:szCs w:val="24"/>
        </w:rPr>
        <w:t> г.</w:t>
      </w:r>
      <w:r w:rsidR="00CB4700">
        <w:rPr>
          <w:rFonts w:ascii="Times New Roman" w:eastAsia="Times New Roman" w:hAnsi="Times New Roman" w:cs="Times New Roman"/>
          <w:sz w:val="24"/>
          <w:szCs w:val="24"/>
        </w:rPr>
        <w:t xml:space="preserve"> над 60</w:t>
      </w:r>
      <w:r w:rsidRPr="00FD4C39">
        <w:rPr>
          <w:rFonts w:ascii="Times New Roman" w:eastAsia="Times New Roman" w:hAnsi="Times New Roman" w:cs="Times New Roman"/>
          <w:sz w:val="24"/>
          <w:szCs w:val="24"/>
        </w:rPr>
        <w:t xml:space="preserve">% от </w:t>
      </w:r>
      <w:r w:rsidRPr="00FD4C39">
        <w:rPr>
          <w:rFonts w:ascii="Times New Roman" w:eastAsia="Times New Roman" w:hAnsi="Times New Roman" w:cs="Times New Roman"/>
          <w:sz w:val="24"/>
          <w:szCs w:val="24"/>
        </w:rPr>
        <w:lastRenderedPageBreak/>
        <w:t xml:space="preserve">всички подадени пред </w:t>
      </w:r>
      <w:r w:rsidR="00FE7018" w:rsidRPr="00FD4C39">
        <w:rPr>
          <w:rFonts w:ascii="Times New Roman" w:eastAsia="Times New Roman" w:hAnsi="Times New Roman" w:cs="Times New Roman"/>
          <w:sz w:val="24"/>
          <w:szCs w:val="24"/>
        </w:rPr>
        <w:t>КЗЛД</w:t>
      </w:r>
      <w:r w:rsidR="00CB4700">
        <w:rPr>
          <w:rFonts w:ascii="Times New Roman" w:eastAsia="Times New Roman" w:hAnsi="Times New Roman" w:cs="Times New Roman"/>
          <w:sz w:val="24"/>
          <w:szCs w:val="24"/>
        </w:rPr>
        <w:t xml:space="preserve"> жалби от граждани са</w:t>
      </w:r>
      <w:r w:rsidRPr="00FD4C39">
        <w:rPr>
          <w:rFonts w:ascii="Times New Roman" w:eastAsia="Times New Roman" w:hAnsi="Times New Roman" w:cs="Times New Roman"/>
          <w:sz w:val="24"/>
          <w:szCs w:val="24"/>
        </w:rPr>
        <w:t xml:space="preserve"> срещу представител на сектор </w:t>
      </w:r>
      <w:r w:rsidR="004931E5" w:rsidRPr="00FD4C39">
        <w:rPr>
          <w:rFonts w:ascii="Times New Roman" w:eastAsia="Times New Roman" w:hAnsi="Times New Roman" w:cs="Times New Roman"/>
          <w:sz w:val="24"/>
          <w:szCs w:val="24"/>
        </w:rPr>
        <w:t>„</w:t>
      </w:r>
      <w:r w:rsidR="00CB4700">
        <w:rPr>
          <w:rFonts w:ascii="Times New Roman" w:eastAsia="Times New Roman" w:hAnsi="Times New Roman" w:cs="Times New Roman"/>
          <w:sz w:val="24"/>
          <w:szCs w:val="24"/>
        </w:rPr>
        <w:t>Телекомуникации“</w:t>
      </w:r>
      <w:r w:rsidRPr="00FD4C39">
        <w:rPr>
          <w:rFonts w:ascii="Times New Roman" w:eastAsia="Times New Roman" w:hAnsi="Times New Roman" w:cs="Times New Roman"/>
          <w:sz w:val="24"/>
          <w:szCs w:val="24"/>
        </w:rPr>
        <w:t>.</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В тази връзка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с</w:t>
      </w:r>
      <w:r w:rsidR="00CB4700">
        <w:rPr>
          <w:rFonts w:ascii="Times New Roman" w:eastAsia="Times New Roman" w:hAnsi="Times New Roman" w:cs="Times New Roman"/>
          <w:sz w:val="24"/>
          <w:szCs w:val="24"/>
        </w:rPr>
        <w:t>е</w:t>
      </w:r>
      <w:r w:rsidRPr="00FD4C39">
        <w:rPr>
          <w:rFonts w:ascii="Times New Roman" w:eastAsia="Times New Roman" w:hAnsi="Times New Roman" w:cs="Times New Roman"/>
          <w:sz w:val="24"/>
          <w:szCs w:val="24"/>
        </w:rPr>
        <w:t xml:space="preserve"> прове</w:t>
      </w:r>
      <w:r w:rsidR="00CB4700">
        <w:rPr>
          <w:rFonts w:ascii="Times New Roman" w:eastAsia="Times New Roman" w:hAnsi="Times New Roman" w:cs="Times New Roman"/>
          <w:sz w:val="24"/>
          <w:szCs w:val="24"/>
        </w:rPr>
        <w:t>ждат</w:t>
      </w:r>
      <w:r w:rsidRPr="00FD4C39">
        <w:rPr>
          <w:rFonts w:ascii="Times New Roman" w:eastAsia="Times New Roman" w:hAnsi="Times New Roman" w:cs="Times New Roman"/>
          <w:sz w:val="24"/>
          <w:szCs w:val="24"/>
        </w:rPr>
        <w:t xml:space="preserve"> обучения за служители на </w:t>
      </w:r>
      <w:r w:rsidR="00CB4700">
        <w:rPr>
          <w:rFonts w:ascii="Times New Roman" w:eastAsia="Times New Roman" w:hAnsi="Times New Roman" w:cs="Times New Roman"/>
          <w:sz w:val="24"/>
          <w:szCs w:val="24"/>
        </w:rPr>
        <w:t>„</w:t>
      </w:r>
      <w:proofErr w:type="spellStart"/>
      <w:r w:rsidRPr="00FD4C39">
        <w:rPr>
          <w:rFonts w:ascii="Times New Roman" w:eastAsia="Times New Roman" w:hAnsi="Times New Roman" w:cs="Times New Roman"/>
          <w:sz w:val="24"/>
          <w:szCs w:val="24"/>
        </w:rPr>
        <w:t>М</w:t>
      </w:r>
      <w:r w:rsidR="00CB4700">
        <w:rPr>
          <w:rFonts w:ascii="Times New Roman" w:eastAsia="Times New Roman" w:hAnsi="Times New Roman" w:cs="Times New Roman"/>
          <w:sz w:val="24"/>
          <w:szCs w:val="24"/>
        </w:rPr>
        <w:t>т</w:t>
      </w:r>
      <w:r w:rsidRPr="00FD4C39">
        <w:rPr>
          <w:rFonts w:ascii="Times New Roman" w:eastAsia="Times New Roman" w:hAnsi="Times New Roman" w:cs="Times New Roman"/>
          <w:sz w:val="24"/>
          <w:szCs w:val="24"/>
        </w:rPr>
        <w:t>ел</w:t>
      </w:r>
      <w:proofErr w:type="spellEnd"/>
      <w:r w:rsidR="00CB4700">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Българска телекомуникационна компания и </w:t>
      </w:r>
      <w:r w:rsidR="00CB4700">
        <w:rPr>
          <w:rFonts w:ascii="Times New Roman" w:eastAsia="Times New Roman" w:hAnsi="Times New Roman" w:cs="Times New Roman"/>
          <w:sz w:val="24"/>
          <w:szCs w:val="24"/>
        </w:rPr>
        <w:t>„</w:t>
      </w:r>
      <w:proofErr w:type="spellStart"/>
      <w:r w:rsidRPr="00FD4C39">
        <w:rPr>
          <w:rFonts w:ascii="Times New Roman" w:eastAsia="Times New Roman" w:hAnsi="Times New Roman" w:cs="Times New Roman"/>
          <w:sz w:val="24"/>
          <w:szCs w:val="24"/>
        </w:rPr>
        <w:t>Теленор</w:t>
      </w:r>
      <w:proofErr w:type="spellEnd"/>
      <w:r w:rsidR="00CB4700">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(бивш </w:t>
      </w:r>
      <w:r w:rsidR="00CB4700">
        <w:rPr>
          <w:rFonts w:ascii="Times New Roman" w:eastAsia="Times New Roman" w:hAnsi="Times New Roman" w:cs="Times New Roman"/>
          <w:sz w:val="24"/>
          <w:szCs w:val="24"/>
        </w:rPr>
        <w:t>„</w:t>
      </w:r>
      <w:proofErr w:type="spellStart"/>
      <w:r w:rsidRPr="00FD4C39">
        <w:rPr>
          <w:rFonts w:ascii="Times New Roman" w:eastAsia="Times New Roman" w:hAnsi="Times New Roman" w:cs="Times New Roman"/>
          <w:sz w:val="24"/>
          <w:szCs w:val="24"/>
        </w:rPr>
        <w:t>Глобул</w:t>
      </w:r>
      <w:proofErr w:type="spellEnd"/>
      <w:r w:rsidR="00CB4700">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w:t>
      </w:r>
    </w:p>
    <w:p w:rsidR="00695EBF" w:rsidRPr="00FD4C39" w:rsidRDefault="00695EBF" w:rsidP="007B189E">
      <w:pPr>
        <w:spacing w:after="0" w:line="360" w:lineRule="auto"/>
        <w:ind w:firstLine="709"/>
        <w:jc w:val="both"/>
        <w:rPr>
          <w:rFonts w:ascii="Times New Roman" w:eastAsia="Times New Roman" w:hAnsi="Times New Roman" w:cs="Times New Roman"/>
          <w:b/>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3.</w:t>
      </w:r>
      <w:r w:rsidR="00142EEA" w:rsidRPr="00FD4C39">
        <w:rPr>
          <w:rFonts w:ascii="Times New Roman" w:eastAsia="Times New Roman" w:hAnsi="Times New Roman" w:cs="Times New Roman"/>
          <w:b/>
          <w:sz w:val="24"/>
          <w:szCs w:val="24"/>
        </w:rPr>
        <w:t xml:space="preserve"> </w:t>
      </w:r>
      <w:r w:rsidRPr="00FD4C39">
        <w:rPr>
          <w:rFonts w:ascii="Times New Roman" w:eastAsia="Times New Roman" w:hAnsi="Times New Roman" w:cs="Times New Roman"/>
          <w:b/>
          <w:sz w:val="24"/>
          <w:szCs w:val="24"/>
        </w:rPr>
        <w:t>Обучение на органи на централната и съдебната власт</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shd w:val="clear" w:color="auto" w:fill="FEFEFE"/>
        </w:rPr>
      </w:pPr>
      <w:r w:rsidRPr="00FD4C39">
        <w:rPr>
          <w:rFonts w:ascii="Times New Roman" w:eastAsia="Times New Roman" w:hAnsi="Times New Roman" w:cs="Times New Roman"/>
          <w:sz w:val="24"/>
          <w:szCs w:val="24"/>
        </w:rPr>
        <w:t xml:space="preserve">В рамките на своята дейност </w:t>
      </w:r>
      <w:r w:rsidR="00FE7018" w:rsidRPr="00FD4C39">
        <w:rPr>
          <w:rFonts w:ascii="Times New Roman" w:eastAsia="Times New Roman" w:hAnsi="Times New Roman" w:cs="Times New Roman"/>
          <w:sz w:val="24"/>
          <w:szCs w:val="24"/>
        </w:rPr>
        <w:t>КЗЛД</w:t>
      </w:r>
      <w:r w:rsidR="00786BAB"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 xml:space="preserve">се стреми да постига </w:t>
      </w:r>
      <w:r w:rsidR="00B206DC" w:rsidRPr="00FD4C39">
        <w:rPr>
          <w:rFonts w:ascii="Times New Roman" w:eastAsia="Times New Roman" w:hAnsi="Times New Roman" w:cs="Times New Roman"/>
          <w:sz w:val="24"/>
          <w:szCs w:val="24"/>
        </w:rPr>
        <w:t>добро</w:t>
      </w:r>
      <w:r w:rsidRPr="00FD4C39">
        <w:rPr>
          <w:rFonts w:ascii="Times New Roman" w:eastAsia="Times New Roman" w:hAnsi="Times New Roman" w:cs="Times New Roman"/>
          <w:sz w:val="24"/>
          <w:szCs w:val="24"/>
        </w:rPr>
        <w:t xml:space="preserve"> взаимодействие</w:t>
      </w:r>
      <w:r w:rsidR="007B3A45" w:rsidRPr="00FD4C39">
        <w:rPr>
          <w:rFonts w:ascii="Times New Roman" w:eastAsia="Times New Roman" w:hAnsi="Times New Roman" w:cs="Times New Roman"/>
          <w:sz w:val="24"/>
          <w:szCs w:val="24"/>
        </w:rPr>
        <w:t xml:space="preserve"> с органите на държавната власт</w:t>
      </w:r>
      <w:r w:rsidRPr="00FD4C39">
        <w:rPr>
          <w:rFonts w:ascii="Times New Roman" w:eastAsia="Times New Roman" w:hAnsi="Times New Roman" w:cs="Times New Roman"/>
          <w:sz w:val="24"/>
          <w:szCs w:val="24"/>
        </w:rPr>
        <w:t xml:space="preserve"> с цел улесняване на работния процес и обслужването на гражданите. В досегашните обучителни кампании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винаги е поставяла особен акцент върху обучението на държавни институции, с оглед необходимостта те да служат като модел за спазване на законовите норми и правила. </w:t>
      </w:r>
      <w:r w:rsidR="00CB4700">
        <w:rPr>
          <w:rFonts w:ascii="Times New Roman" w:eastAsia="Times New Roman" w:hAnsi="Times New Roman" w:cs="Times New Roman"/>
          <w:sz w:val="24"/>
          <w:szCs w:val="24"/>
        </w:rPr>
        <w:t>За сравнение</w:t>
      </w:r>
      <w:r w:rsidRPr="00FD4C39">
        <w:rPr>
          <w:rFonts w:ascii="Times New Roman" w:eastAsia="Times New Roman" w:hAnsi="Times New Roman" w:cs="Times New Roman"/>
          <w:sz w:val="24"/>
          <w:szCs w:val="24"/>
        </w:rPr>
        <w:t xml:space="preserve"> през 2011</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обуч</w:t>
      </w:r>
      <w:r w:rsidR="00CB4700">
        <w:rPr>
          <w:rFonts w:ascii="Times New Roman" w:eastAsia="Times New Roman" w:hAnsi="Times New Roman" w:cs="Times New Roman"/>
          <w:sz w:val="24"/>
          <w:szCs w:val="24"/>
        </w:rPr>
        <w:t>ава</w:t>
      </w:r>
      <w:r w:rsidRPr="00FD4C39">
        <w:rPr>
          <w:rFonts w:ascii="Times New Roman" w:eastAsia="Times New Roman" w:hAnsi="Times New Roman" w:cs="Times New Roman"/>
          <w:sz w:val="24"/>
          <w:szCs w:val="24"/>
        </w:rPr>
        <w:t xml:space="preserve"> служители на всички институции, които имат достъп до Националната шенгенска информационна система. През 2012</w:t>
      </w:r>
      <w:r w:rsidR="004D42A2">
        <w:rPr>
          <w:rFonts w:ascii="Times New Roman" w:eastAsia="Times New Roman" w:hAnsi="Times New Roman" w:cs="Times New Roman"/>
          <w:sz w:val="24"/>
          <w:szCs w:val="24"/>
        </w:rPr>
        <w:t> г.</w:t>
      </w:r>
      <w:r w:rsidR="00CB4700">
        <w:rPr>
          <w:rFonts w:ascii="Times New Roman" w:eastAsia="Times New Roman" w:hAnsi="Times New Roman" w:cs="Times New Roman"/>
          <w:sz w:val="24"/>
          <w:szCs w:val="24"/>
        </w:rPr>
        <w:t xml:space="preserve"> фокусът на обучението се</w:t>
      </w:r>
      <w:r w:rsidRPr="00FD4C39">
        <w:rPr>
          <w:rFonts w:ascii="Times New Roman" w:eastAsia="Times New Roman" w:hAnsi="Times New Roman" w:cs="Times New Roman"/>
          <w:sz w:val="24"/>
          <w:szCs w:val="24"/>
        </w:rPr>
        <w:t xml:space="preserve"> постав</w:t>
      </w:r>
      <w:r w:rsidR="00CB4700">
        <w:rPr>
          <w:rFonts w:ascii="Times New Roman" w:eastAsia="Times New Roman" w:hAnsi="Times New Roman" w:cs="Times New Roman"/>
          <w:sz w:val="24"/>
          <w:szCs w:val="24"/>
        </w:rPr>
        <w:t>я</w:t>
      </w:r>
      <w:r w:rsidRPr="00FD4C39">
        <w:rPr>
          <w:rFonts w:ascii="Times New Roman" w:eastAsia="Times New Roman" w:hAnsi="Times New Roman" w:cs="Times New Roman"/>
          <w:sz w:val="24"/>
          <w:szCs w:val="24"/>
        </w:rPr>
        <w:t xml:space="preserve"> върху органите на местната власт, като са проведени серия от обучения в редица областни градове в България. През 2013</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държавните органи, които</w:t>
      </w:r>
      <w:r w:rsidR="00CB4700">
        <w:rPr>
          <w:rFonts w:ascii="Times New Roman" w:eastAsia="Times New Roman" w:hAnsi="Times New Roman" w:cs="Times New Roman"/>
          <w:sz w:val="24"/>
          <w:szCs w:val="24"/>
        </w:rPr>
        <w:t xml:space="preserve"> вземат участие в обучението, се</w:t>
      </w:r>
      <w:r w:rsidRPr="00FD4C39">
        <w:rPr>
          <w:rFonts w:ascii="Times New Roman" w:eastAsia="Times New Roman" w:hAnsi="Times New Roman" w:cs="Times New Roman"/>
          <w:sz w:val="24"/>
          <w:szCs w:val="24"/>
        </w:rPr>
        <w:t xml:space="preserve"> подб</w:t>
      </w:r>
      <w:r w:rsidR="00CB4700">
        <w:rPr>
          <w:rFonts w:ascii="Times New Roman" w:eastAsia="Times New Roman" w:hAnsi="Times New Roman" w:cs="Times New Roman"/>
          <w:sz w:val="24"/>
          <w:szCs w:val="24"/>
        </w:rPr>
        <w:t>ират</w:t>
      </w:r>
      <w:r w:rsidRPr="00FD4C39">
        <w:rPr>
          <w:rFonts w:ascii="Times New Roman" w:eastAsia="Times New Roman" w:hAnsi="Times New Roman" w:cs="Times New Roman"/>
          <w:sz w:val="24"/>
          <w:szCs w:val="24"/>
        </w:rPr>
        <w:t xml:space="preserve"> въз основа на обема от лични данни, които събират и обработват. Т</w:t>
      </w:r>
      <w:r w:rsidR="00B206DC" w:rsidRPr="00FD4C39">
        <w:rPr>
          <w:rFonts w:ascii="Times New Roman" w:eastAsia="Times New Roman" w:hAnsi="Times New Roman" w:cs="Times New Roman"/>
          <w:sz w:val="24"/>
          <w:szCs w:val="24"/>
        </w:rPr>
        <w:t xml:space="preserve">ози принцип на работа </w:t>
      </w:r>
      <w:r w:rsidR="00CB4700">
        <w:rPr>
          <w:rFonts w:ascii="Times New Roman" w:eastAsia="Times New Roman" w:hAnsi="Times New Roman" w:cs="Times New Roman"/>
          <w:sz w:val="24"/>
          <w:szCs w:val="24"/>
        </w:rPr>
        <w:t>продължава</w:t>
      </w:r>
      <w:r w:rsidRPr="00FD4C39">
        <w:rPr>
          <w:rFonts w:ascii="Times New Roman" w:eastAsia="Times New Roman" w:hAnsi="Times New Roman" w:cs="Times New Roman"/>
          <w:sz w:val="24"/>
          <w:szCs w:val="24"/>
        </w:rPr>
        <w:t xml:space="preserve"> и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CB4700">
        <w:rPr>
          <w:rFonts w:ascii="Times New Roman" w:eastAsia="Times New Roman" w:hAnsi="Times New Roman" w:cs="Times New Roman"/>
          <w:sz w:val="24"/>
          <w:szCs w:val="24"/>
        </w:rPr>
        <w:t>Провежданите</w:t>
      </w:r>
      <w:r w:rsidR="00B206DC" w:rsidRPr="00FD4C39">
        <w:rPr>
          <w:rFonts w:ascii="Times New Roman" w:eastAsia="Times New Roman" w:hAnsi="Times New Roman" w:cs="Times New Roman"/>
          <w:sz w:val="24"/>
          <w:szCs w:val="24"/>
        </w:rPr>
        <w:t xml:space="preserve"> през отчетния период </w:t>
      </w:r>
      <w:r w:rsidR="00A269FB" w:rsidRPr="00FD4C39">
        <w:rPr>
          <w:rFonts w:ascii="Times New Roman" w:eastAsia="Times New Roman" w:hAnsi="Times New Roman" w:cs="Times New Roman"/>
          <w:sz w:val="24"/>
          <w:szCs w:val="24"/>
        </w:rPr>
        <w:t>обучения на</w:t>
      </w:r>
      <w:r w:rsidRPr="00FD4C39">
        <w:rPr>
          <w:rFonts w:ascii="Times New Roman" w:eastAsia="Times New Roman" w:hAnsi="Times New Roman" w:cs="Times New Roman"/>
          <w:sz w:val="24"/>
          <w:szCs w:val="24"/>
        </w:rPr>
        <w:t xml:space="preserve"> </w:t>
      </w:r>
      <w:r w:rsidR="00786BAB" w:rsidRPr="00FD4C39">
        <w:rPr>
          <w:rFonts w:ascii="Times New Roman" w:eastAsia="Times New Roman" w:hAnsi="Times New Roman" w:cs="Times New Roman"/>
          <w:sz w:val="24"/>
          <w:szCs w:val="24"/>
        </w:rPr>
        <w:t>АЛД</w:t>
      </w:r>
      <w:r w:rsidRPr="00FD4C39">
        <w:rPr>
          <w:rFonts w:ascii="Times New Roman" w:eastAsia="Times New Roman" w:hAnsi="Times New Roman" w:cs="Times New Roman"/>
          <w:sz w:val="24"/>
          <w:szCs w:val="24"/>
        </w:rPr>
        <w:t xml:space="preserve"> </w:t>
      </w:r>
      <w:r w:rsidR="00B206DC" w:rsidRPr="00FD4C39">
        <w:rPr>
          <w:rFonts w:ascii="Times New Roman" w:eastAsia="Times New Roman" w:hAnsi="Times New Roman" w:cs="Times New Roman"/>
          <w:sz w:val="24"/>
          <w:szCs w:val="24"/>
        </w:rPr>
        <w:t xml:space="preserve">обхващат администратори, </w:t>
      </w:r>
      <w:r w:rsidRPr="00FD4C39">
        <w:rPr>
          <w:rFonts w:ascii="Times New Roman" w:eastAsia="Times New Roman" w:hAnsi="Times New Roman" w:cs="Times New Roman"/>
          <w:sz w:val="24"/>
          <w:szCs w:val="24"/>
        </w:rPr>
        <w:t xml:space="preserve">работещи със значителни по обем информационни масиви. </w:t>
      </w:r>
      <w:r w:rsidR="00B206DC" w:rsidRPr="00FD4C39">
        <w:rPr>
          <w:rFonts w:ascii="Times New Roman" w:eastAsia="Times New Roman" w:hAnsi="Times New Roman" w:cs="Times New Roman"/>
          <w:sz w:val="24"/>
          <w:szCs w:val="24"/>
        </w:rPr>
        <w:t>Обученията през 2014</w:t>
      </w:r>
      <w:r w:rsidR="004D42A2">
        <w:rPr>
          <w:rFonts w:ascii="Times New Roman" w:eastAsia="Times New Roman" w:hAnsi="Times New Roman" w:cs="Times New Roman"/>
          <w:sz w:val="24"/>
          <w:szCs w:val="24"/>
        </w:rPr>
        <w:t> г.</w:t>
      </w:r>
      <w:r w:rsidR="00B206DC" w:rsidRPr="00FD4C39">
        <w:rPr>
          <w:rFonts w:ascii="Times New Roman" w:eastAsia="Times New Roman" w:hAnsi="Times New Roman" w:cs="Times New Roman"/>
          <w:sz w:val="24"/>
          <w:szCs w:val="24"/>
        </w:rPr>
        <w:t xml:space="preserve"> включват</w:t>
      </w:r>
      <w:r w:rsidRPr="00FD4C39">
        <w:rPr>
          <w:rFonts w:ascii="Times New Roman" w:eastAsia="Times New Roman" w:hAnsi="Times New Roman" w:cs="Times New Roman"/>
          <w:sz w:val="24"/>
          <w:szCs w:val="24"/>
        </w:rPr>
        <w:t xml:space="preserve"> семинар</w:t>
      </w:r>
      <w:r w:rsidR="004E166F" w:rsidRPr="00FD4C39">
        <w:rPr>
          <w:rFonts w:ascii="Times New Roman" w:eastAsia="Times New Roman" w:hAnsi="Times New Roman" w:cs="Times New Roman"/>
          <w:sz w:val="24"/>
          <w:szCs w:val="24"/>
        </w:rPr>
        <w:t>и</w:t>
      </w:r>
      <w:r w:rsidRPr="00FD4C39">
        <w:rPr>
          <w:rFonts w:ascii="Times New Roman" w:eastAsia="Times New Roman" w:hAnsi="Times New Roman" w:cs="Times New Roman"/>
          <w:sz w:val="24"/>
          <w:szCs w:val="24"/>
        </w:rPr>
        <w:t xml:space="preserve">, предназначени за съдии и съдебни служители от </w:t>
      </w:r>
      <w:r w:rsidR="00CB4700">
        <w:rPr>
          <w:rFonts w:ascii="Times New Roman" w:eastAsia="Times New Roman" w:hAnsi="Times New Roman" w:cs="Times New Roman"/>
          <w:sz w:val="24"/>
          <w:szCs w:val="24"/>
        </w:rPr>
        <w:t>а</w:t>
      </w:r>
      <w:r w:rsidRPr="00FD4C39">
        <w:rPr>
          <w:rFonts w:ascii="Times New Roman" w:eastAsia="Times New Roman" w:hAnsi="Times New Roman" w:cs="Times New Roman"/>
          <w:sz w:val="24"/>
          <w:szCs w:val="24"/>
        </w:rPr>
        <w:t xml:space="preserve">дминистративните съдилища в Хасково, Пазарджик и Смолян, </w:t>
      </w:r>
      <w:r w:rsidR="00CB4700">
        <w:rPr>
          <w:rFonts w:ascii="Times New Roman" w:eastAsia="Times New Roman" w:hAnsi="Times New Roman" w:cs="Times New Roman"/>
          <w:sz w:val="24"/>
          <w:szCs w:val="24"/>
          <w:highlight w:val="white"/>
          <w:shd w:val="clear" w:color="auto" w:fill="FEFEFE"/>
        </w:rPr>
        <w:t>Националния</w:t>
      </w:r>
      <w:r w:rsidRPr="00FD4C39">
        <w:rPr>
          <w:rFonts w:ascii="Times New Roman" w:eastAsia="Times New Roman" w:hAnsi="Times New Roman" w:cs="Times New Roman"/>
          <w:sz w:val="24"/>
          <w:szCs w:val="24"/>
          <w:highlight w:val="white"/>
          <w:shd w:val="clear" w:color="auto" w:fill="FEFEFE"/>
        </w:rPr>
        <w:t xml:space="preserve"> осигурителен институт</w:t>
      </w:r>
      <w:r w:rsidR="00BE20B6" w:rsidRPr="00FD4C39">
        <w:rPr>
          <w:rFonts w:ascii="Times New Roman" w:eastAsia="Times New Roman" w:hAnsi="Times New Roman" w:cs="Times New Roman"/>
          <w:sz w:val="24"/>
          <w:szCs w:val="24"/>
          <w:shd w:val="clear" w:color="auto" w:fill="FEFEFE"/>
        </w:rPr>
        <w:t>,</w:t>
      </w:r>
      <w:r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highlight w:val="white"/>
          <w:shd w:val="clear" w:color="auto" w:fill="FEFEFE"/>
        </w:rPr>
        <w:t>Министерство</w:t>
      </w:r>
      <w:r w:rsidR="00CB4700">
        <w:rPr>
          <w:rFonts w:ascii="Times New Roman" w:eastAsia="Times New Roman" w:hAnsi="Times New Roman" w:cs="Times New Roman"/>
          <w:sz w:val="24"/>
          <w:szCs w:val="24"/>
          <w:highlight w:val="white"/>
          <w:shd w:val="clear" w:color="auto" w:fill="FEFEFE"/>
        </w:rPr>
        <w:t>то</w:t>
      </w:r>
      <w:r w:rsidRPr="00FD4C39">
        <w:rPr>
          <w:rFonts w:ascii="Times New Roman" w:eastAsia="Times New Roman" w:hAnsi="Times New Roman" w:cs="Times New Roman"/>
          <w:sz w:val="24"/>
          <w:szCs w:val="24"/>
          <w:highlight w:val="white"/>
          <w:shd w:val="clear" w:color="auto" w:fill="FEFEFE"/>
        </w:rPr>
        <w:t xml:space="preserve"> на труда и социалната политика</w:t>
      </w:r>
      <w:r w:rsidRPr="00FD4C39">
        <w:rPr>
          <w:rFonts w:ascii="Times New Roman" w:eastAsia="Times New Roman" w:hAnsi="Times New Roman" w:cs="Times New Roman"/>
          <w:sz w:val="24"/>
          <w:szCs w:val="24"/>
        </w:rPr>
        <w:t xml:space="preserve"> и </w:t>
      </w:r>
      <w:r w:rsidRPr="00FD4C39">
        <w:rPr>
          <w:rFonts w:ascii="Times New Roman" w:eastAsia="Times New Roman" w:hAnsi="Times New Roman" w:cs="Times New Roman"/>
          <w:sz w:val="24"/>
          <w:szCs w:val="24"/>
          <w:highlight w:val="white"/>
          <w:shd w:val="clear" w:color="auto" w:fill="FEFEFE"/>
        </w:rPr>
        <w:t>Национална</w:t>
      </w:r>
      <w:r w:rsidR="00CB4700">
        <w:rPr>
          <w:rFonts w:ascii="Times New Roman" w:eastAsia="Times New Roman" w:hAnsi="Times New Roman" w:cs="Times New Roman"/>
          <w:sz w:val="24"/>
          <w:szCs w:val="24"/>
          <w:highlight w:val="white"/>
          <w:shd w:val="clear" w:color="auto" w:fill="FEFEFE"/>
        </w:rPr>
        <w:t>та</w:t>
      </w:r>
      <w:r w:rsidRPr="00FD4C39">
        <w:rPr>
          <w:rFonts w:ascii="Times New Roman" w:eastAsia="Times New Roman" w:hAnsi="Times New Roman" w:cs="Times New Roman"/>
          <w:sz w:val="24"/>
          <w:szCs w:val="24"/>
          <w:highlight w:val="white"/>
          <w:shd w:val="clear" w:color="auto" w:fill="FEFEFE"/>
        </w:rPr>
        <w:t xml:space="preserve"> агенция за приходите</w:t>
      </w:r>
      <w:r w:rsidRPr="00FD4C39">
        <w:rPr>
          <w:rFonts w:ascii="Times New Roman" w:eastAsia="Times New Roman" w:hAnsi="Times New Roman" w:cs="Times New Roman"/>
          <w:sz w:val="24"/>
          <w:szCs w:val="24"/>
          <w:shd w:val="clear" w:color="auto" w:fill="FEFEFE"/>
        </w:rPr>
        <w:t>.</w:t>
      </w:r>
    </w:p>
    <w:p w:rsidR="00D518CF" w:rsidRPr="00FD4C39" w:rsidRDefault="00D518CF"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по покана на Националния институт на правосъдието за първи път представител на </w:t>
      </w:r>
      <w:r w:rsidR="00FE7018" w:rsidRPr="00FD4C39">
        <w:rPr>
          <w:rFonts w:ascii="Times New Roman" w:eastAsia="Times New Roman" w:hAnsi="Times New Roman" w:cs="Times New Roman"/>
          <w:sz w:val="24"/>
          <w:szCs w:val="24"/>
        </w:rPr>
        <w:t>КЗЛД</w:t>
      </w:r>
      <w:r w:rsidR="00DC0A8C" w:rsidRPr="00FD4C39">
        <w:rPr>
          <w:rFonts w:ascii="Times New Roman" w:eastAsia="Times New Roman" w:hAnsi="Times New Roman" w:cs="Times New Roman"/>
          <w:sz w:val="24"/>
          <w:szCs w:val="24"/>
        </w:rPr>
        <w:t xml:space="preserve"> </w:t>
      </w:r>
      <w:r w:rsidR="00CB4700">
        <w:rPr>
          <w:rFonts w:ascii="Times New Roman" w:eastAsia="Times New Roman" w:hAnsi="Times New Roman" w:cs="Times New Roman"/>
          <w:sz w:val="24"/>
          <w:szCs w:val="24"/>
        </w:rPr>
        <w:t>се</w:t>
      </w:r>
      <w:r w:rsidRPr="00FD4C39">
        <w:rPr>
          <w:rFonts w:ascii="Times New Roman" w:eastAsia="Times New Roman" w:hAnsi="Times New Roman" w:cs="Times New Roman"/>
          <w:sz w:val="24"/>
          <w:szCs w:val="24"/>
        </w:rPr>
        <w:t xml:space="preserve"> включ</w:t>
      </w:r>
      <w:r w:rsidR="00CB4700">
        <w:rPr>
          <w:rFonts w:ascii="Times New Roman" w:eastAsia="Times New Roman" w:hAnsi="Times New Roman" w:cs="Times New Roman"/>
          <w:sz w:val="24"/>
          <w:szCs w:val="24"/>
        </w:rPr>
        <w:t>ва</w:t>
      </w:r>
      <w:r w:rsidRPr="00FD4C39">
        <w:rPr>
          <w:rFonts w:ascii="Times New Roman" w:eastAsia="Times New Roman" w:hAnsi="Times New Roman" w:cs="Times New Roman"/>
          <w:sz w:val="24"/>
          <w:szCs w:val="24"/>
        </w:rPr>
        <w:t xml:space="preserve"> като лектор в серията дистанционни обучения на института. Конкретното обучение на тема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Защита на личните данни в съдебната система</w:t>
      </w:r>
      <w:r w:rsidR="00CB4700">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предназначено за съдебни служители от съдилищата в страната, </w:t>
      </w:r>
      <w:r w:rsidR="00CB4700">
        <w:rPr>
          <w:rFonts w:ascii="Times New Roman" w:eastAsia="Times New Roman" w:hAnsi="Times New Roman" w:cs="Times New Roman"/>
          <w:sz w:val="24"/>
          <w:szCs w:val="24"/>
        </w:rPr>
        <w:t>се</w:t>
      </w:r>
      <w:r w:rsidRPr="00FD4C39">
        <w:rPr>
          <w:rFonts w:ascii="Times New Roman" w:eastAsia="Times New Roman" w:hAnsi="Times New Roman" w:cs="Times New Roman"/>
          <w:sz w:val="24"/>
          <w:szCs w:val="24"/>
        </w:rPr>
        <w:t xml:space="preserve"> прове</w:t>
      </w:r>
      <w:r w:rsidR="00CB4700">
        <w:rPr>
          <w:rFonts w:ascii="Times New Roman" w:eastAsia="Times New Roman" w:hAnsi="Times New Roman" w:cs="Times New Roman"/>
          <w:sz w:val="24"/>
          <w:szCs w:val="24"/>
        </w:rPr>
        <w:t>жда</w:t>
      </w:r>
      <w:r w:rsidRPr="00FD4C39">
        <w:rPr>
          <w:rFonts w:ascii="Times New Roman" w:eastAsia="Times New Roman" w:hAnsi="Times New Roman" w:cs="Times New Roman"/>
          <w:sz w:val="24"/>
          <w:szCs w:val="24"/>
        </w:rPr>
        <w:t xml:space="preserve"> в дистанц</w:t>
      </w:r>
      <w:r w:rsidR="00CB4700">
        <w:rPr>
          <w:rFonts w:ascii="Times New Roman" w:eastAsia="Times New Roman" w:hAnsi="Times New Roman" w:cs="Times New Roman"/>
          <w:sz w:val="24"/>
          <w:szCs w:val="24"/>
        </w:rPr>
        <w:t xml:space="preserve">ионна форма с присъствена среща посредством специализирана </w:t>
      </w:r>
      <w:proofErr w:type="spellStart"/>
      <w:r w:rsidR="00CB4700">
        <w:rPr>
          <w:rFonts w:ascii="Times New Roman" w:eastAsia="Times New Roman" w:hAnsi="Times New Roman" w:cs="Times New Roman"/>
          <w:sz w:val="24"/>
          <w:szCs w:val="24"/>
        </w:rPr>
        <w:t>уеб</w:t>
      </w:r>
      <w:r w:rsidRPr="00FD4C39">
        <w:rPr>
          <w:rFonts w:ascii="Times New Roman" w:eastAsia="Times New Roman" w:hAnsi="Times New Roman" w:cs="Times New Roman"/>
          <w:sz w:val="24"/>
          <w:szCs w:val="24"/>
        </w:rPr>
        <w:t>базирана</w:t>
      </w:r>
      <w:proofErr w:type="spellEnd"/>
      <w:r w:rsidRPr="00FD4C39">
        <w:rPr>
          <w:rFonts w:ascii="Times New Roman" w:eastAsia="Times New Roman" w:hAnsi="Times New Roman" w:cs="Times New Roman"/>
          <w:sz w:val="24"/>
          <w:szCs w:val="24"/>
        </w:rPr>
        <w:t xml:space="preserve"> система на института.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4.</w:t>
      </w:r>
      <w:r w:rsidR="00695EBF" w:rsidRPr="00FD4C39">
        <w:rPr>
          <w:rFonts w:ascii="Times New Roman" w:eastAsia="Times New Roman" w:hAnsi="Times New Roman" w:cs="Times New Roman"/>
          <w:b/>
          <w:sz w:val="24"/>
          <w:szCs w:val="24"/>
        </w:rPr>
        <w:t xml:space="preserve"> </w:t>
      </w:r>
      <w:r w:rsidRPr="00FD4C39">
        <w:rPr>
          <w:rFonts w:ascii="Times New Roman" w:eastAsia="Times New Roman" w:hAnsi="Times New Roman" w:cs="Times New Roman"/>
          <w:b/>
          <w:sz w:val="24"/>
          <w:szCs w:val="24"/>
        </w:rPr>
        <w:t>Обучение,</w:t>
      </w:r>
      <w:r w:rsidRPr="00FD4C39">
        <w:rPr>
          <w:rFonts w:ascii="Times New Roman" w:eastAsia="Times New Roman" w:hAnsi="Times New Roman" w:cs="Times New Roman"/>
          <w:b/>
          <w:color w:val="000000"/>
          <w:spacing w:val="-5"/>
          <w:sz w:val="24"/>
          <w:szCs w:val="24"/>
        </w:rPr>
        <w:t xml:space="preserve"> провеждано съвместно с партньорски организации</w:t>
      </w:r>
    </w:p>
    <w:p w:rsidR="00FD2F02" w:rsidRPr="00FD4C39" w:rsidRDefault="00932067"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w:t>
      </w:r>
      <w:r w:rsidR="00FD2F02" w:rsidRPr="00FD4C39">
        <w:rPr>
          <w:rFonts w:ascii="Times New Roman" w:eastAsia="Times New Roman" w:hAnsi="Times New Roman" w:cs="Times New Roman"/>
          <w:sz w:val="24"/>
          <w:szCs w:val="24"/>
        </w:rPr>
        <w:t>рез 201</w:t>
      </w:r>
      <w:r w:rsidR="00753697" w:rsidRPr="00FD4C39">
        <w:rPr>
          <w:rFonts w:ascii="Times New Roman" w:eastAsia="Times New Roman" w:hAnsi="Times New Roman" w:cs="Times New Roman"/>
          <w:sz w:val="24"/>
          <w:szCs w:val="24"/>
        </w:rPr>
        <w:t>4</w:t>
      </w:r>
      <w:r w:rsidR="004D42A2">
        <w:rPr>
          <w:rFonts w:ascii="Times New Roman" w:eastAsia="Times New Roman" w:hAnsi="Times New Roman" w:cs="Times New Roman"/>
          <w:sz w:val="24"/>
          <w:szCs w:val="24"/>
        </w:rPr>
        <w:t> г.</w:t>
      </w:r>
      <w:r w:rsidR="00FD2F02" w:rsidRPr="00FD4C39">
        <w:rPr>
          <w:rFonts w:ascii="Times New Roman" w:eastAsia="Times New Roman" w:hAnsi="Times New Roman" w:cs="Times New Roman"/>
          <w:sz w:val="24"/>
          <w:szCs w:val="24"/>
        </w:rPr>
        <w:t xml:space="preserve"> КЗЛД успя</w:t>
      </w:r>
      <w:r w:rsidR="00753697" w:rsidRPr="00FD4C39">
        <w:rPr>
          <w:rFonts w:ascii="Times New Roman" w:eastAsia="Times New Roman" w:hAnsi="Times New Roman" w:cs="Times New Roman"/>
          <w:sz w:val="24"/>
          <w:szCs w:val="24"/>
        </w:rPr>
        <w:t>ва</w:t>
      </w:r>
      <w:r w:rsidR="00FD2F02" w:rsidRPr="00FD4C39">
        <w:rPr>
          <w:rFonts w:ascii="Times New Roman" w:eastAsia="Times New Roman" w:hAnsi="Times New Roman" w:cs="Times New Roman"/>
          <w:sz w:val="24"/>
          <w:szCs w:val="24"/>
        </w:rPr>
        <w:t xml:space="preserve"> успешно да прил</w:t>
      </w:r>
      <w:r w:rsidR="00753697" w:rsidRPr="00FD4C39">
        <w:rPr>
          <w:rFonts w:ascii="Times New Roman" w:eastAsia="Times New Roman" w:hAnsi="Times New Roman" w:cs="Times New Roman"/>
          <w:sz w:val="24"/>
          <w:szCs w:val="24"/>
        </w:rPr>
        <w:t>ага</w:t>
      </w:r>
      <w:r w:rsidR="00FD2F02" w:rsidRPr="00FD4C39">
        <w:rPr>
          <w:rFonts w:ascii="Times New Roman" w:eastAsia="Times New Roman" w:hAnsi="Times New Roman" w:cs="Times New Roman"/>
          <w:sz w:val="24"/>
          <w:szCs w:val="24"/>
        </w:rPr>
        <w:t xml:space="preserve"> добрата практика по провеждане на обучение с помощта на партньори, при което осигурява лекторите и материалите за обучението, а партньорската организация е отговорна за организацията на самото </w:t>
      </w:r>
      <w:r w:rsidR="00FD2F02" w:rsidRPr="00FD4C39">
        <w:rPr>
          <w:rFonts w:ascii="Times New Roman" w:eastAsia="Times New Roman" w:hAnsi="Times New Roman" w:cs="Times New Roman"/>
          <w:sz w:val="24"/>
          <w:szCs w:val="24"/>
        </w:rPr>
        <w:lastRenderedPageBreak/>
        <w:t>обучение, както и за р</w:t>
      </w:r>
      <w:r w:rsidRPr="00FD4C39">
        <w:rPr>
          <w:rFonts w:ascii="Times New Roman" w:eastAsia="Times New Roman" w:hAnsi="Times New Roman" w:cs="Times New Roman"/>
          <w:sz w:val="24"/>
          <w:szCs w:val="24"/>
        </w:rPr>
        <w:t>азпространението на материалите.</w:t>
      </w:r>
      <w:r w:rsidR="00FD2F02" w:rsidRPr="00FD4C39">
        <w:rPr>
          <w:rFonts w:ascii="Times New Roman" w:eastAsia="Times New Roman" w:hAnsi="Times New Roman" w:cs="Times New Roman"/>
          <w:sz w:val="24"/>
          <w:szCs w:val="24"/>
        </w:rPr>
        <w:t xml:space="preserve"> Обучението, провеждано съвместно с партньорски организации, е особено ползотворно за </w:t>
      </w:r>
      <w:r w:rsidR="00FE7018" w:rsidRPr="00FD4C39">
        <w:rPr>
          <w:rFonts w:ascii="Times New Roman" w:eastAsia="Times New Roman" w:hAnsi="Times New Roman" w:cs="Times New Roman"/>
          <w:sz w:val="24"/>
          <w:szCs w:val="24"/>
        </w:rPr>
        <w:t>КЗЛД</w:t>
      </w:r>
      <w:r w:rsidR="00FD2F02" w:rsidRPr="00FD4C39">
        <w:rPr>
          <w:rFonts w:ascii="Times New Roman" w:eastAsia="Times New Roman" w:hAnsi="Times New Roman" w:cs="Times New Roman"/>
          <w:sz w:val="24"/>
          <w:szCs w:val="24"/>
        </w:rPr>
        <w:t xml:space="preserve">, тъй като облекчава </w:t>
      </w:r>
      <w:r w:rsidRPr="00FD4C39">
        <w:rPr>
          <w:rFonts w:ascii="Times New Roman" w:eastAsia="Times New Roman" w:hAnsi="Times New Roman" w:cs="Times New Roman"/>
          <w:sz w:val="24"/>
          <w:szCs w:val="24"/>
        </w:rPr>
        <w:t xml:space="preserve">институцията при логистиката на обучителния процес. </w:t>
      </w:r>
      <w:r w:rsidR="00FD2F02"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00FD2F02" w:rsidRPr="00FD4C39">
        <w:rPr>
          <w:rFonts w:ascii="Times New Roman" w:eastAsia="Times New Roman" w:hAnsi="Times New Roman" w:cs="Times New Roman"/>
          <w:sz w:val="24"/>
          <w:szCs w:val="24"/>
        </w:rPr>
        <w:t xml:space="preserve"> </w:t>
      </w:r>
      <w:r w:rsidR="00FE7018" w:rsidRPr="00FD4C39">
        <w:rPr>
          <w:rFonts w:ascii="Times New Roman" w:eastAsia="Times New Roman" w:hAnsi="Times New Roman" w:cs="Times New Roman"/>
          <w:sz w:val="24"/>
          <w:szCs w:val="24"/>
        </w:rPr>
        <w:t>КЗЛД</w:t>
      </w:r>
      <w:r w:rsidR="00FD2F02" w:rsidRPr="00FD4C39">
        <w:rPr>
          <w:rFonts w:ascii="Times New Roman" w:eastAsia="Times New Roman" w:hAnsi="Times New Roman" w:cs="Times New Roman"/>
          <w:sz w:val="24"/>
          <w:szCs w:val="24"/>
        </w:rPr>
        <w:t xml:space="preserve"> продълж</w:t>
      </w:r>
      <w:r w:rsidR="00DC0A8C" w:rsidRPr="00FD4C39">
        <w:rPr>
          <w:rFonts w:ascii="Times New Roman" w:eastAsia="Times New Roman" w:hAnsi="Times New Roman" w:cs="Times New Roman"/>
          <w:sz w:val="24"/>
          <w:szCs w:val="24"/>
        </w:rPr>
        <w:t>ава</w:t>
      </w:r>
      <w:r w:rsidR="00FD2F02" w:rsidRPr="00FD4C39">
        <w:rPr>
          <w:rFonts w:ascii="Times New Roman" w:eastAsia="Times New Roman" w:hAnsi="Times New Roman" w:cs="Times New Roman"/>
          <w:sz w:val="24"/>
          <w:szCs w:val="24"/>
        </w:rPr>
        <w:t xml:space="preserve"> сътрудничество си с Международния банков институт и Инсти</w:t>
      </w:r>
      <w:r w:rsidR="00090F78" w:rsidRPr="00FD4C39">
        <w:rPr>
          <w:rFonts w:ascii="Times New Roman" w:eastAsia="Times New Roman" w:hAnsi="Times New Roman" w:cs="Times New Roman"/>
          <w:sz w:val="24"/>
          <w:szCs w:val="24"/>
        </w:rPr>
        <w:t>тута по публична администрация, като о</w:t>
      </w:r>
      <w:r w:rsidR="00FD2F02" w:rsidRPr="00FD4C39">
        <w:rPr>
          <w:rFonts w:ascii="Times New Roman" w:eastAsia="Times New Roman" w:hAnsi="Times New Roman" w:cs="Times New Roman"/>
          <w:sz w:val="24"/>
          <w:szCs w:val="24"/>
        </w:rPr>
        <w:t>бщо са пров</w:t>
      </w:r>
      <w:r w:rsidR="00CB4700">
        <w:rPr>
          <w:rFonts w:ascii="Times New Roman" w:eastAsia="Times New Roman" w:hAnsi="Times New Roman" w:cs="Times New Roman"/>
          <w:sz w:val="24"/>
          <w:szCs w:val="24"/>
        </w:rPr>
        <w:t>едени 7 обучителни семинара с над 270 участници</w:t>
      </w:r>
      <w:r w:rsidR="00FD2F02" w:rsidRPr="00FD4C39">
        <w:rPr>
          <w:rFonts w:ascii="Times New Roman" w:eastAsia="Times New Roman" w:hAnsi="Times New Roman" w:cs="Times New Roman"/>
          <w:sz w:val="24"/>
          <w:szCs w:val="24"/>
        </w:rPr>
        <w:t>.</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5. Статистика и тенденции</w:t>
      </w:r>
    </w:p>
    <w:p w:rsidR="00CA6D23"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00DB36AA">
        <w:rPr>
          <w:rFonts w:ascii="Times New Roman" w:eastAsia="Times New Roman" w:hAnsi="Times New Roman" w:cs="Times New Roman"/>
          <w:sz w:val="24"/>
          <w:szCs w:val="24"/>
        </w:rPr>
        <w:t xml:space="preserve"> в провежданите</w:t>
      </w:r>
      <w:r w:rsidRPr="00FD4C39">
        <w:rPr>
          <w:rFonts w:ascii="Times New Roman" w:eastAsia="Times New Roman" w:hAnsi="Times New Roman" w:cs="Times New Roman"/>
          <w:sz w:val="24"/>
          <w:szCs w:val="24"/>
        </w:rPr>
        <w:t xml:space="preserve"> от КЗЛД обучения участие вземат </w:t>
      </w:r>
      <w:r w:rsidR="00CA6D23" w:rsidRPr="00FD4C39">
        <w:rPr>
          <w:rFonts w:ascii="Times New Roman" w:eastAsia="Times New Roman" w:hAnsi="Times New Roman" w:cs="Times New Roman"/>
          <w:sz w:val="24"/>
          <w:szCs w:val="24"/>
        </w:rPr>
        <w:t>515 администратори и обработващи лични данни</w:t>
      </w:r>
      <w:r w:rsidRPr="00FD4C39">
        <w:rPr>
          <w:rFonts w:ascii="Times New Roman" w:eastAsia="Times New Roman" w:hAnsi="Times New Roman" w:cs="Times New Roman"/>
          <w:sz w:val="24"/>
          <w:szCs w:val="24"/>
        </w:rPr>
        <w:t xml:space="preserve">, което представлява увеличение с </w:t>
      </w:r>
      <w:r w:rsidR="00BD6891" w:rsidRPr="00FD4C39">
        <w:rPr>
          <w:rFonts w:ascii="Times New Roman" w:eastAsia="Times New Roman" w:hAnsi="Times New Roman" w:cs="Times New Roman"/>
          <w:sz w:val="24"/>
          <w:szCs w:val="24"/>
        </w:rPr>
        <w:t>над</w:t>
      </w:r>
      <w:r w:rsidR="00D514A9" w:rsidRPr="00FD4C39">
        <w:rPr>
          <w:rFonts w:ascii="Times New Roman" w:eastAsia="Times New Roman" w:hAnsi="Times New Roman" w:cs="Times New Roman"/>
          <w:sz w:val="24"/>
          <w:szCs w:val="24"/>
        </w:rPr>
        <w:t xml:space="preserve"> </w:t>
      </w:r>
      <w:r w:rsidR="00BD6891" w:rsidRPr="00FD4C39">
        <w:rPr>
          <w:rFonts w:ascii="Times New Roman" w:eastAsia="Times New Roman" w:hAnsi="Times New Roman" w:cs="Times New Roman"/>
          <w:sz w:val="24"/>
          <w:szCs w:val="24"/>
        </w:rPr>
        <w:t>38</w:t>
      </w:r>
      <w:r w:rsidRPr="00FD4C39">
        <w:rPr>
          <w:rFonts w:ascii="Times New Roman" w:eastAsia="Times New Roman" w:hAnsi="Times New Roman" w:cs="Times New Roman"/>
          <w:sz w:val="24"/>
          <w:szCs w:val="24"/>
        </w:rPr>
        <w:t xml:space="preserve">% спрямо предходната година.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Практика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е в хода на обученията да се предоставя анкета за обратна връзка,</w:t>
      </w:r>
      <w:r w:rsidR="00DB36AA">
        <w:rPr>
          <w:rFonts w:ascii="Times New Roman" w:eastAsia="Times New Roman" w:hAnsi="Times New Roman" w:cs="Times New Roman"/>
          <w:sz w:val="24"/>
          <w:szCs w:val="24"/>
        </w:rPr>
        <w:t xml:space="preserve"> чрез която обучаемите оценяват</w:t>
      </w:r>
      <w:r w:rsidRPr="00FD4C39">
        <w:rPr>
          <w:rFonts w:ascii="Times New Roman" w:eastAsia="Times New Roman" w:hAnsi="Times New Roman" w:cs="Times New Roman"/>
          <w:sz w:val="24"/>
          <w:szCs w:val="24"/>
        </w:rPr>
        <w:t xml:space="preserve"> </w:t>
      </w:r>
      <w:r w:rsidR="00A72C1C" w:rsidRPr="00FD4C39">
        <w:rPr>
          <w:rFonts w:ascii="Times New Roman" w:eastAsia="Times New Roman" w:hAnsi="Times New Roman" w:cs="Times New Roman"/>
          <w:sz w:val="24"/>
          <w:szCs w:val="24"/>
        </w:rPr>
        <w:t xml:space="preserve">извършеното </w:t>
      </w:r>
      <w:r w:rsidRPr="00FD4C39">
        <w:rPr>
          <w:rFonts w:ascii="Times New Roman" w:eastAsia="Times New Roman" w:hAnsi="Times New Roman" w:cs="Times New Roman"/>
          <w:sz w:val="24"/>
          <w:szCs w:val="24"/>
        </w:rPr>
        <w:t>обучение. Статистиката сочи, че</w:t>
      </w:r>
      <w:r w:rsidR="00DB36AA">
        <w:rPr>
          <w:rFonts w:ascii="Times New Roman" w:eastAsia="Times New Roman" w:hAnsi="Times New Roman" w:cs="Times New Roman"/>
          <w:sz w:val="24"/>
          <w:szCs w:val="24"/>
        </w:rPr>
        <w:t xml:space="preserve"> през отчетния период 199 души</w:t>
      </w:r>
      <w:r w:rsidRPr="00FD4C39">
        <w:rPr>
          <w:rFonts w:ascii="Times New Roman" w:eastAsia="Times New Roman" w:hAnsi="Times New Roman" w:cs="Times New Roman"/>
          <w:sz w:val="24"/>
          <w:szCs w:val="24"/>
        </w:rPr>
        <w:t xml:space="preserve"> </w:t>
      </w:r>
      <w:r w:rsidR="00DB36AA">
        <w:rPr>
          <w:rFonts w:ascii="Times New Roman" w:eastAsia="Times New Roman" w:hAnsi="Times New Roman" w:cs="Times New Roman"/>
          <w:sz w:val="24"/>
          <w:szCs w:val="24"/>
        </w:rPr>
        <w:t>попълват</w:t>
      </w:r>
      <w:r w:rsidRPr="00FD4C39">
        <w:rPr>
          <w:rFonts w:ascii="Times New Roman" w:eastAsia="Times New Roman" w:hAnsi="Times New Roman" w:cs="Times New Roman"/>
          <w:sz w:val="24"/>
          <w:szCs w:val="24"/>
        </w:rPr>
        <w:t xml:space="preserve"> предоставените анкети. Въз основа на обобщените резултати </w:t>
      </w:r>
      <w:r w:rsidR="00DB36AA">
        <w:rPr>
          <w:rFonts w:ascii="Times New Roman" w:eastAsia="Times New Roman" w:hAnsi="Times New Roman" w:cs="Times New Roman"/>
          <w:sz w:val="24"/>
          <w:szCs w:val="24"/>
        </w:rPr>
        <w:t>се получава</w:t>
      </w:r>
      <w:r w:rsidRPr="00FD4C39">
        <w:rPr>
          <w:rFonts w:ascii="Times New Roman" w:eastAsia="Times New Roman" w:hAnsi="Times New Roman" w:cs="Times New Roman"/>
          <w:sz w:val="24"/>
          <w:szCs w:val="24"/>
        </w:rPr>
        <w:t xml:space="preserve"> следната оценка на обучението (фиг.</w:t>
      </w:r>
      <w:r w:rsidR="00685D01" w:rsidRPr="00FD4C39">
        <w:rPr>
          <w:rFonts w:ascii="Times New Roman" w:eastAsia="Times New Roman" w:hAnsi="Times New Roman" w:cs="Times New Roman"/>
          <w:sz w:val="24"/>
          <w:szCs w:val="24"/>
        </w:rPr>
        <w:t>1</w:t>
      </w:r>
      <w:r w:rsidR="00932067" w:rsidRPr="00FD4C39">
        <w:rPr>
          <w:rFonts w:ascii="Times New Roman" w:eastAsia="Times New Roman" w:hAnsi="Times New Roman" w:cs="Times New Roman"/>
          <w:sz w:val="24"/>
          <w:szCs w:val="24"/>
        </w:rPr>
        <w:t>1</w:t>
      </w:r>
      <w:r w:rsidRPr="00FD4C39">
        <w:rPr>
          <w:rFonts w:ascii="Times New Roman" w:eastAsia="Times New Roman" w:hAnsi="Times New Roman" w:cs="Times New Roman"/>
          <w:sz w:val="24"/>
          <w:szCs w:val="24"/>
        </w:rPr>
        <w:t>):</w:t>
      </w:r>
    </w:p>
    <w:p w:rsidR="00541B14" w:rsidRPr="00FD4C39" w:rsidRDefault="00541B14" w:rsidP="007B189E">
      <w:pPr>
        <w:spacing w:after="0" w:line="360" w:lineRule="auto"/>
        <w:ind w:firstLine="709"/>
        <w:jc w:val="both"/>
        <w:rPr>
          <w:rFonts w:ascii="Times New Roman" w:eastAsia="Times New Roman" w:hAnsi="Times New Roman" w:cs="Times New Roman"/>
          <w:sz w:val="24"/>
          <w:szCs w:val="24"/>
        </w:rPr>
      </w:pPr>
    </w:p>
    <w:p w:rsidR="00FD2F02" w:rsidRPr="00FD4C39" w:rsidRDefault="000D1643" w:rsidP="00384216">
      <w:pPr>
        <w:spacing w:after="0" w:line="360" w:lineRule="auto"/>
        <w:ind w:firstLine="426"/>
        <w:jc w:val="both"/>
        <w:rPr>
          <w:rFonts w:ascii="Times New Roman" w:eastAsia="Times New Roman" w:hAnsi="Times New Roman" w:cs="Times New Roman"/>
          <w:color w:val="000000"/>
          <w:sz w:val="24"/>
          <w:szCs w:val="24"/>
        </w:rPr>
      </w:pPr>
      <w:r w:rsidRPr="00FD4C39">
        <w:rPr>
          <w:rFonts w:ascii="Times New Roman" w:hAnsi="Times New Roman" w:cs="Times New Roman"/>
          <w:noProof/>
          <w:sz w:val="24"/>
          <w:szCs w:val="24"/>
        </w:rPr>
        <w:drawing>
          <wp:inline distT="0" distB="0" distL="0" distR="0" wp14:anchorId="4A97A56C" wp14:editId="36B2089C">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2F02" w:rsidRPr="00FD4C39" w:rsidRDefault="00685D01" w:rsidP="007B189E">
      <w:pPr>
        <w:spacing w:after="0" w:line="360" w:lineRule="auto"/>
        <w:ind w:firstLine="709"/>
        <w:jc w:val="center"/>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t>Фиг. 1</w:t>
      </w:r>
      <w:r w:rsidR="00932067" w:rsidRPr="00FD4C39">
        <w:rPr>
          <w:rFonts w:ascii="Times New Roman" w:eastAsia="Times New Roman" w:hAnsi="Times New Roman" w:cs="Times New Roman"/>
          <w:b/>
          <w:sz w:val="24"/>
          <w:szCs w:val="24"/>
        </w:rPr>
        <w:t>1</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При сравнителен анализ на резултатите от обучението с предходните 2011, 2012 и 2013</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може да бъде направен </w:t>
      </w:r>
      <w:r w:rsidR="00932067" w:rsidRPr="00FD4C39">
        <w:rPr>
          <w:rFonts w:ascii="Times New Roman" w:eastAsia="Times New Roman" w:hAnsi="Times New Roman" w:cs="Times New Roman"/>
          <w:sz w:val="24"/>
          <w:szCs w:val="24"/>
        </w:rPr>
        <w:t xml:space="preserve">обоснован </w:t>
      </w:r>
      <w:r w:rsidRPr="00FD4C39">
        <w:rPr>
          <w:rFonts w:ascii="Times New Roman" w:eastAsia="Times New Roman" w:hAnsi="Times New Roman" w:cs="Times New Roman"/>
          <w:sz w:val="24"/>
          <w:szCs w:val="24"/>
        </w:rPr>
        <w:t xml:space="preserve">извод, че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успява значително да повиши нивото на своите обучения. Това е следствие от актуализирането и </w:t>
      </w:r>
      <w:r w:rsidRPr="00FD4C39">
        <w:rPr>
          <w:rFonts w:ascii="Times New Roman" w:eastAsia="Times New Roman" w:hAnsi="Times New Roman" w:cs="Times New Roman"/>
          <w:sz w:val="24"/>
          <w:szCs w:val="24"/>
        </w:rPr>
        <w:lastRenderedPageBreak/>
        <w:t>ад</w:t>
      </w:r>
      <w:r w:rsidR="00DB36AA">
        <w:rPr>
          <w:rFonts w:ascii="Times New Roman" w:eastAsia="Times New Roman" w:hAnsi="Times New Roman" w:cs="Times New Roman"/>
          <w:sz w:val="24"/>
          <w:szCs w:val="24"/>
        </w:rPr>
        <w:t>аптирането на учебната програма</w:t>
      </w:r>
      <w:r w:rsidRPr="00FD4C39">
        <w:rPr>
          <w:rFonts w:ascii="Times New Roman" w:eastAsia="Times New Roman" w:hAnsi="Times New Roman" w:cs="Times New Roman"/>
          <w:sz w:val="24"/>
          <w:szCs w:val="24"/>
        </w:rPr>
        <w:t xml:space="preserve"> съгласно акумулираните препоръки и научени уроци през предходните години. Темите на лекциите през 2014</w:t>
      </w:r>
      <w:r w:rsidR="004D42A2">
        <w:rPr>
          <w:rFonts w:ascii="Times New Roman" w:eastAsia="Times New Roman" w:hAnsi="Times New Roman" w:cs="Times New Roman"/>
          <w:sz w:val="24"/>
          <w:szCs w:val="24"/>
        </w:rPr>
        <w:t> г.</w:t>
      </w:r>
      <w:r w:rsidR="00DB36AA">
        <w:rPr>
          <w:rFonts w:ascii="Times New Roman" w:eastAsia="Times New Roman" w:hAnsi="Times New Roman" w:cs="Times New Roman"/>
          <w:sz w:val="24"/>
          <w:szCs w:val="24"/>
        </w:rPr>
        <w:t xml:space="preserve"> се оптимизират</w:t>
      </w:r>
      <w:r w:rsidRPr="00FD4C39">
        <w:rPr>
          <w:rFonts w:ascii="Times New Roman" w:eastAsia="Times New Roman" w:hAnsi="Times New Roman" w:cs="Times New Roman"/>
          <w:sz w:val="24"/>
          <w:szCs w:val="24"/>
        </w:rPr>
        <w:t xml:space="preserve"> и обнов</w:t>
      </w:r>
      <w:r w:rsidR="00DB36AA">
        <w:rPr>
          <w:rFonts w:ascii="Times New Roman" w:eastAsia="Times New Roman" w:hAnsi="Times New Roman" w:cs="Times New Roman"/>
          <w:sz w:val="24"/>
          <w:szCs w:val="24"/>
        </w:rPr>
        <w:t>яват</w:t>
      </w:r>
      <w:r w:rsidRPr="00FD4C39">
        <w:rPr>
          <w:rFonts w:ascii="Times New Roman" w:eastAsia="Times New Roman" w:hAnsi="Times New Roman" w:cs="Times New Roman"/>
          <w:sz w:val="24"/>
          <w:szCs w:val="24"/>
        </w:rPr>
        <w:t>, включвайки най-новите моменти от развитието на обществените отношения в областта на защит</w:t>
      </w:r>
      <w:r w:rsidR="00DB36AA">
        <w:rPr>
          <w:rFonts w:ascii="Times New Roman" w:eastAsia="Times New Roman" w:hAnsi="Times New Roman" w:cs="Times New Roman"/>
          <w:sz w:val="24"/>
          <w:szCs w:val="24"/>
        </w:rPr>
        <w:t>ата на личните данни. Поставя се</w:t>
      </w:r>
      <w:r w:rsidRPr="00FD4C39">
        <w:rPr>
          <w:rFonts w:ascii="Times New Roman" w:eastAsia="Times New Roman" w:hAnsi="Times New Roman" w:cs="Times New Roman"/>
          <w:sz w:val="24"/>
          <w:szCs w:val="24"/>
        </w:rPr>
        <w:t xml:space="preserve"> акцент върху практическа</w:t>
      </w:r>
      <w:r w:rsidR="00DB36AA">
        <w:rPr>
          <w:rFonts w:ascii="Times New Roman" w:eastAsia="Times New Roman" w:hAnsi="Times New Roman" w:cs="Times New Roman"/>
          <w:sz w:val="24"/>
          <w:szCs w:val="24"/>
        </w:rPr>
        <w:t>та насоченост на обучението и се разработват</w:t>
      </w:r>
      <w:r w:rsidRPr="00FD4C39">
        <w:rPr>
          <w:rFonts w:ascii="Times New Roman" w:eastAsia="Times New Roman" w:hAnsi="Times New Roman" w:cs="Times New Roman"/>
          <w:sz w:val="24"/>
          <w:szCs w:val="24"/>
        </w:rPr>
        <w:t xml:space="preserve"> практически казуси и ролеви игри. Това се оценява високо от участниците в обучението</w:t>
      </w:r>
      <w:r w:rsidR="004D42A2">
        <w:rPr>
          <w:rFonts w:ascii="Times New Roman" w:eastAsia="Times New Roman" w:hAnsi="Times New Roman" w:cs="Times New Roman"/>
          <w:sz w:val="24"/>
          <w:szCs w:val="24"/>
        </w:rPr>
        <w:t xml:space="preserve"> – </w:t>
      </w:r>
      <w:r w:rsidRPr="00FD4C39">
        <w:rPr>
          <w:rFonts w:ascii="Times New Roman" w:eastAsia="Times New Roman" w:hAnsi="Times New Roman" w:cs="Times New Roman"/>
          <w:sz w:val="24"/>
          <w:szCs w:val="24"/>
        </w:rPr>
        <w:t>почти 2/3 от попълнилите</w:t>
      </w:r>
      <w:r w:rsidR="00DB36AA">
        <w:rPr>
          <w:rFonts w:ascii="Times New Roman" w:eastAsia="Times New Roman" w:hAnsi="Times New Roman" w:cs="Times New Roman"/>
          <w:sz w:val="24"/>
          <w:szCs w:val="24"/>
        </w:rPr>
        <w:t xml:space="preserve"> анкетата поставят</w:t>
      </w:r>
      <w:r w:rsidRPr="00FD4C39">
        <w:rPr>
          <w:rFonts w:ascii="Times New Roman" w:eastAsia="Times New Roman" w:hAnsi="Times New Roman" w:cs="Times New Roman"/>
          <w:sz w:val="24"/>
          <w:szCs w:val="24"/>
        </w:rPr>
        <w:t xml:space="preserve"> оценка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отличен</w:t>
      </w:r>
      <w:r w:rsidR="00DB36AA">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на проведенот</w:t>
      </w:r>
      <w:r w:rsidR="00DB36AA">
        <w:rPr>
          <w:rFonts w:ascii="Times New Roman" w:eastAsia="Times New Roman" w:hAnsi="Times New Roman" w:cs="Times New Roman"/>
          <w:sz w:val="24"/>
          <w:szCs w:val="24"/>
        </w:rPr>
        <w:t>о обучение. Всеки 9 от 10 души</w:t>
      </w:r>
      <w:r w:rsidRPr="00FD4C39">
        <w:rPr>
          <w:rFonts w:ascii="Times New Roman" w:eastAsia="Times New Roman" w:hAnsi="Times New Roman" w:cs="Times New Roman"/>
          <w:sz w:val="24"/>
          <w:szCs w:val="24"/>
        </w:rPr>
        <w:t xml:space="preserve"> постав</w:t>
      </w:r>
      <w:r w:rsidR="00DB36AA">
        <w:rPr>
          <w:rFonts w:ascii="Times New Roman" w:eastAsia="Times New Roman" w:hAnsi="Times New Roman" w:cs="Times New Roman"/>
          <w:sz w:val="24"/>
          <w:szCs w:val="24"/>
        </w:rPr>
        <w:t>ят</w:t>
      </w:r>
      <w:r w:rsidRPr="00FD4C39">
        <w:rPr>
          <w:rFonts w:ascii="Times New Roman" w:eastAsia="Times New Roman" w:hAnsi="Times New Roman" w:cs="Times New Roman"/>
          <w:sz w:val="24"/>
          <w:szCs w:val="24"/>
        </w:rPr>
        <w:t xml:space="preserve"> най-високите оценки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отличен</w:t>
      </w:r>
      <w:r w:rsidR="00DB36AA">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или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много добър</w:t>
      </w:r>
      <w:r w:rsidR="00DB36AA">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В същото</w:t>
      </w:r>
      <w:r w:rsidR="00DB36AA">
        <w:rPr>
          <w:rFonts w:ascii="Times New Roman" w:eastAsia="Times New Roman" w:hAnsi="Times New Roman" w:cs="Times New Roman"/>
          <w:sz w:val="24"/>
          <w:szCs w:val="24"/>
        </w:rPr>
        <w:t xml:space="preserve"> време броят на тези, определящи</w:t>
      </w:r>
      <w:r w:rsidRPr="00FD4C39">
        <w:rPr>
          <w:rFonts w:ascii="Times New Roman" w:eastAsia="Times New Roman" w:hAnsi="Times New Roman" w:cs="Times New Roman"/>
          <w:sz w:val="24"/>
          <w:szCs w:val="24"/>
        </w:rPr>
        <w:t xml:space="preserve"> обучението само като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задоволително</w:t>
      </w:r>
      <w:r w:rsidR="00DB36AA">
        <w:rPr>
          <w:rFonts w:ascii="Times New Roman" w:eastAsia="Times New Roman" w:hAnsi="Times New Roman" w:cs="Times New Roman"/>
          <w:sz w:val="24"/>
          <w:szCs w:val="24"/>
        </w:rPr>
        <w:t xml:space="preserve">“, е едва 1%. </w:t>
      </w:r>
      <w:r w:rsidRPr="00FD4C39">
        <w:rPr>
          <w:rFonts w:ascii="Times New Roman" w:eastAsia="Times New Roman" w:hAnsi="Times New Roman" w:cs="Times New Roman"/>
          <w:sz w:val="24"/>
          <w:szCs w:val="24"/>
        </w:rPr>
        <w:t>Практическата насоченост на провежданото обучение е изведена като негово най-голямо предимство</w:t>
      </w:r>
      <w:r w:rsidR="004D42A2">
        <w:rPr>
          <w:rFonts w:ascii="Times New Roman" w:eastAsia="Times New Roman" w:hAnsi="Times New Roman" w:cs="Times New Roman"/>
          <w:sz w:val="24"/>
          <w:szCs w:val="24"/>
        </w:rPr>
        <w:t xml:space="preserve"> – </w:t>
      </w:r>
      <w:r w:rsidR="00854554" w:rsidRPr="00FD4C39">
        <w:rPr>
          <w:rFonts w:ascii="Times New Roman" w:eastAsia="Times New Roman" w:hAnsi="Times New Roman" w:cs="Times New Roman"/>
          <w:sz w:val="24"/>
          <w:szCs w:val="24"/>
        </w:rPr>
        <w:t xml:space="preserve">1/4 </w:t>
      </w:r>
      <w:r w:rsidRPr="00FD4C39">
        <w:rPr>
          <w:rFonts w:ascii="Times New Roman" w:eastAsia="Times New Roman" w:hAnsi="Times New Roman" w:cs="Times New Roman"/>
          <w:sz w:val="24"/>
          <w:szCs w:val="24"/>
        </w:rPr>
        <w:t xml:space="preserve">от анкетираните посочват именно това като най-позитивната характеристика </w:t>
      </w:r>
      <w:r w:rsidR="00DB36AA">
        <w:rPr>
          <w:rFonts w:ascii="Times New Roman" w:eastAsia="Times New Roman" w:hAnsi="Times New Roman" w:cs="Times New Roman"/>
          <w:sz w:val="24"/>
          <w:szCs w:val="24"/>
        </w:rPr>
        <w:t>на обучителния процес. Други 10</w:t>
      </w:r>
      <w:r w:rsidRPr="00FD4C39">
        <w:rPr>
          <w:rFonts w:ascii="Times New Roman" w:eastAsia="Times New Roman" w:hAnsi="Times New Roman" w:cs="Times New Roman"/>
          <w:sz w:val="24"/>
          <w:szCs w:val="24"/>
        </w:rPr>
        <w:t xml:space="preserve">% са впечатлени от компетентността и професионализма на лекторите. </w:t>
      </w:r>
    </w:p>
    <w:p w:rsidR="00FD2F02" w:rsidRPr="00FD4C39" w:rsidRDefault="00DB36AA" w:rsidP="007B189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Основните препоръки, отправяни</w:t>
      </w:r>
      <w:r w:rsidR="00FD2F02" w:rsidRPr="00FD4C39">
        <w:rPr>
          <w:rFonts w:ascii="Times New Roman" w:eastAsia="Times New Roman" w:hAnsi="Times New Roman" w:cs="Times New Roman"/>
          <w:sz w:val="24"/>
          <w:szCs w:val="24"/>
        </w:rPr>
        <w:t xml:space="preserve"> от обучаемите, са свързани с н</w:t>
      </w:r>
      <w:r w:rsidR="00F43D10" w:rsidRPr="00FD4C39">
        <w:rPr>
          <w:rFonts w:ascii="Times New Roman" w:eastAsia="Times New Roman" w:hAnsi="Times New Roman" w:cs="Times New Roman"/>
          <w:sz w:val="24"/>
          <w:szCs w:val="24"/>
        </w:rPr>
        <w:t>еобходимостта</w:t>
      </w:r>
      <w:r w:rsidR="00FD2F02" w:rsidRPr="00FD4C39">
        <w:rPr>
          <w:rFonts w:ascii="Times New Roman" w:eastAsia="Times New Roman" w:hAnsi="Times New Roman" w:cs="Times New Roman"/>
          <w:sz w:val="24"/>
          <w:szCs w:val="24"/>
        </w:rPr>
        <w:t xml:space="preserve"> от осигуряване на устойчивост и приемственост в обучителния процес, чрез провеждане на </w:t>
      </w:r>
      <w:proofErr w:type="spellStart"/>
      <w:r w:rsidR="00FD2F02" w:rsidRPr="00FD4C39">
        <w:rPr>
          <w:rFonts w:ascii="Times New Roman" w:eastAsia="Times New Roman" w:hAnsi="Times New Roman" w:cs="Times New Roman"/>
          <w:sz w:val="24"/>
          <w:szCs w:val="24"/>
        </w:rPr>
        <w:t>последващи</w:t>
      </w:r>
      <w:proofErr w:type="spellEnd"/>
      <w:r w:rsidR="00FD2F02" w:rsidRPr="00FD4C39">
        <w:rPr>
          <w:rFonts w:ascii="Times New Roman" w:eastAsia="Times New Roman" w:hAnsi="Times New Roman" w:cs="Times New Roman"/>
          <w:sz w:val="24"/>
          <w:szCs w:val="24"/>
        </w:rPr>
        <w:t xml:space="preserve"> обучения и разпространението на информационни материали. </w:t>
      </w:r>
    </w:p>
    <w:p w:rsidR="00FD2F02" w:rsidRPr="00FD4C39" w:rsidRDefault="00FD2F02" w:rsidP="007B189E">
      <w:pPr>
        <w:spacing w:after="0" w:line="360" w:lineRule="auto"/>
        <w:ind w:firstLine="709"/>
        <w:jc w:val="both"/>
        <w:rPr>
          <w:rFonts w:ascii="Times New Roman" w:eastAsia="Times New Roman" w:hAnsi="Times New Roman" w:cs="Times New Roman"/>
          <w:b/>
          <w:sz w:val="24"/>
          <w:szCs w:val="24"/>
        </w:rPr>
      </w:pP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6. Проучване на </w:t>
      </w:r>
      <w:r w:rsidR="00F43D10" w:rsidRPr="00FD4C39">
        <w:rPr>
          <w:rFonts w:ascii="Times New Roman" w:eastAsia="Times New Roman" w:hAnsi="Times New Roman" w:cs="Times New Roman"/>
          <w:b/>
          <w:sz w:val="24"/>
          <w:szCs w:val="24"/>
        </w:rPr>
        <w:t>необходимостта</w:t>
      </w:r>
      <w:r w:rsidRPr="00FD4C39">
        <w:rPr>
          <w:rFonts w:ascii="Times New Roman" w:eastAsia="Times New Roman" w:hAnsi="Times New Roman" w:cs="Times New Roman"/>
          <w:b/>
          <w:sz w:val="24"/>
          <w:szCs w:val="24"/>
        </w:rPr>
        <w:t xml:space="preserve"> от обучение на администраторите на лични данни</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Една от важните съпътстващи дейности на обучителния процес, развиван от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е проучването на </w:t>
      </w:r>
      <w:r w:rsidR="00F43D10" w:rsidRPr="00FD4C39">
        <w:rPr>
          <w:rFonts w:ascii="Times New Roman" w:eastAsia="Times New Roman" w:hAnsi="Times New Roman" w:cs="Times New Roman"/>
          <w:sz w:val="24"/>
          <w:szCs w:val="24"/>
        </w:rPr>
        <w:t>необходимостта</w:t>
      </w:r>
      <w:r w:rsidRPr="00FD4C39">
        <w:rPr>
          <w:rFonts w:ascii="Times New Roman" w:eastAsia="Times New Roman" w:hAnsi="Times New Roman" w:cs="Times New Roman"/>
          <w:sz w:val="24"/>
          <w:szCs w:val="24"/>
        </w:rPr>
        <w:t xml:space="preserve"> от обучение </w:t>
      </w:r>
      <w:r w:rsidR="0051252A" w:rsidRPr="00FD4C39">
        <w:rPr>
          <w:rFonts w:ascii="Times New Roman" w:eastAsia="Times New Roman" w:hAnsi="Times New Roman" w:cs="Times New Roman"/>
          <w:sz w:val="24"/>
          <w:szCs w:val="24"/>
        </w:rPr>
        <w:t xml:space="preserve">и информираност </w:t>
      </w:r>
      <w:r w:rsidRPr="00FD4C39">
        <w:rPr>
          <w:rFonts w:ascii="Times New Roman" w:eastAsia="Times New Roman" w:hAnsi="Times New Roman" w:cs="Times New Roman"/>
          <w:sz w:val="24"/>
          <w:szCs w:val="24"/>
        </w:rPr>
        <w:t>на</w:t>
      </w:r>
      <w:r w:rsidR="0051252A" w:rsidRPr="00FD4C39">
        <w:rPr>
          <w:rFonts w:ascii="Times New Roman" w:eastAsia="Times New Roman" w:hAnsi="Times New Roman" w:cs="Times New Roman"/>
          <w:sz w:val="24"/>
          <w:szCs w:val="24"/>
        </w:rPr>
        <w:t xml:space="preserve"> АЛД и на </w:t>
      </w:r>
      <w:r w:rsidRPr="00FD4C39">
        <w:rPr>
          <w:rFonts w:ascii="Times New Roman" w:eastAsia="Times New Roman" w:hAnsi="Times New Roman" w:cs="Times New Roman"/>
          <w:sz w:val="24"/>
          <w:szCs w:val="24"/>
        </w:rPr>
        <w:t xml:space="preserve">обществото. Тази дейност носи своята значимост с оглед пълно отговаряне на потребностите на гражданите и бизнеса и ефективно изразходване на ограничения финансов и човешки ресурс, с който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разполага за своите обучения. Проучването на обучителните </w:t>
      </w:r>
      <w:r w:rsidR="00DC0A8C" w:rsidRPr="00FD4C39">
        <w:rPr>
          <w:rFonts w:ascii="Times New Roman" w:eastAsia="Times New Roman" w:hAnsi="Times New Roman" w:cs="Times New Roman"/>
          <w:sz w:val="24"/>
          <w:szCs w:val="24"/>
        </w:rPr>
        <w:t>потребности</w:t>
      </w:r>
      <w:r w:rsidRPr="00FD4C39">
        <w:rPr>
          <w:rFonts w:ascii="Times New Roman" w:eastAsia="Times New Roman" w:hAnsi="Times New Roman" w:cs="Times New Roman"/>
          <w:sz w:val="24"/>
          <w:szCs w:val="24"/>
        </w:rPr>
        <w:t xml:space="preserve"> позволява идентифицирането на тенденции и насоки за изменение в учебната програма, допринася за повишаване качеството на учебните материали, както и за насочване на усилия и ресурси към секторите, които имат най-голяма потребност от обучение. Значително предимство на тази съпътстваща дейност, развивана от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представлява нейният широк обхват. Проучването включва както администраторите на лични данни, които имат задължения по </w:t>
      </w:r>
      <w:r w:rsidR="00FE7018" w:rsidRPr="00FD4C39">
        <w:rPr>
          <w:rFonts w:ascii="Times New Roman" w:eastAsia="Times New Roman" w:hAnsi="Times New Roman" w:cs="Times New Roman"/>
          <w:sz w:val="24"/>
          <w:szCs w:val="24"/>
        </w:rPr>
        <w:t>ЗЗЛД</w:t>
      </w:r>
      <w:r w:rsidRPr="00FD4C39">
        <w:rPr>
          <w:rFonts w:ascii="Times New Roman" w:eastAsia="Times New Roman" w:hAnsi="Times New Roman" w:cs="Times New Roman"/>
          <w:sz w:val="24"/>
          <w:szCs w:val="24"/>
        </w:rPr>
        <w:t xml:space="preserve">, така и гражданите, които имат право на защита. Взаимодействието между правата и задълженията в системата на защита на личните данни и неприкосновеността е от съществено значение за нейното нормално функциониране.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lastRenderedPageBreak/>
        <w:t>И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51252A"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продълж</w:t>
      </w:r>
      <w:r w:rsidR="00DC0A8C" w:rsidRPr="00FD4C39">
        <w:rPr>
          <w:rFonts w:ascii="Times New Roman" w:eastAsia="Times New Roman" w:hAnsi="Times New Roman" w:cs="Times New Roman"/>
          <w:sz w:val="24"/>
          <w:szCs w:val="24"/>
        </w:rPr>
        <w:t>ава</w:t>
      </w:r>
      <w:r w:rsidRPr="00FD4C39">
        <w:rPr>
          <w:rFonts w:ascii="Times New Roman" w:eastAsia="Times New Roman" w:hAnsi="Times New Roman" w:cs="Times New Roman"/>
          <w:sz w:val="24"/>
          <w:szCs w:val="24"/>
        </w:rPr>
        <w:t xml:space="preserve"> традицията за проучване на нуждите от обучение на </w:t>
      </w:r>
      <w:r w:rsidR="00DB36AA">
        <w:rPr>
          <w:rFonts w:ascii="Times New Roman" w:eastAsia="Times New Roman" w:hAnsi="Times New Roman" w:cs="Times New Roman"/>
          <w:sz w:val="24"/>
          <w:szCs w:val="24"/>
        </w:rPr>
        <w:t>администраторите на лични данни</w:t>
      </w:r>
      <w:r w:rsidRPr="00FD4C39">
        <w:rPr>
          <w:rFonts w:ascii="Times New Roman" w:eastAsia="Times New Roman" w:hAnsi="Times New Roman" w:cs="Times New Roman"/>
          <w:sz w:val="24"/>
          <w:szCs w:val="24"/>
        </w:rPr>
        <w:t xml:space="preserve"> с цел адаптиране на обучителния процес спрямо техните изисквания и очаквания. Това е осъществено чрез попълване на анкети от страна на </w:t>
      </w:r>
      <w:r w:rsidR="00D21C02" w:rsidRPr="00FD4C39">
        <w:rPr>
          <w:rFonts w:ascii="Times New Roman" w:eastAsia="Times New Roman" w:hAnsi="Times New Roman" w:cs="Times New Roman"/>
          <w:sz w:val="24"/>
          <w:szCs w:val="24"/>
        </w:rPr>
        <w:t>АЛД</w:t>
      </w:r>
      <w:r w:rsidRPr="00FD4C39">
        <w:rPr>
          <w:rFonts w:ascii="Times New Roman" w:eastAsia="Times New Roman" w:hAnsi="Times New Roman" w:cs="Times New Roman"/>
          <w:sz w:val="24"/>
          <w:szCs w:val="24"/>
        </w:rPr>
        <w:t>, като техният брой за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е 130.</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В своите анкети половината от администраторите споделят, че познават в детайли </w:t>
      </w:r>
      <w:r w:rsidR="00FE7018" w:rsidRPr="00FD4C39">
        <w:rPr>
          <w:rFonts w:ascii="Times New Roman" w:eastAsia="Times New Roman" w:hAnsi="Times New Roman" w:cs="Times New Roman"/>
          <w:sz w:val="24"/>
          <w:szCs w:val="24"/>
        </w:rPr>
        <w:t>ЗЗЛД</w:t>
      </w:r>
      <w:r w:rsidR="00DB36AA">
        <w:rPr>
          <w:rFonts w:ascii="Times New Roman" w:eastAsia="Times New Roman" w:hAnsi="Times New Roman" w:cs="Times New Roman"/>
          <w:sz w:val="24"/>
          <w:szCs w:val="24"/>
        </w:rPr>
        <w:t>, а 90</w:t>
      </w:r>
      <w:r w:rsidRPr="00FD4C39">
        <w:rPr>
          <w:rFonts w:ascii="Times New Roman" w:eastAsia="Times New Roman" w:hAnsi="Times New Roman" w:cs="Times New Roman"/>
          <w:sz w:val="24"/>
          <w:szCs w:val="24"/>
        </w:rPr>
        <w:t xml:space="preserve">% от отговорилите смятат, че са наясно със задълженията си като </w:t>
      </w:r>
      <w:r w:rsidR="0051252A" w:rsidRPr="00FD4C39">
        <w:rPr>
          <w:rFonts w:ascii="Times New Roman" w:eastAsia="Times New Roman" w:hAnsi="Times New Roman" w:cs="Times New Roman"/>
          <w:sz w:val="24"/>
          <w:szCs w:val="24"/>
        </w:rPr>
        <w:t>АЛД</w:t>
      </w:r>
      <w:r w:rsidRPr="00FD4C39">
        <w:rPr>
          <w:rFonts w:ascii="Times New Roman" w:eastAsia="Times New Roman" w:hAnsi="Times New Roman" w:cs="Times New Roman"/>
          <w:sz w:val="24"/>
          <w:szCs w:val="24"/>
        </w:rPr>
        <w:t xml:space="preserve">. Над </w:t>
      </w:r>
      <w:r w:rsidR="0051252A" w:rsidRPr="00FD4C39">
        <w:rPr>
          <w:rFonts w:ascii="Times New Roman" w:eastAsia="Times New Roman" w:hAnsi="Times New Roman" w:cs="Times New Roman"/>
          <w:sz w:val="24"/>
          <w:szCs w:val="24"/>
        </w:rPr>
        <w:t xml:space="preserve">3/4 </w:t>
      </w:r>
      <w:r w:rsidRPr="00FD4C39">
        <w:rPr>
          <w:rFonts w:ascii="Times New Roman" w:eastAsia="Times New Roman" w:hAnsi="Times New Roman" w:cs="Times New Roman"/>
          <w:sz w:val="24"/>
          <w:szCs w:val="24"/>
        </w:rPr>
        <w:t xml:space="preserve">от тях никога не са срещали трудности, свързани със защитата на личните данни, но въпреки това 2/3 твърдят, че биха искали техните служители да бъдат обучени от страна на </w:t>
      </w:r>
      <w:r w:rsidR="00FE7018" w:rsidRPr="00FD4C39">
        <w:rPr>
          <w:rFonts w:ascii="Times New Roman" w:eastAsia="Times New Roman" w:hAnsi="Times New Roman" w:cs="Times New Roman"/>
          <w:sz w:val="24"/>
          <w:szCs w:val="24"/>
        </w:rPr>
        <w:t>КЗЛД</w:t>
      </w:r>
      <w:r w:rsidR="0051252A"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На въпроса</w:t>
      </w:r>
      <w:r w:rsidR="00DB36AA">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каква част от служителите</w:t>
      </w:r>
      <w:r w:rsidR="00DB36AA">
        <w:rPr>
          <w:rFonts w:ascii="Times New Roman" w:eastAsia="Times New Roman" w:hAnsi="Times New Roman" w:cs="Times New Roman"/>
          <w:sz w:val="24"/>
          <w:szCs w:val="24"/>
        </w:rPr>
        <w:t xml:space="preserve"> им следва да бъдат обучени, 41</w:t>
      </w:r>
      <w:r w:rsidRPr="00FD4C39">
        <w:rPr>
          <w:rFonts w:ascii="Times New Roman" w:eastAsia="Times New Roman" w:hAnsi="Times New Roman" w:cs="Times New Roman"/>
          <w:sz w:val="24"/>
          <w:szCs w:val="24"/>
        </w:rPr>
        <w:t xml:space="preserve">% </w:t>
      </w:r>
      <w:r w:rsidR="00DC0A8C" w:rsidRPr="00FD4C39">
        <w:rPr>
          <w:rFonts w:ascii="Times New Roman" w:eastAsia="Times New Roman" w:hAnsi="Times New Roman" w:cs="Times New Roman"/>
          <w:sz w:val="24"/>
          <w:szCs w:val="24"/>
        </w:rPr>
        <w:t xml:space="preserve">от АЛД </w:t>
      </w:r>
      <w:r w:rsidRPr="00FD4C39">
        <w:rPr>
          <w:rFonts w:ascii="Times New Roman" w:eastAsia="Times New Roman" w:hAnsi="Times New Roman" w:cs="Times New Roman"/>
          <w:sz w:val="24"/>
          <w:szCs w:val="24"/>
        </w:rPr>
        <w:t xml:space="preserve">смятат, че обучението трябва да обхване всички заети </w:t>
      </w:r>
      <w:r w:rsidR="00E462A6" w:rsidRPr="00FD4C39">
        <w:rPr>
          <w:rFonts w:ascii="Times New Roman" w:eastAsia="Times New Roman" w:hAnsi="Times New Roman" w:cs="Times New Roman"/>
          <w:sz w:val="24"/>
          <w:szCs w:val="24"/>
        </w:rPr>
        <w:t>в съответната компания</w:t>
      </w:r>
      <w:r w:rsidRPr="00FD4C39">
        <w:rPr>
          <w:rFonts w:ascii="Times New Roman" w:eastAsia="Times New Roman" w:hAnsi="Times New Roman" w:cs="Times New Roman"/>
          <w:sz w:val="24"/>
          <w:szCs w:val="24"/>
        </w:rPr>
        <w:t xml:space="preserve"> или организация, а половината от анкетираните са на мнение, че на обучение би трябвало да подлежат само тези служители, които реално обработват лични данни. Относно най-адекватната фо</w:t>
      </w:r>
      <w:r w:rsidR="00DB36AA">
        <w:rPr>
          <w:rFonts w:ascii="Times New Roman" w:eastAsia="Times New Roman" w:hAnsi="Times New Roman" w:cs="Times New Roman"/>
          <w:sz w:val="24"/>
          <w:szCs w:val="24"/>
        </w:rPr>
        <w:t>рма на провеждане на обучението</w:t>
      </w:r>
      <w:r w:rsidRPr="00FD4C39">
        <w:rPr>
          <w:rFonts w:ascii="Times New Roman" w:eastAsia="Times New Roman" w:hAnsi="Times New Roman" w:cs="Times New Roman"/>
          <w:sz w:val="24"/>
          <w:szCs w:val="24"/>
        </w:rPr>
        <w:t xml:space="preserve"> администраторите изразяват своите предпочитания към изна</w:t>
      </w:r>
      <w:r w:rsidR="00DB36AA">
        <w:rPr>
          <w:rFonts w:ascii="Times New Roman" w:eastAsia="Times New Roman" w:hAnsi="Times New Roman" w:cs="Times New Roman"/>
          <w:sz w:val="24"/>
          <w:szCs w:val="24"/>
        </w:rPr>
        <w:t>сянето на лекции и семинари (73%) и едва 14</w:t>
      </w:r>
      <w:r w:rsidRPr="00FD4C39">
        <w:rPr>
          <w:rFonts w:ascii="Times New Roman" w:eastAsia="Times New Roman" w:hAnsi="Times New Roman" w:cs="Times New Roman"/>
          <w:sz w:val="24"/>
          <w:szCs w:val="24"/>
        </w:rPr>
        <w:t>% залагат на дистанционното обучение чрез изпращане на материали за самоподготовка. Най-малко са поддръжниците на онлайн обучението</w:t>
      </w:r>
      <w:r w:rsidR="004D42A2">
        <w:rPr>
          <w:rFonts w:ascii="Times New Roman" w:eastAsia="Times New Roman" w:hAnsi="Times New Roman" w:cs="Times New Roman"/>
          <w:sz w:val="24"/>
          <w:szCs w:val="24"/>
        </w:rPr>
        <w:t xml:space="preserve"> – </w:t>
      </w:r>
      <w:r w:rsidR="00DB36AA">
        <w:rPr>
          <w:rFonts w:ascii="Times New Roman" w:eastAsia="Times New Roman" w:hAnsi="Times New Roman" w:cs="Times New Roman"/>
          <w:sz w:val="24"/>
          <w:szCs w:val="24"/>
        </w:rPr>
        <w:t>едва 8</w:t>
      </w:r>
      <w:r w:rsidRPr="00FD4C39">
        <w:rPr>
          <w:rFonts w:ascii="Times New Roman" w:eastAsia="Times New Roman" w:hAnsi="Times New Roman" w:cs="Times New Roman"/>
          <w:sz w:val="24"/>
          <w:szCs w:val="24"/>
        </w:rPr>
        <w:t xml:space="preserve">% от всички отговорили на въпроса.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Относно самото</w:t>
      </w:r>
      <w:r w:rsidR="00DB36AA">
        <w:rPr>
          <w:rFonts w:ascii="Times New Roman" w:eastAsia="Times New Roman" w:hAnsi="Times New Roman" w:cs="Times New Roman"/>
          <w:sz w:val="24"/>
          <w:szCs w:val="24"/>
        </w:rPr>
        <w:t xml:space="preserve"> съдържание на обучителния курс</w:t>
      </w:r>
      <w:r w:rsidRPr="00FD4C39">
        <w:rPr>
          <w:rFonts w:ascii="Times New Roman" w:eastAsia="Times New Roman" w:hAnsi="Times New Roman" w:cs="Times New Roman"/>
          <w:sz w:val="24"/>
          <w:szCs w:val="24"/>
        </w:rPr>
        <w:t xml:space="preserve"> администраторите смятат, че той трябва да се провежда в 2 последователни дни, с обща продължителност до 8 часа и да обхваща предимно теми</w:t>
      </w:r>
      <w:r w:rsidR="00B5714D"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свързани с правната рамка по защита на данните, техническите и организационни мерки за защита и задъл</w:t>
      </w:r>
      <w:r w:rsidR="00DB36AA">
        <w:rPr>
          <w:rFonts w:ascii="Times New Roman" w:eastAsia="Times New Roman" w:hAnsi="Times New Roman" w:cs="Times New Roman"/>
          <w:sz w:val="24"/>
          <w:szCs w:val="24"/>
        </w:rPr>
        <w:t>женията на администраторите. 90</w:t>
      </w:r>
      <w:r w:rsidRPr="00FD4C39">
        <w:rPr>
          <w:rFonts w:ascii="Times New Roman" w:eastAsia="Times New Roman" w:hAnsi="Times New Roman" w:cs="Times New Roman"/>
          <w:sz w:val="24"/>
          <w:szCs w:val="24"/>
        </w:rPr>
        <w:t>% от всички отговорили желаят да получават информационни материали, като почти всички предпочитат те д</w:t>
      </w:r>
      <w:r w:rsidR="00DB36AA">
        <w:rPr>
          <w:rFonts w:ascii="Times New Roman" w:eastAsia="Times New Roman" w:hAnsi="Times New Roman" w:cs="Times New Roman"/>
          <w:sz w:val="24"/>
          <w:szCs w:val="24"/>
        </w:rPr>
        <w:t>а се изпращат по електронен път</w:t>
      </w:r>
      <w:r w:rsidRPr="00FD4C39">
        <w:rPr>
          <w:rFonts w:ascii="Times New Roman" w:eastAsia="Times New Roman" w:hAnsi="Times New Roman" w:cs="Times New Roman"/>
          <w:sz w:val="24"/>
          <w:szCs w:val="24"/>
        </w:rPr>
        <w:t xml:space="preserve"> вместо на хартия. Администраторите се надяват в тях да намерят предимно информация за конкретни казуси и практика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както и повече детайли относно мерките за защита на личните данни. Показателен за нуждата от обучение по защита на ли</w:t>
      </w:r>
      <w:r w:rsidR="00DB36AA">
        <w:rPr>
          <w:rFonts w:ascii="Times New Roman" w:eastAsia="Times New Roman" w:hAnsi="Times New Roman" w:cs="Times New Roman"/>
          <w:sz w:val="24"/>
          <w:szCs w:val="24"/>
        </w:rPr>
        <w:t>чните данни е фактът, че над 90</w:t>
      </w:r>
      <w:r w:rsidRPr="00FD4C39">
        <w:rPr>
          <w:rFonts w:ascii="Times New Roman" w:eastAsia="Times New Roman" w:hAnsi="Times New Roman" w:cs="Times New Roman"/>
          <w:sz w:val="24"/>
          <w:szCs w:val="24"/>
        </w:rPr>
        <w:t>% от отговорилите смятат, че едно такова обучение би имало практическо приложение в тяхната работа. За подобряван</w:t>
      </w:r>
      <w:r w:rsidR="00DB36AA">
        <w:rPr>
          <w:rFonts w:ascii="Times New Roman" w:eastAsia="Times New Roman" w:hAnsi="Times New Roman" w:cs="Times New Roman"/>
          <w:sz w:val="24"/>
          <w:szCs w:val="24"/>
        </w:rPr>
        <w:t>е на неговата ефективност обаче</w:t>
      </w:r>
      <w:r w:rsidRPr="00FD4C39">
        <w:rPr>
          <w:rFonts w:ascii="Times New Roman" w:eastAsia="Times New Roman" w:hAnsi="Times New Roman" w:cs="Times New Roman"/>
          <w:sz w:val="24"/>
          <w:szCs w:val="24"/>
        </w:rPr>
        <w:t xml:space="preserve"> те посочват, че е нужно да бъдат провеждани повече обучителни семинари за администраторите на лични данни.</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Поради безспорния характер на полезността на проучването на потребностите от обучение като инструмент за провеждането на активна и целенасочена политика за повишаване на информираността на обществото в областта на защитата на личните данни </w:t>
      </w:r>
      <w:r w:rsidR="00FE7018" w:rsidRPr="00FD4C39">
        <w:rPr>
          <w:rFonts w:ascii="Times New Roman" w:eastAsia="Times New Roman" w:hAnsi="Times New Roman" w:cs="Times New Roman"/>
          <w:sz w:val="24"/>
          <w:szCs w:val="24"/>
        </w:rPr>
        <w:t>КЗЛД</w:t>
      </w:r>
      <w:r w:rsidR="00DB36AA">
        <w:rPr>
          <w:rFonts w:ascii="Times New Roman" w:eastAsia="Times New Roman" w:hAnsi="Times New Roman" w:cs="Times New Roman"/>
          <w:sz w:val="24"/>
          <w:szCs w:val="24"/>
        </w:rPr>
        <w:t xml:space="preserve"> запазва</w:t>
      </w:r>
      <w:r w:rsidRPr="00FD4C39">
        <w:rPr>
          <w:rFonts w:ascii="Times New Roman" w:eastAsia="Times New Roman" w:hAnsi="Times New Roman" w:cs="Times New Roman"/>
          <w:sz w:val="24"/>
          <w:szCs w:val="24"/>
        </w:rPr>
        <w:t xml:space="preserve"> тази практика и в бъдещата си дейност.  </w:t>
      </w:r>
    </w:p>
    <w:p w:rsidR="00FD2F02" w:rsidRPr="00FD4C39" w:rsidRDefault="00FD2F02" w:rsidP="007B189E">
      <w:pPr>
        <w:spacing w:after="0" w:line="360" w:lineRule="auto"/>
        <w:ind w:firstLine="709"/>
        <w:jc w:val="both"/>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lastRenderedPageBreak/>
        <w:t xml:space="preserve">7. Проучване на </w:t>
      </w:r>
      <w:r w:rsidR="00541B14" w:rsidRPr="00FD4C39">
        <w:rPr>
          <w:rFonts w:ascii="Times New Roman" w:eastAsia="Times New Roman" w:hAnsi="Times New Roman" w:cs="Times New Roman"/>
          <w:b/>
          <w:sz w:val="24"/>
          <w:szCs w:val="24"/>
        </w:rPr>
        <w:t>необходимостта</w:t>
      </w:r>
      <w:r w:rsidRPr="00FD4C39">
        <w:rPr>
          <w:rFonts w:ascii="Times New Roman" w:eastAsia="Times New Roman" w:hAnsi="Times New Roman" w:cs="Times New Roman"/>
          <w:b/>
          <w:sz w:val="24"/>
          <w:szCs w:val="24"/>
        </w:rPr>
        <w:t xml:space="preserve"> от повишаване на осведомеността на гражданите</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Проучването от потребностите от обучение и повишаване на информираността в областта на защитата на личните данни, което се провежда от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обхваща и гражданите, чиито данни са обект на обработване. Те имат право на защита на личните им данни и неприкосновеност</w:t>
      </w:r>
      <w:r w:rsidR="00DC0A8C" w:rsidRPr="00FD4C39">
        <w:rPr>
          <w:rFonts w:ascii="Times New Roman" w:eastAsia="Times New Roman" w:hAnsi="Times New Roman" w:cs="Times New Roman"/>
          <w:sz w:val="24"/>
          <w:szCs w:val="24"/>
        </w:rPr>
        <w:t>та</w:t>
      </w:r>
      <w:r w:rsidRPr="00FD4C39">
        <w:rPr>
          <w:rFonts w:ascii="Times New Roman" w:eastAsia="Times New Roman" w:hAnsi="Times New Roman" w:cs="Times New Roman"/>
          <w:sz w:val="24"/>
          <w:szCs w:val="24"/>
        </w:rPr>
        <w:t xml:space="preserve">. Най-ефективният начин за защита на тези данни е чрез постигане на висока </w:t>
      </w:r>
      <w:r w:rsidR="0051252A" w:rsidRPr="00FD4C39">
        <w:rPr>
          <w:rFonts w:ascii="Times New Roman" w:eastAsia="Times New Roman" w:hAnsi="Times New Roman" w:cs="Times New Roman"/>
          <w:sz w:val="24"/>
          <w:szCs w:val="24"/>
        </w:rPr>
        <w:t>информираност и познаване</w:t>
      </w:r>
      <w:r w:rsidRPr="00FD4C39">
        <w:rPr>
          <w:rFonts w:ascii="Times New Roman" w:eastAsia="Times New Roman" w:hAnsi="Times New Roman" w:cs="Times New Roman"/>
          <w:sz w:val="24"/>
          <w:szCs w:val="24"/>
        </w:rPr>
        <w:t xml:space="preserve"> на правната рамка и правата на физическите лица, което допринася за превенцията на евентуални нарушения. В тази връзка е важно да се проучи запознатостта и нуждата на гражданите от провеждане на обучителни и информационни кампании.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общо 191 граждани попълват анкетите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предназначени за физически лица. От тях над половина</w:t>
      </w:r>
      <w:r w:rsidR="00DC0A8C" w:rsidRPr="00FD4C39">
        <w:rPr>
          <w:rFonts w:ascii="Times New Roman" w:eastAsia="Times New Roman" w:hAnsi="Times New Roman" w:cs="Times New Roman"/>
          <w:sz w:val="24"/>
          <w:szCs w:val="24"/>
        </w:rPr>
        <w:t>та</w:t>
      </w:r>
      <w:r w:rsidRPr="00FD4C39">
        <w:rPr>
          <w:rFonts w:ascii="Times New Roman" w:eastAsia="Times New Roman" w:hAnsi="Times New Roman" w:cs="Times New Roman"/>
          <w:sz w:val="24"/>
          <w:szCs w:val="24"/>
        </w:rPr>
        <w:t xml:space="preserve"> споменават, че познават бегло </w:t>
      </w:r>
      <w:r w:rsidR="00FE7018" w:rsidRPr="00FD4C39">
        <w:rPr>
          <w:rFonts w:ascii="Times New Roman" w:eastAsia="Times New Roman" w:hAnsi="Times New Roman" w:cs="Times New Roman"/>
          <w:sz w:val="24"/>
          <w:szCs w:val="24"/>
        </w:rPr>
        <w:t>ЗЗЛД</w:t>
      </w:r>
      <w:r w:rsidR="00CA6925">
        <w:rPr>
          <w:rFonts w:ascii="Times New Roman" w:eastAsia="Times New Roman" w:hAnsi="Times New Roman" w:cs="Times New Roman"/>
          <w:sz w:val="24"/>
          <w:szCs w:val="24"/>
        </w:rPr>
        <w:t>, но други 40</w:t>
      </w:r>
      <w:r w:rsidRPr="00FD4C39">
        <w:rPr>
          <w:rFonts w:ascii="Times New Roman" w:eastAsia="Times New Roman" w:hAnsi="Times New Roman" w:cs="Times New Roman"/>
          <w:sz w:val="24"/>
          <w:szCs w:val="24"/>
        </w:rPr>
        <w:t>% определят знанията си по този въпрос к</w:t>
      </w:r>
      <w:r w:rsidR="00CA6925">
        <w:rPr>
          <w:rFonts w:ascii="Times New Roman" w:eastAsia="Times New Roman" w:hAnsi="Times New Roman" w:cs="Times New Roman"/>
          <w:sz w:val="24"/>
          <w:szCs w:val="24"/>
        </w:rPr>
        <w:t>ато задълбочени. Все пак над 80</w:t>
      </w:r>
      <w:r w:rsidRPr="00FD4C39">
        <w:rPr>
          <w:rFonts w:ascii="Times New Roman" w:eastAsia="Times New Roman" w:hAnsi="Times New Roman" w:cs="Times New Roman"/>
          <w:sz w:val="24"/>
          <w:szCs w:val="24"/>
        </w:rPr>
        <w:t xml:space="preserve">% от анкетираните считат, че знаят какво представляват личните данни, а други 2/3 отговарят, че имат познания относно правата си като физически лица. На 1/3 </w:t>
      </w:r>
      <w:r w:rsidR="00CA6925">
        <w:rPr>
          <w:rFonts w:ascii="Times New Roman" w:eastAsia="Times New Roman" w:hAnsi="Times New Roman" w:cs="Times New Roman"/>
          <w:sz w:val="24"/>
          <w:szCs w:val="24"/>
        </w:rPr>
        <w:t>от отговорилите на анкетата се налага</w:t>
      </w:r>
      <w:r w:rsidRPr="00FD4C39">
        <w:rPr>
          <w:rFonts w:ascii="Times New Roman" w:eastAsia="Times New Roman" w:hAnsi="Times New Roman" w:cs="Times New Roman"/>
          <w:sz w:val="24"/>
          <w:szCs w:val="24"/>
        </w:rPr>
        <w:t xml:space="preserve"> да упражняват правата си</w:t>
      </w:r>
      <w:r w:rsidR="003566D2"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свързани със защита на личните данни, като едва 10 </w:t>
      </w:r>
      <w:r w:rsidR="00CA6925">
        <w:rPr>
          <w:rFonts w:ascii="Times New Roman" w:eastAsia="Times New Roman" w:hAnsi="Times New Roman" w:cs="Times New Roman"/>
          <w:sz w:val="24"/>
          <w:szCs w:val="24"/>
        </w:rPr>
        <w:t>% срещат</w:t>
      </w:r>
      <w:r w:rsidRPr="00FD4C39">
        <w:rPr>
          <w:rFonts w:ascii="Times New Roman" w:eastAsia="Times New Roman" w:hAnsi="Times New Roman" w:cs="Times New Roman"/>
          <w:sz w:val="24"/>
          <w:szCs w:val="24"/>
        </w:rPr>
        <w:t xml:space="preserve"> трудности в тази насока.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Мнозинството от анкетираните граждани</w:t>
      </w:r>
      <w:r w:rsidR="004D42A2">
        <w:rPr>
          <w:rFonts w:ascii="Times New Roman" w:eastAsia="Times New Roman" w:hAnsi="Times New Roman" w:cs="Times New Roman"/>
          <w:sz w:val="24"/>
          <w:szCs w:val="24"/>
        </w:rPr>
        <w:t xml:space="preserve"> – </w:t>
      </w:r>
      <w:r w:rsidR="00CA6925">
        <w:rPr>
          <w:rFonts w:ascii="Times New Roman" w:eastAsia="Times New Roman" w:hAnsi="Times New Roman" w:cs="Times New Roman"/>
          <w:sz w:val="24"/>
          <w:szCs w:val="24"/>
        </w:rPr>
        <w:t>над 80</w:t>
      </w:r>
      <w:r w:rsidRPr="00FD4C39">
        <w:rPr>
          <w:rFonts w:ascii="Times New Roman" w:eastAsia="Times New Roman" w:hAnsi="Times New Roman" w:cs="Times New Roman"/>
          <w:sz w:val="24"/>
          <w:szCs w:val="24"/>
        </w:rPr>
        <w:t>%</w:t>
      </w:r>
      <w:r w:rsidR="00CA6925">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са на мнение, че личните данни на българските граждани не са</w:t>
      </w:r>
      <w:r w:rsidR="00CA6925">
        <w:rPr>
          <w:rFonts w:ascii="Times New Roman" w:eastAsia="Times New Roman" w:hAnsi="Times New Roman" w:cs="Times New Roman"/>
          <w:sz w:val="24"/>
          <w:szCs w:val="24"/>
        </w:rPr>
        <w:t xml:space="preserve"> адекватно защитени, но само 30</w:t>
      </w:r>
      <w:r w:rsidRPr="00FD4C39">
        <w:rPr>
          <w:rFonts w:ascii="Times New Roman" w:eastAsia="Times New Roman" w:hAnsi="Times New Roman" w:cs="Times New Roman"/>
          <w:sz w:val="24"/>
          <w:szCs w:val="24"/>
        </w:rPr>
        <w:t xml:space="preserve">% твърдят, че са били жертва на злоупотреба с лични данни. Сред най-често срещаните злоупотреби са провеждането на директен маркетинг, събирането на непропорционално количество лични данни и непредприемане на адекватни мерки за защита от страна на администраторите. </w:t>
      </w:r>
    </w:p>
    <w:p w:rsidR="00FD2F02" w:rsidRPr="00FD4C39" w:rsidRDefault="00FD2F02"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Значително мнозинство от запитаните биха искали да получават информационни материали или да участват в информационни кампании</w:t>
      </w:r>
      <w:r w:rsidR="003566D2"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свързани със защитата на личните данни</w:t>
      </w:r>
      <w:r w:rsidR="004D42A2">
        <w:rPr>
          <w:rFonts w:ascii="Times New Roman" w:eastAsia="Times New Roman" w:hAnsi="Times New Roman" w:cs="Times New Roman"/>
          <w:sz w:val="24"/>
          <w:szCs w:val="24"/>
        </w:rPr>
        <w:t xml:space="preserve"> – </w:t>
      </w:r>
      <w:r w:rsidR="00CA6925">
        <w:rPr>
          <w:rFonts w:ascii="Times New Roman" w:eastAsia="Times New Roman" w:hAnsi="Times New Roman" w:cs="Times New Roman"/>
          <w:sz w:val="24"/>
          <w:szCs w:val="24"/>
        </w:rPr>
        <w:t>цели 85%. Над 80</w:t>
      </w:r>
      <w:r w:rsidRPr="00FD4C39">
        <w:rPr>
          <w:rFonts w:ascii="Times New Roman" w:eastAsia="Times New Roman" w:hAnsi="Times New Roman" w:cs="Times New Roman"/>
          <w:sz w:val="24"/>
          <w:szCs w:val="24"/>
        </w:rPr>
        <w:t xml:space="preserve">% от отговорилите на този въпрос предпочитат да получават материалите по електронен път. Гражданите категорично смятат, че </w:t>
      </w:r>
      <w:r w:rsidR="00FE7018" w:rsidRPr="00FD4C39">
        <w:rPr>
          <w:rFonts w:ascii="Times New Roman" w:eastAsia="Times New Roman" w:hAnsi="Times New Roman" w:cs="Times New Roman"/>
          <w:sz w:val="24"/>
          <w:szCs w:val="24"/>
        </w:rPr>
        <w:t>КЗЛД</w:t>
      </w:r>
      <w:r w:rsidR="00DC0A8C"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би следвало да има още по-голямо присъствие в меди</w:t>
      </w:r>
      <w:r w:rsidR="00CA6925">
        <w:rPr>
          <w:rFonts w:ascii="Times New Roman" w:eastAsia="Times New Roman" w:hAnsi="Times New Roman" w:cs="Times New Roman"/>
          <w:sz w:val="24"/>
          <w:szCs w:val="24"/>
        </w:rPr>
        <w:t>йното пространство. Отговарящите</w:t>
      </w:r>
      <w:r w:rsidRPr="00FD4C39">
        <w:rPr>
          <w:rFonts w:ascii="Times New Roman" w:eastAsia="Times New Roman" w:hAnsi="Times New Roman" w:cs="Times New Roman"/>
          <w:sz w:val="24"/>
          <w:szCs w:val="24"/>
        </w:rPr>
        <w:t xml:space="preserve"> положително </w:t>
      </w:r>
      <w:r w:rsidR="00CA6925">
        <w:rPr>
          <w:rFonts w:ascii="Times New Roman" w:eastAsia="Times New Roman" w:hAnsi="Times New Roman" w:cs="Times New Roman"/>
          <w:sz w:val="24"/>
          <w:szCs w:val="24"/>
        </w:rPr>
        <w:t>на този въпрос представляват 90</w:t>
      </w:r>
      <w:r w:rsidRPr="00FD4C39">
        <w:rPr>
          <w:rFonts w:ascii="Times New Roman" w:eastAsia="Times New Roman" w:hAnsi="Times New Roman" w:cs="Times New Roman"/>
          <w:sz w:val="24"/>
          <w:szCs w:val="24"/>
        </w:rPr>
        <w:t xml:space="preserve">% от анкетираните. </w:t>
      </w:r>
    </w:p>
    <w:p w:rsidR="00541B14" w:rsidRPr="00FD4C39" w:rsidRDefault="00541B14">
      <w:pPr>
        <w:rPr>
          <w:rFonts w:ascii="Times New Roman" w:eastAsia="Times New Roman" w:hAnsi="Times New Roman" w:cs="Times New Roman"/>
          <w:b/>
          <w:bCs/>
          <w:sz w:val="24"/>
          <w:szCs w:val="24"/>
        </w:rPr>
      </w:pPr>
      <w:r w:rsidRPr="00FD4C39">
        <w:rPr>
          <w:rFonts w:ascii="Times New Roman" w:eastAsia="Times New Roman" w:hAnsi="Times New Roman" w:cs="Times New Roman"/>
          <w:b/>
          <w:bCs/>
          <w:sz w:val="24"/>
          <w:szCs w:val="24"/>
        </w:rPr>
        <w:br w:type="page"/>
      </w:r>
    </w:p>
    <w:p w:rsidR="00ED76DE" w:rsidRPr="00FD4C39" w:rsidRDefault="00ED76DE" w:rsidP="007B189E">
      <w:pPr>
        <w:spacing w:after="0" w:line="360" w:lineRule="auto"/>
        <w:ind w:firstLine="709"/>
        <w:jc w:val="both"/>
        <w:rPr>
          <w:rFonts w:ascii="Times New Roman" w:eastAsia="Times New Roman" w:hAnsi="Times New Roman" w:cs="Times New Roman"/>
          <w:b/>
          <w:bCs/>
          <w:sz w:val="24"/>
          <w:szCs w:val="24"/>
        </w:rPr>
      </w:pPr>
      <w:r w:rsidRPr="00FD4C39">
        <w:rPr>
          <w:rFonts w:ascii="Times New Roman" w:eastAsia="Times New Roman" w:hAnsi="Times New Roman" w:cs="Times New Roman"/>
          <w:b/>
          <w:bCs/>
          <w:sz w:val="24"/>
          <w:szCs w:val="24"/>
        </w:rPr>
        <w:lastRenderedPageBreak/>
        <w:t>VIII.</w:t>
      </w:r>
      <w:r w:rsidR="0051252A" w:rsidRPr="00FD4C39">
        <w:rPr>
          <w:rFonts w:ascii="Times New Roman" w:eastAsia="Times New Roman" w:hAnsi="Times New Roman" w:cs="Times New Roman"/>
          <w:b/>
          <w:bCs/>
          <w:sz w:val="24"/>
          <w:szCs w:val="24"/>
        </w:rPr>
        <w:t xml:space="preserve"> </w:t>
      </w:r>
      <w:r w:rsidRPr="00FD4C39">
        <w:rPr>
          <w:rFonts w:ascii="Times New Roman" w:eastAsia="Times New Roman" w:hAnsi="Times New Roman" w:cs="Times New Roman"/>
          <w:b/>
          <w:bCs/>
          <w:sz w:val="24"/>
          <w:szCs w:val="24"/>
        </w:rPr>
        <w:t>Реализация на проекти с национално и международно финансиране</w:t>
      </w:r>
    </w:p>
    <w:p w:rsidR="00F43D10" w:rsidRPr="00FD4C39" w:rsidRDefault="00F43D10" w:rsidP="007B189E">
      <w:pPr>
        <w:spacing w:after="0" w:line="360" w:lineRule="auto"/>
        <w:ind w:firstLine="709"/>
        <w:jc w:val="both"/>
        <w:rPr>
          <w:rFonts w:ascii="Times New Roman" w:eastAsia="Times New Roman" w:hAnsi="Times New Roman" w:cs="Times New Roman"/>
          <w:b/>
          <w:bCs/>
          <w:sz w:val="24"/>
          <w:szCs w:val="24"/>
        </w:rPr>
      </w:pPr>
    </w:p>
    <w:p w:rsidR="00ED76DE" w:rsidRPr="00FD4C39" w:rsidRDefault="00CA6925" w:rsidP="007B189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факта</w:t>
      </w:r>
      <w:r w:rsidR="00ED76DE" w:rsidRPr="00FD4C39">
        <w:rPr>
          <w:rFonts w:ascii="Times New Roman" w:eastAsia="Times New Roman" w:hAnsi="Times New Roman" w:cs="Times New Roman"/>
          <w:sz w:val="24"/>
          <w:szCs w:val="24"/>
        </w:rPr>
        <w:t xml:space="preserve">, че </w:t>
      </w:r>
      <w:r w:rsidR="00FE7018" w:rsidRPr="00FD4C39">
        <w:rPr>
          <w:rFonts w:ascii="Times New Roman" w:eastAsia="Times New Roman" w:hAnsi="Times New Roman" w:cs="Times New Roman"/>
          <w:sz w:val="24"/>
          <w:szCs w:val="24"/>
        </w:rPr>
        <w:t>КЗЛД</w:t>
      </w:r>
      <w:r w:rsidR="00A227D6" w:rsidRPr="00FD4C39">
        <w:rPr>
          <w:rFonts w:ascii="Times New Roman" w:eastAsia="Times New Roman" w:hAnsi="Times New Roman" w:cs="Times New Roman"/>
          <w:sz w:val="24"/>
          <w:szCs w:val="24"/>
        </w:rPr>
        <w:t xml:space="preserve"> </w:t>
      </w:r>
      <w:r w:rsidR="00ED76DE" w:rsidRPr="00FD4C39">
        <w:rPr>
          <w:rFonts w:ascii="Times New Roman" w:eastAsia="Times New Roman" w:hAnsi="Times New Roman" w:cs="Times New Roman"/>
          <w:sz w:val="24"/>
          <w:szCs w:val="24"/>
        </w:rPr>
        <w:t>е единственият държа</w:t>
      </w:r>
      <w:r w:rsidR="00586810">
        <w:rPr>
          <w:rFonts w:ascii="Times New Roman" w:eastAsia="Times New Roman" w:hAnsi="Times New Roman" w:cs="Times New Roman"/>
          <w:sz w:val="24"/>
          <w:szCs w:val="24"/>
        </w:rPr>
        <w:t xml:space="preserve">вен орган </w:t>
      </w:r>
      <w:r w:rsidR="00ED76DE" w:rsidRPr="00FD4C39">
        <w:rPr>
          <w:rFonts w:ascii="Times New Roman" w:eastAsia="Times New Roman" w:hAnsi="Times New Roman" w:cs="Times New Roman"/>
          <w:sz w:val="24"/>
          <w:szCs w:val="24"/>
        </w:rPr>
        <w:t>в областта на защитата на данните и неприкосновеността</w:t>
      </w:r>
      <w:r w:rsidR="0051252A" w:rsidRPr="00FD4C39">
        <w:rPr>
          <w:rFonts w:ascii="Times New Roman" w:eastAsia="Times New Roman" w:hAnsi="Times New Roman" w:cs="Times New Roman"/>
          <w:sz w:val="24"/>
          <w:szCs w:val="24"/>
        </w:rPr>
        <w:t>,</w:t>
      </w:r>
      <w:r w:rsidR="00ED76DE" w:rsidRPr="00FD4C39">
        <w:rPr>
          <w:rFonts w:ascii="Times New Roman" w:eastAsia="Times New Roman" w:hAnsi="Times New Roman" w:cs="Times New Roman"/>
          <w:sz w:val="24"/>
          <w:szCs w:val="24"/>
        </w:rPr>
        <w:t xml:space="preserve"> и поради ограниченото финансиране от националния бюджет за осъщ</w:t>
      </w:r>
      <w:r w:rsidR="00586810">
        <w:rPr>
          <w:rFonts w:ascii="Times New Roman" w:eastAsia="Times New Roman" w:hAnsi="Times New Roman" w:cs="Times New Roman"/>
          <w:sz w:val="24"/>
          <w:szCs w:val="24"/>
        </w:rPr>
        <w:t>ествяване на нейните правомощия</w:t>
      </w:r>
      <w:r w:rsidR="00ED76DE" w:rsidRPr="00FD4C39">
        <w:rPr>
          <w:rFonts w:ascii="Times New Roman" w:eastAsia="Times New Roman" w:hAnsi="Times New Roman" w:cs="Times New Roman"/>
          <w:sz w:val="24"/>
          <w:szCs w:val="24"/>
        </w:rPr>
        <w:t xml:space="preserve"> </w:t>
      </w:r>
      <w:r w:rsidR="00DF717D" w:rsidRPr="00FD4C39">
        <w:rPr>
          <w:rFonts w:ascii="Times New Roman" w:eastAsia="Times New Roman" w:hAnsi="Times New Roman" w:cs="Times New Roman"/>
          <w:sz w:val="24"/>
          <w:szCs w:val="24"/>
        </w:rPr>
        <w:t>тя</w:t>
      </w:r>
      <w:r w:rsidR="00ED76DE" w:rsidRPr="00FD4C39">
        <w:rPr>
          <w:rFonts w:ascii="Times New Roman" w:eastAsia="Times New Roman" w:hAnsi="Times New Roman" w:cs="Times New Roman"/>
          <w:sz w:val="24"/>
          <w:szCs w:val="24"/>
        </w:rPr>
        <w:t xml:space="preserve"> се стреми да подобрява работата си и да повишава качеството на предлаганите услуги чрез привличане на европейско финансиране. Този стремеж на институцията е в съзвучие и с националната политика, която следва</w:t>
      </w:r>
      <w:r w:rsidR="00BF7BF3" w:rsidRPr="00FD4C39">
        <w:rPr>
          <w:rFonts w:ascii="Times New Roman" w:eastAsia="Times New Roman" w:hAnsi="Times New Roman" w:cs="Times New Roman"/>
          <w:sz w:val="24"/>
          <w:szCs w:val="24"/>
        </w:rPr>
        <w:t xml:space="preserve"> Република</w:t>
      </w:r>
      <w:r w:rsidR="00ED76DE" w:rsidRPr="00FD4C39">
        <w:rPr>
          <w:rFonts w:ascii="Times New Roman" w:eastAsia="Times New Roman" w:hAnsi="Times New Roman" w:cs="Times New Roman"/>
          <w:sz w:val="24"/>
          <w:szCs w:val="24"/>
        </w:rPr>
        <w:t xml:space="preserve"> България по отношение на използването на възможностите</w:t>
      </w:r>
      <w:r w:rsidR="00DF717D" w:rsidRPr="00FD4C39">
        <w:rPr>
          <w:rFonts w:ascii="Times New Roman" w:eastAsia="Times New Roman" w:hAnsi="Times New Roman" w:cs="Times New Roman"/>
          <w:sz w:val="24"/>
          <w:szCs w:val="24"/>
        </w:rPr>
        <w:t>,</w:t>
      </w:r>
      <w:r w:rsidR="00ED76DE" w:rsidRPr="00FD4C39">
        <w:rPr>
          <w:rFonts w:ascii="Times New Roman" w:eastAsia="Times New Roman" w:hAnsi="Times New Roman" w:cs="Times New Roman"/>
          <w:sz w:val="24"/>
          <w:szCs w:val="24"/>
        </w:rPr>
        <w:t xml:space="preserve"> предоставени от европейските фондове.</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По отношение на разработването и управлението на проекти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е сред най-успешните в историята на </w:t>
      </w:r>
      <w:r w:rsidR="00FE7018" w:rsidRPr="00FD4C39">
        <w:rPr>
          <w:rFonts w:ascii="Times New Roman" w:eastAsia="Times New Roman" w:hAnsi="Times New Roman" w:cs="Times New Roman"/>
          <w:sz w:val="24"/>
          <w:szCs w:val="24"/>
        </w:rPr>
        <w:t>КЗЛД</w:t>
      </w:r>
      <w:r w:rsidR="00586810">
        <w:rPr>
          <w:rFonts w:ascii="Times New Roman" w:eastAsia="Times New Roman" w:hAnsi="Times New Roman" w:cs="Times New Roman"/>
          <w:sz w:val="24"/>
          <w:szCs w:val="24"/>
        </w:rPr>
        <w:t xml:space="preserve">. През тази година успешно </w:t>
      </w:r>
      <w:r w:rsidRPr="00FD4C39">
        <w:rPr>
          <w:rFonts w:ascii="Times New Roman" w:eastAsia="Times New Roman" w:hAnsi="Times New Roman" w:cs="Times New Roman"/>
          <w:sz w:val="24"/>
          <w:szCs w:val="24"/>
        </w:rPr>
        <w:t>завъ</w:t>
      </w:r>
      <w:r w:rsidR="00586810">
        <w:rPr>
          <w:rFonts w:ascii="Times New Roman" w:eastAsia="Times New Roman" w:hAnsi="Times New Roman" w:cs="Times New Roman"/>
          <w:sz w:val="24"/>
          <w:szCs w:val="24"/>
        </w:rPr>
        <w:t>ршват</w:t>
      </w:r>
      <w:r w:rsidR="00F9255D" w:rsidRPr="00FD4C39">
        <w:rPr>
          <w:rFonts w:ascii="Times New Roman" w:eastAsia="Times New Roman" w:hAnsi="Times New Roman" w:cs="Times New Roman"/>
          <w:sz w:val="24"/>
          <w:szCs w:val="24"/>
        </w:rPr>
        <w:t xml:space="preserve"> 4 проекта</w:t>
      </w:r>
      <w:r w:rsidRPr="00FD4C39">
        <w:rPr>
          <w:rFonts w:ascii="Times New Roman" w:eastAsia="Times New Roman" w:hAnsi="Times New Roman" w:cs="Times New Roman"/>
          <w:sz w:val="24"/>
          <w:szCs w:val="24"/>
        </w:rPr>
        <w:t xml:space="preserve"> и с</w:t>
      </w:r>
      <w:r w:rsidR="00586810">
        <w:rPr>
          <w:rFonts w:ascii="Times New Roman" w:eastAsia="Times New Roman" w:hAnsi="Times New Roman" w:cs="Times New Roman"/>
          <w:sz w:val="24"/>
          <w:szCs w:val="24"/>
        </w:rPr>
        <w:t>е подписват</w:t>
      </w:r>
      <w:r w:rsidRPr="00FD4C39">
        <w:rPr>
          <w:rFonts w:ascii="Times New Roman" w:eastAsia="Times New Roman" w:hAnsi="Times New Roman" w:cs="Times New Roman"/>
          <w:sz w:val="24"/>
          <w:szCs w:val="24"/>
        </w:rPr>
        <w:t xml:space="preserve"> договори </w:t>
      </w:r>
      <w:r w:rsidR="00586810">
        <w:rPr>
          <w:rFonts w:ascii="Times New Roman" w:eastAsia="Times New Roman" w:hAnsi="Times New Roman" w:cs="Times New Roman"/>
          <w:sz w:val="24"/>
          <w:szCs w:val="24"/>
        </w:rPr>
        <w:t>за финансиране по още 2 проекта</w:t>
      </w:r>
      <w:r w:rsidRPr="00FD4C39">
        <w:rPr>
          <w:rFonts w:ascii="Times New Roman" w:eastAsia="Times New Roman" w:hAnsi="Times New Roman" w:cs="Times New Roman"/>
          <w:sz w:val="24"/>
          <w:szCs w:val="24"/>
        </w:rPr>
        <w:t xml:space="preserve"> на стойност 335 961 лева. Общо проектите, които с</w:t>
      </w:r>
      <w:r w:rsidR="00586810">
        <w:rPr>
          <w:rFonts w:ascii="Times New Roman" w:eastAsia="Times New Roman" w:hAnsi="Times New Roman" w:cs="Times New Roman"/>
          <w:sz w:val="24"/>
          <w:szCs w:val="24"/>
        </w:rPr>
        <w:t>е управляват</w:t>
      </w:r>
      <w:r w:rsidRPr="00FD4C39">
        <w:rPr>
          <w:rFonts w:ascii="Times New Roman" w:eastAsia="Times New Roman" w:hAnsi="Times New Roman" w:cs="Times New Roman"/>
          <w:sz w:val="24"/>
          <w:szCs w:val="24"/>
        </w:rPr>
        <w:t xml:space="preserve"> от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за 2014</w:t>
      </w:r>
      <w:r w:rsidR="004D42A2">
        <w:rPr>
          <w:rFonts w:ascii="Times New Roman" w:eastAsia="Times New Roman" w:hAnsi="Times New Roman" w:cs="Times New Roman"/>
          <w:sz w:val="24"/>
          <w:szCs w:val="24"/>
        </w:rPr>
        <w:t> г.</w:t>
      </w:r>
      <w:r w:rsidR="00586810">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са 7 на брой, по 3 различни европейски програми. </w:t>
      </w:r>
    </w:p>
    <w:p w:rsidR="00694795" w:rsidRPr="00FD4C39" w:rsidRDefault="00694795" w:rsidP="007B189E">
      <w:pPr>
        <w:spacing w:after="0" w:line="360" w:lineRule="auto"/>
        <w:ind w:firstLine="709"/>
        <w:jc w:val="both"/>
        <w:rPr>
          <w:rFonts w:ascii="Times New Roman" w:eastAsia="Times New Roman" w:hAnsi="Times New Roman" w:cs="Times New Roman"/>
          <w:b/>
          <w:sz w:val="24"/>
          <w:szCs w:val="24"/>
        </w:rPr>
      </w:pPr>
    </w:p>
    <w:p w:rsidR="00ED76DE" w:rsidRPr="00FD4C39" w:rsidRDefault="00ED76DE" w:rsidP="007B189E">
      <w:pPr>
        <w:spacing w:after="0" w:line="360" w:lineRule="auto"/>
        <w:ind w:firstLine="709"/>
        <w:jc w:val="both"/>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t xml:space="preserve">1. </w:t>
      </w:r>
      <w:r w:rsidR="00AC07C9" w:rsidRPr="00FD4C39">
        <w:rPr>
          <w:rFonts w:ascii="Times New Roman" w:eastAsia="Times New Roman" w:hAnsi="Times New Roman" w:cs="Times New Roman"/>
          <w:b/>
          <w:sz w:val="24"/>
          <w:szCs w:val="24"/>
        </w:rPr>
        <w:t xml:space="preserve">Програма </w:t>
      </w:r>
      <w:r w:rsidR="004931E5" w:rsidRPr="00FD4C39">
        <w:rPr>
          <w:rFonts w:ascii="Times New Roman" w:eastAsia="Times New Roman" w:hAnsi="Times New Roman" w:cs="Times New Roman"/>
          <w:b/>
          <w:sz w:val="24"/>
          <w:szCs w:val="24"/>
        </w:rPr>
        <w:t>„</w:t>
      </w:r>
      <w:r w:rsidR="00586810">
        <w:rPr>
          <w:rFonts w:ascii="Times New Roman" w:eastAsia="Times New Roman" w:hAnsi="Times New Roman" w:cs="Times New Roman"/>
          <w:b/>
          <w:sz w:val="24"/>
          <w:szCs w:val="24"/>
        </w:rPr>
        <w:t>Леонардо да Винчи“</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Програма </w:t>
      </w:r>
      <w:r w:rsidR="004931E5" w:rsidRPr="00FD4C39">
        <w:rPr>
          <w:rFonts w:ascii="Times New Roman" w:eastAsia="Times New Roman" w:hAnsi="Times New Roman" w:cs="Times New Roman"/>
          <w:sz w:val="24"/>
          <w:szCs w:val="24"/>
        </w:rPr>
        <w:t>„</w:t>
      </w:r>
      <w:r w:rsidR="00D15791">
        <w:rPr>
          <w:rFonts w:ascii="Times New Roman" w:eastAsia="Times New Roman" w:hAnsi="Times New Roman" w:cs="Times New Roman"/>
          <w:sz w:val="24"/>
          <w:szCs w:val="24"/>
        </w:rPr>
        <w:t>Леонардо да Винчи“</w:t>
      </w:r>
      <w:r w:rsidRPr="00FD4C39">
        <w:rPr>
          <w:rFonts w:ascii="Times New Roman" w:eastAsia="Times New Roman" w:hAnsi="Times New Roman" w:cs="Times New Roman"/>
          <w:sz w:val="24"/>
          <w:szCs w:val="24"/>
        </w:rPr>
        <w:t xml:space="preserve"> е програмата, която поддържа и осъществява политиката за професионално образование и обучение на страните членки на ЕС, като се съобразява със съдържанието и организацията на тази политика в съответната страна. Целта на програмата е посредством транснационалното сътрудничество и натрупания опит да се повишава качеството на професионалното образование и обучение, да се поощряват иновациите и да се разпространяват добрите професионални практики и системи в Европа. В рамките на програмата през 2012</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D15791">
        <w:rPr>
          <w:rFonts w:ascii="Times New Roman" w:eastAsia="Times New Roman" w:hAnsi="Times New Roman" w:cs="Times New Roman"/>
          <w:sz w:val="24"/>
          <w:szCs w:val="24"/>
        </w:rPr>
        <w:t>се</w:t>
      </w:r>
      <w:r w:rsidRPr="00FD4C39">
        <w:rPr>
          <w:rFonts w:ascii="Times New Roman" w:eastAsia="Times New Roman" w:hAnsi="Times New Roman" w:cs="Times New Roman"/>
          <w:sz w:val="24"/>
          <w:szCs w:val="24"/>
        </w:rPr>
        <w:t xml:space="preserve"> одобр</w:t>
      </w:r>
      <w:r w:rsidR="00D15791">
        <w:rPr>
          <w:rFonts w:ascii="Times New Roman" w:eastAsia="Times New Roman" w:hAnsi="Times New Roman" w:cs="Times New Roman"/>
          <w:sz w:val="24"/>
          <w:szCs w:val="24"/>
        </w:rPr>
        <w:t>яват</w:t>
      </w:r>
      <w:r w:rsidRPr="00FD4C39">
        <w:rPr>
          <w:rFonts w:ascii="Times New Roman" w:eastAsia="Times New Roman" w:hAnsi="Times New Roman" w:cs="Times New Roman"/>
          <w:sz w:val="24"/>
          <w:szCs w:val="24"/>
        </w:rPr>
        <w:t xml:space="preserve"> два проекта на </w:t>
      </w:r>
      <w:r w:rsidR="00FE7018" w:rsidRPr="00FD4C39">
        <w:rPr>
          <w:rFonts w:ascii="Times New Roman" w:eastAsia="Times New Roman" w:hAnsi="Times New Roman" w:cs="Times New Roman"/>
          <w:sz w:val="24"/>
          <w:szCs w:val="24"/>
        </w:rPr>
        <w:t>КЗЛД</w:t>
      </w:r>
      <w:r w:rsidR="00D25AB3" w:rsidRPr="00FD4C39">
        <w:rPr>
          <w:rFonts w:ascii="Times New Roman" w:eastAsia="Times New Roman" w:hAnsi="Times New Roman" w:cs="Times New Roman"/>
          <w:sz w:val="24"/>
          <w:szCs w:val="24"/>
        </w:rPr>
        <w:t xml:space="preserve">, като първият от тях </w:t>
      </w:r>
      <w:r w:rsidR="00D15791">
        <w:rPr>
          <w:rFonts w:ascii="Times New Roman" w:eastAsia="Times New Roman" w:hAnsi="Times New Roman" w:cs="Times New Roman"/>
          <w:sz w:val="24"/>
          <w:szCs w:val="24"/>
        </w:rPr>
        <w:t>успешно завършва</w:t>
      </w:r>
      <w:r w:rsidRPr="00FD4C39">
        <w:rPr>
          <w:rFonts w:ascii="Times New Roman" w:eastAsia="Times New Roman" w:hAnsi="Times New Roman" w:cs="Times New Roman"/>
          <w:sz w:val="24"/>
          <w:szCs w:val="24"/>
        </w:rPr>
        <w:t xml:space="preserve"> и</w:t>
      </w:r>
      <w:r w:rsidR="00D15791">
        <w:rPr>
          <w:rFonts w:ascii="Times New Roman" w:eastAsia="Times New Roman" w:hAnsi="Times New Roman" w:cs="Times New Roman"/>
          <w:sz w:val="24"/>
          <w:szCs w:val="24"/>
        </w:rPr>
        <w:t xml:space="preserve"> се</w:t>
      </w:r>
      <w:r w:rsidRPr="00FD4C39">
        <w:rPr>
          <w:rFonts w:ascii="Times New Roman" w:eastAsia="Times New Roman" w:hAnsi="Times New Roman" w:cs="Times New Roman"/>
          <w:sz w:val="24"/>
          <w:szCs w:val="24"/>
        </w:rPr>
        <w:t xml:space="preserve"> отч</w:t>
      </w:r>
      <w:r w:rsidR="00D15791">
        <w:rPr>
          <w:rFonts w:ascii="Times New Roman" w:eastAsia="Times New Roman" w:hAnsi="Times New Roman" w:cs="Times New Roman"/>
          <w:sz w:val="24"/>
          <w:szCs w:val="24"/>
        </w:rPr>
        <w:t>ита</w:t>
      </w:r>
      <w:r w:rsidRPr="00FD4C39">
        <w:rPr>
          <w:rFonts w:ascii="Times New Roman" w:eastAsia="Times New Roman" w:hAnsi="Times New Roman" w:cs="Times New Roman"/>
          <w:sz w:val="24"/>
          <w:szCs w:val="24"/>
        </w:rPr>
        <w:t xml:space="preserve"> през 2013</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приключ</w:t>
      </w:r>
      <w:r w:rsidR="00D25AB3" w:rsidRPr="00FD4C39">
        <w:rPr>
          <w:rFonts w:ascii="Times New Roman" w:eastAsia="Times New Roman" w:hAnsi="Times New Roman" w:cs="Times New Roman"/>
          <w:sz w:val="24"/>
          <w:szCs w:val="24"/>
        </w:rPr>
        <w:t>ва</w:t>
      </w:r>
      <w:r w:rsidRPr="00FD4C39">
        <w:rPr>
          <w:rFonts w:ascii="Times New Roman" w:eastAsia="Times New Roman" w:hAnsi="Times New Roman" w:cs="Times New Roman"/>
          <w:sz w:val="24"/>
          <w:szCs w:val="24"/>
        </w:rPr>
        <w:t xml:space="preserve"> изпълнението и на втория проект в рамките на тази програма. </w:t>
      </w:r>
    </w:p>
    <w:p w:rsidR="00ED76DE" w:rsidRPr="00FD4C39" w:rsidRDefault="00694795"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Повишаване на осведомеността по въпросите</w:t>
      </w:r>
      <w:r w:rsidR="003E7392">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 xml:space="preserve"> свързани със защитата на личните данни на лицата работещи на пазара на труда в ЕС</w:t>
      </w:r>
      <w:r w:rsidR="003E7392">
        <w:rPr>
          <w:rFonts w:ascii="Times New Roman" w:eastAsia="Times New Roman" w:hAnsi="Times New Roman" w:cs="Times New Roman"/>
          <w:b/>
          <w:sz w:val="24"/>
          <w:szCs w:val="24"/>
        </w:rPr>
        <w:t>“</w:t>
      </w:r>
      <w:r w:rsidR="004D42A2">
        <w:rPr>
          <w:rFonts w:ascii="Times New Roman" w:eastAsia="Times New Roman" w:hAnsi="Times New Roman" w:cs="Times New Roman"/>
          <w:b/>
          <w:sz w:val="24"/>
          <w:szCs w:val="24"/>
        </w:rPr>
        <w:t xml:space="preserve"> – </w:t>
      </w:r>
      <w:r w:rsidR="00ED76DE" w:rsidRPr="00FD4C39">
        <w:rPr>
          <w:rFonts w:ascii="Times New Roman" w:eastAsia="Times New Roman" w:hAnsi="Times New Roman" w:cs="Times New Roman"/>
          <w:b/>
          <w:sz w:val="24"/>
          <w:szCs w:val="24"/>
        </w:rPr>
        <w:t xml:space="preserve">по програма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Леонардо да Винчи</w:t>
      </w:r>
      <w:r w:rsidR="003E7392">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 xml:space="preserve">, дейност </w:t>
      </w:r>
      <w:r w:rsidR="004931E5" w:rsidRPr="00FD4C39">
        <w:rPr>
          <w:rFonts w:ascii="Times New Roman" w:eastAsia="Times New Roman" w:hAnsi="Times New Roman" w:cs="Times New Roman"/>
          <w:b/>
          <w:sz w:val="24"/>
          <w:szCs w:val="24"/>
        </w:rPr>
        <w:t>„</w:t>
      </w:r>
      <w:r w:rsidR="003E7392">
        <w:rPr>
          <w:rFonts w:ascii="Times New Roman" w:eastAsia="Times New Roman" w:hAnsi="Times New Roman" w:cs="Times New Roman"/>
          <w:b/>
          <w:sz w:val="24"/>
          <w:szCs w:val="24"/>
        </w:rPr>
        <w:t>Партньорство“</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Проектът стартира през месец септември 2012</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Общата стой</w:t>
      </w:r>
      <w:r w:rsidR="00DC0A8C" w:rsidRPr="00FD4C39">
        <w:rPr>
          <w:rFonts w:ascii="Times New Roman" w:eastAsia="Times New Roman" w:hAnsi="Times New Roman" w:cs="Times New Roman"/>
          <w:sz w:val="24"/>
          <w:szCs w:val="24"/>
        </w:rPr>
        <w:t>ност на финансирането, отпуснато</w:t>
      </w:r>
      <w:r w:rsidRPr="00FD4C39">
        <w:rPr>
          <w:rFonts w:ascii="Times New Roman" w:eastAsia="Times New Roman" w:hAnsi="Times New Roman" w:cs="Times New Roman"/>
          <w:sz w:val="24"/>
          <w:szCs w:val="24"/>
        </w:rPr>
        <w:t xml:space="preserve"> на КЗЛД</w:t>
      </w:r>
      <w:r w:rsidR="00C15060">
        <w:rPr>
          <w:rFonts w:ascii="Times New Roman" w:eastAsia="Times New Roman" w:hAnsi="Times New Roman" w:cs="Times New Roman"/>
          <w:sz w:val="24"/>
          <w:szCs w:val="24"/>
        </w:rPr>
        <w:t>, е 11 000 евро, които се верифицират</w:t>
      </w:r>
      <w:r w:rsidRPr="00FD4C39">
        <w:rPr>
          <w:rFonts w:ascii="Times New Roman" w:eastAsia="Times New Roman" w:hAnsi="Times New Roman" w:cs="Times New Roman"/>
          <w:sz w:val="24"/>
          <w:szCs w:val="24"/>
        </w:rPr>
        <w:t xml:space="preserve"> от У</w:t>
      </w:r>
      <w:r w:rsidR="00C15060">
        <w:rPr>
          <w:rFonts w:ascii="Times New Roman" w:eastAsia="Times New Roman" w:hAnsi="Times New Roman" w:cs="Times New Roman"/>
          <w:sz w:val="24"/>
          <w:szCs w:val="24"/>
        </w:rPr>
        <w:t>правляващия орган и възстановяват в пълен размер</w:t>
      </w:r>
      <w:r w:rsidRPr="00FD4C39">
        <w:rPr>
          <w:rFonts w:ascii="Times New Roman" w:eastAsia="Times New Roman" w:hAnsi="Times New Roman" w:cs="Times New Roman"/>
          <w:sz w:val="24"/>
          <w:szCs w:val="24"/>
        </w:rPr>
        <w:t xml:space="preserve"> след приключването на проекта през юли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По този проект КЗЛД е партньор с Бюрото към Главен инспектор по защитата на личните данни на Република Полша, Службата по защита на личните </w:t>
      </w:r>
      <w:r w:rsidRPr="00FD4C39">
        <w:rPr>
          <w:rFonts w:ascii="Times New Roman" w:eastAsia="Times New Roman" w:hAnsi="Times New Roman" w:cs="Times New Roman"/>
          <w:sz w:val="24"/>
          <w:szCs w:val="24"/>
        </w:rPr>
        <w:lastRenderedPageBreak/>
        <w:t xml:space="preserve">данни на Република Чехия и Агенцията по защита на личните данни на Република Хърватия. </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В рамките на изпълн</w:t>
      </w:r>
      <w:r w:rsidR="00C11CC0">
        <w:rPr>
          <w:rFonts w:ascii="Times New Roman" w:eastAsia="Times New Roman" w:hAnsi="Times New Roman" w:cs="Times New Roman"/>
          <w:sz w:val="24"/>
          <w:szCs w:val="24"/>
        </w:rPr>
        <w:t>ението на проектните дейности се</w:t>
      </w:r>
      <w:r w:rsidRPr="00FD4C39">
        <w:rPr>
          <w:rFonts w:ascii="Times New Roman" w:eastAsia="Times New Roman" w:hAnsi="Times New Roman" w:cs="Times New Roman"/>
          <w:sz w:val="24"/>
          <w:szCs w:val="24"/>
        </w:rPr>
        <w:t xml:space="preserve"> прове</w:t>
      </w:r>
      <w:r w:rsidR="00C11CC0">
        <w:rPr>
          <w:rFonts w:ascii="Times New Roman" w:eastAsia="Times New Roman" w:hAnsi="Times New Roman" w:cs="Times New Roman"/>
          <w:sz w:val="24"/>
          <w:szCs w:val="24"/>
        </w:rPr>
        <w:t>ждат</w:t>
      </w:r>
      <w:r w:rsidRPr="00FD4C39">
        <w:rPr>
          <w:rFonts w:ascii="Times New Roman" w:eastAsia="Times New Roman" w:hAnsi="Times New Roman" w:cs="Times New Roman"/>
          <w:sz w:val="24"/>
          <w:szCs w:val="24"/>
        </w:rPr>
        <w:t xml:space="preserve"> 6 раб</w:t>
      </w:r>
      <w:r w:rsidR="00C15060">
        <w:rPr>
          <w:rFonts w:ascii="Times New Roman" w:eastAsia="Times New Roman" w:hAnsi="Times New Roman" w:cs="Times New Roman"/>
          <w:sz w:val="24"/>
          <w:szCs w:val="24"/>
        </w:rPr>
        <w:t xml:space="preserve">отни срещи в страните </w:t>
      </w:r>
      <w:r w:rsidRPr="00FD4C39">
        <w:rPr>
          <w:rFonts w:ascii="Times New Roman" w:eastAsia="Times New Roman" w:hAnsi="Times New Roman" w:cs="Times New Roman"/>
          <w:sz w:val="24"/>
          <w:szCs w:val="24"/>
        </w:rPr>
        <w:t>партньори. Работните срещи са част от подготовката на резултата от проекта</w:t>
      </w:r>
      <w:r w:rsidR="004D42A2">
        <w:rPr>
          <w:rFonts w:ascii="Times New Roman" w:eastAsia="Times New Roman" w:hAnsi="Times New Roman" w:cs="Times New Roman"/>
          <w:sz w:val="24"/>
          <w:szCs w:val="24"/>
        </w:rPr>
        <w:t xml:space="preserve"> – </w:t>
      </w:r>
      <w:r w:rsidRPr="00FD4C39">
        <w:rPr>
          <w:rFonts w:ascii="Times New Roman" w:eastAsia="Times New Roman" w:hAnsi="Times New Roman" w:cs="Times New Roman"/>
          <w:sz w:val="24"/>
          <w:szCs w:val="24"/>
        </w:rPr>
        <w:t>наръчник</w:t>
      </w:r>
      <w:r w:rsidR="00144A6E"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озаглавен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Защита на неприкосновеността на работното място. Наръчник за служители</w:t>
      </w:r>
      <w:r w:rsidR="00C11CC0">
        <w:rPr>
          <w:rFonts w:ascii="Times New Roman" w:eastAsia="Times New Roman" w:hAnsi="Times New Roman" w:cs="Times New Roman"/>
          <w:sz w:val="24"/>
          <w:szCs w:val="24"/>
        </w:rPr>
        <w:t>“. Наръчникът се</w:t>
      </w:r>
      <w:r w:rsidRPr="00FD4C39">
        <w:rPr>
          <w:rFonts w:ascii="Times New Roman" w:eastAsia="Times New Roman" w:hAnsi="Times New Roman" w:cs="Times New Roman"/>
          <w:sz w:val="24"/>
          <w:szCs w:val="24"/>
        </w:rPr>
        <w:t xml:space="preserve"> насоч</w:t>
      </w:r>
      <w:r w:rsidR="00C11CC0">
        <w:rPr>
          <w:rFonts w:ascii="Times New Roman" w:eastAsia="Times New Roman" w:hAnsi="Times New Roman" w:cs="Times New Roman"/>
          <w:sz w:val="24"/>
          <w:szCs w:val="24"/>
        </w:rPr>
        <w:t>ва</w:t>
      </w:r>
      <w:r w:rsidRPr="00FD4C39">
        <w:rPr>
          <w:rFonts w:ascii="Times New Roman" w:eastAsia="Times New Roman" w:hAnsi="Times New Roman" w:cs="Times New Roman"/>
          <w:sz w:val="24"/>
          <w:szCs w:val="24"/>
        </w:rPr>
        <w:t xml:space="preserve"> към тези, които търсят работа или работят в страна от Европейския съюз и цели да повиши тяхното разбиране по въпросите</w:t>
      </w:r>
      <w:r w:rsidR="00144A6E"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свързани със защитата на личните им данни. </w:t>
      </w:r>
      <w:r w:rsidR="002407AB" w:rsidRPr="00FD4C39">
        <w:rPr>
          <w:rFonts w:ascii="Times New Roman" w:eastAsia="Times New Roman" w:hAnsi="Times New Roman" w:cs="Times New Roman"/>
          <w:sz w:val="24"/>
          <w:szCs w:val="24"/>
        </w:rPr>
        <w:t>Документът</w:t>
      </w:r>
      <w:r w:rsidRPr="00FD4C39">
        <w:rPr>
          <w:rFonts w:ascii="Times New Roman" w:eastAsia="Times New Roman" w:hAnsi="Times New Roman" w:cs="Times New Roman"/>
          <w:sz w:val="24"/>
          <w:szCs w:val="24"/>
        </w:rPr>
        <w:t xml:space="preserve"> включва практически въпроси от сферата на защитата на личните данни и съвети към физическите лица. Самата публикация </w:t>
      </w:r>
      <w:r w:rsidR="00C11CC0">
        <w:rPr>
          <w:rFonts w:ascii="Times New Roman" w:eastAsia="Times New Roman" w:hAnsi="Times New Roman" w:cs="Times New Roman"/>
          <w:sz w:val="24"/>
          <w:szCs w:val="24"/>
        </w:rPr>
        <w:t>се</w:t>
      </w:r>
      <w:r w:rsidR="00B0117C"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раздел</w:t>
      </w:r>
      <w:r w:rsidR="00C11CC0">
        <w:rPr>
          <w:rFonts w:ascii="Times New Roman" w:eastAsia="Times New Roman" w:hAnsi="Times New Roman" w:cs="Times New Roman"/>
          <w:sz w:val="24"/>
          <w:szCs w:val="24"/>
        </w:rPr>
        <w:t>я</w:t>
      </w:r>
      <w:r w:rsidRPr="00FD4C39">
        <w:rPr>
          <w:rFonts w:ascii="Times New Roman" w:eastAsia="Times New Roman" w:hAnsi="Times New Roman" w:cs="Times New Roman"/>
          <w:sz w:val="24"/>
          <w:szCs w:val="24"/>
        </w:rPr>
        <w:t xml:space="preserve"> на 5 смислови части</w:t>
      </w:r>
      <w:r w:rsidR="004D42A2">
        <w:rPr>
          <w:rFonts w:ascii="Times New Roman" w:eastAsia="Times New Roman" w:hAnsi="Times New Roman" w:cs="Times New Roman"/>
          <w:sz w:val="24"/>
          <w:szCs w:val="24"/>
        </w:rPr>
        <w:t xml:space="preserve"> – </w:t>
      </w:r>
      <w:r w:rsidRPr="00FD4C39">
        <w:rPr>
          <w:rFonts w:ascii="Times New Roman" w:eastAsia="Times New Roman" w:hAnsi="Times New Roman" w:cs="Times New Roman"/>
          <w:sz w:val="24"/>
          <w:szCs w:val="24"/>
        </w:rPr>
        <w:t xml:space="preserve">период на търсене на работа, процедура по подбор, период на изпълнение на служебните задължения, прекратяване на трудовите задължения и защита на личните данни, права на служителите и надзорните органи като помощник. В наръчника </w:t>
      </w:r>
      <w:r w:rsidR="00C11CC0">
        <w:rPr>
          <w:rFonts w:ascii="Times New Roman" w:eastAsia="Times New Roman" w:hAnsi="Times New Roman" w:cs="Times New Roman"/>
          <w:sz w:val="24"/>
          <w:szCs w:val="24"/>
        </w:rPr>
        <w:t>се представят</w:t>
      </w:r>
      <w:r w:rsidRPr="00FD4C39">
        <w:rPr>
          <w:rFonts w:ascii="Times New Roman" w:eastAsia="Times New Roman" w:hAnsi="Times New Roman" w:cs="Times New Roman"/>
          <w:sz w:val="24"/>
          <w:szCs w:val="24"/>
        </w:rPr>
        <w:t xml:space="preserve"> надзорните органи, които </w:t>
      </w:r>
      <w:r w:rsidR="00DE5B06" w:rsidRPr="00FD4C39">
        <w:rPr>
          <w:rFonts w:ascii="Times New Roman" w:eastAsia="Times New Roman" w:hAnsi="Times New Roman" w:cs="Times New Roman"/>
          <w:sz w:val="24"/>
          <w:szCs w:val="24"/>
        </w:rPr>
        <w:t>са партньори</w:t>
      </w:r>
      <w:r w:rsidRPr="00FD4C39">
        <w:rPr>
          <w:rFonts w:ascii="Times New Roman" w:eastAsia="Times New Roman" w:hAnsi="Times New Roman" w:cs="Times New Roman"/>
          <w:sz w:val="24"/>
          <w:szCs w:val="24"/>
        </w:rPr>
        <w:t xml:space="preserve"> по проекта, както и основните понятия от сферата на защита на личните данни, обединени в терминологичен речник.</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2014</w:t>
      </w:r>
      <w:r w:rsidR="004D42A2">
        <w:rPr>
          <w:rFonts w:ascii="Times New Roman" w:eastAsia="Times New Roman" w:hAnsi="Times New Roman" w:cs="Times New Roman"/>
          <w:sz w:val="24"/>
          <w:szCs w:val="24"/>
        </w:rPr>
        <w:t> г.</w:t>
      </w:r>
      <w:r w:rsidR="00C11CC0">
        <w:rPr>
          <w:rFonts w:ascii="Times New Roman" w:eastAsia="Times New Roman" w:hAnsi="Times New Roman" w:cs="Times New Roman"/>
          <w:sz w:val="24"/>
          <w:szCs w:val="24"/>
        </w:rPr>
        <w:t xml:space="preserve"> се </w:t>
      </w:r>
      <w:r w:rsidRPr="00FD4C39">
        <w:rPr>
          <w:rFonts w:ascii="Times New Roman" w:eastAsia="Times New Roman" w:hAnsi="Times New Roman" w:cs="Times New Roman"/>
          <w:sz w:val="24"/>
          <w:szCs w:val="24"/>
        </w:rPr>
        <w:t>прове</w:t>
      </w:r>
      <w:r w:rsidR="00C11CC0">
        <w:rPr>
          <w:rFonts w:ascii="Times New Roman" w:eastAsia="Times New Roman" w:hAnsi="Times New Roman" w:cs="Times New Roman"/>
          <w:sz w:val="24"/>
          <w:szCs w:val="24"/>
        </w:rPr>
        <w:t>ждат</w:t>
      </w:r>
      <w:r w:rsidRPr="00FD4C39">
        <w:rPr>
          <w:rFonts w:ascii="Times New Roman" w:eastAsia="Times New Roman" w:hAnsi="Times New Roman" w:cs="Times New Roman"/>
          <w:sz w:val="24"/>
          <w:szCs w:val="24"/>
        </w:rPr>
        <w:t xml:space="preserve"> 2 срещи по проекта</w:t>
      </w:r>
      <w:r w:rsidR="004D42A2">
        <w:rPr>
          <w:rFonts w:ascii="Times New Roman" w:eastAsia="Times New Roman" w:hAnsi="Times New Roman" w:cs="Times New Roman"/>
          <w:sz w:val="24"/>
          <w:szCs w:val="24"/>
        </w:rPr>
        <w:t xml:space="preserve"> – </w:t>
      </w:r>
      <w:r w:rsidR="00C11CC0">
        <w:rPr>
          <w:rFonts w:ascii="Times New Roman" w:eastAsia="Times New Roman" w:hAnsi="Times New Roman" w:cs="Times New Roman"/>
          <w:sz w:val="24"/>
          <w:szCs w:val="24"/>
        </w:rPr>
        <w:t>съответно в Загреб (Хърватия)</w:t>
      </w:r>
      <w:r w:rsidRPr="00FD4C39">
        <w:rPr>
          <w:rFonts w:ascii="Times New Roman" w:eastAsia="Times New Roman" w:hAnsi="Times New Roman" w:cs="Times New Roman"/>
          <w:sz w:val="24"/>
          <w:szCs w:val="24"/>
        </w:rPr>
        <w:t xml:space="preserve"> и Гданск (Полша), като втората от тях е официалното представяне на публикацията пред обществ</w:t>
      </w:r>
      <w:r w:rsidR="00C11CC0">
        <w:rPr>
          <w:rFonts w:ascii="Times New Roman" w:eastAsia="Times New Roman" w:hAnsi="Times New Roman" w:cs="Times New Roman"/>
          <w:sz w:val="24"/>
          <w:szCs w:val="24"/>
        </w:rPr>
        <w:t>еността. В България наръчникът се</w:t>
      </w:r>
      <w:r w:rsidRPr="00FD4C39">
        <w:rPr>
          <w:rFonts w:ascii="Times New Roman" w:eastAsia="Times New Roman" w:hAnsi="Times New Roman" w:cs="Times New Roman"/>
          <w:sz w:val="24"/>
          <w:szCs w:val="24"/>
        </w:rPr>
        <w:t xml:space="preserve"> представ</w:t>
      </w:r>
      <w:r w:rsidR="00C11CC0">
        <w:rPr>
          <w:rFonts w:ascii="Times New Roman" w:eastAsia="Times New Roman" w:hAnsi="Times New Roman" w:cs="Times New Roman"/>
          <w:sz w:val="24"/>
          <w:szCs w:val="24"/>
        </w:rPr>
        <w:t>я</w:t>
      </w:r>
      <w:r w:rsidRPr="00FD4C39">
        <w:rPr>
          <w:rFonts w:ascii="Times New Roman" w:eastAsia="Times New Roman" w:hAnsi="Times New Roman" w:cs="Times New Roman"/>
          <w:sz w:val="24"/>
          <w:szCs w:val="24"/>
        </w:rPr>
        <w:t xml:space="preserve"> на специално организирана кръгла маса, която </w:t>
      </w:r>
      <w:r w:rsidR="00C11CC0">
        <w:rPr>
          <w:rFonts w:ascii="Times New Roman" w:eastAsia="Times New Roman" w:hAnsi="Times New Roman" w:cs="Times New Roman"/>
          <w:sz w:val="24"/>
          <w:szCs w:val="24"/>
        </w:rPr>
        <w:t>се провежда на 28 юли</w:t>
      </w:r>
      <w:r w:rsidRPr="00FD4C39">
        <w:rPr>
          <w:rFonts w:ascii="Times New Roman" w:eastAsia="Times New Roman" w:hAnsi="Times New Roman" w:cs="Times New Roman"/>
          <w:sz w:val="24"/>
          <w:szCs w:val="24"/>
        </w:rPr>
        <w:t xml:space="preserve"> в сградата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По покана на КЗЛД участие в мероприятието взе</w:t>
      </w:r>
      <w:r w:rsidR="00295AF1" w:rsidRPr="00FD4C39">
        <w:rPr>
          <w:rFonts w:ascii="Times New Roman" w:eastAsia="Times New Roman" w:hAnsi="Times New Roman" w:cs="Times New Roman"/>
          <w:sz w:val="24"/>
          <w:szCs w:val="24"/>
        </w:rPr>
        <w:t>мат</w:t>
      </w:r>
      <w:r w:rsidRPr="00FD4C39">
        <w:rPr>
          <w:rFonts w:ascii="Times New Roman" w:eastAsia="Times New Roman" w:hAnsi="Times New Roman" w:cs="Times New Roman"/>
          <w:sz w:val="24"/>
          <w:szCs w:val="24"/>
        </w:rPr>
        <w:t xml:space="preserve"> представители на Министерство</w:t>
      </w:r>
      <w:r w:rsidR="00C11CC0">
        <w:rPr>
          <w:rFonts w:ascii="Times New Roman" w:eastAsia="Times New Roman" w:hAnsi="Times New Roman" w:cs="Times New Roman"/>
          <w:sz w:val="24"/>
          <w:szCs w:val="24"/>
        </w:rPr>
        <w:t>то</w:t>
      </w:r>
      <w:r w:rsidRPr="00FD4C39">
        <w:rPr>
          <w:rFonts w:ascii="Times New Roman" w:eastAsia="Times New Roman" w:hAnsi="Times New Roman" w:cs="Times New Roman"/>
          <w:sz w:val="24"/>
          <w:szCs w:val="24"/>
        </w:rPr>
        <w:t xml:space="preserve"> на труда и социалната политика, Главна</w:t>
      </w:r>
      <w:r w:rsidR="00C11CC0">
        <w:rPr>
          <w:rFonts w:ascii="Times New Roman" w:eastAsia="Times New Roman" w:hAnsi="Times New Roman" w:cs="Times New Roman"/>
          <w:sz w:val="24"/>
          <w:szCs w:val="24"/>
        </w:rPr>
        <w:t>та</w:t>
      </w:r>
      <w:r w:rsidRPr="00FD4C39">
        <w:rPr>
          <w:rFonts w:ascii="Times New Roman" w:eastAsia="Times New Roman" w:hAnsi="Times New Roman" w:cs="Times New Roman"/>
          <w:sz w:val="24"/>
          <w:szCs w:val="24"/>
        </w:rPr>
        <w:t xml:space="preserve"> инспекция по труда и Агенцията по заетостта. </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Наръчникът за лицата на пазара на труда може да бъде намерен на страницата на институциите, които </w:t>
      </w:r>
      <w:r w:rsidR="00875AEB" w:rsidRPr="00FD4C39">
        <w:rPr>
          <w:rFonts w:ascii="Times New Roman" w:eastAsia="Times New Roman" w:hAnsi="Times New Roman" w:cs="Times New Roman"/>
          <w:sz w:val="24"/>
          <w:szCs w:val="24"/>
        </w:rPr>
        <w:t xml:space="preserve">са участници </w:t>
      </w:r>
      <w:r w:rsidRPr="00FD4C39">
        <w:rPr>
          <w:rFonts w:ascii="Times New Roman" w:eastAsia="Times New Roman" w:hAnsi="Times New Roman" w:cs="Times New Roman"/>
          <w:sz w:val="24"/>
          <w:szCs w:val="24"/>
        </w:rPr>
        <w:t xml:space="preserve">в проекта. На електронната страница на </w:t>
      </w:r>
      <w:r w:rsidR="00FE7018" w:rsidRPr="00FD4C39">
        <w:rPr>
          <w:rFonts w:ascii="Times New Roman" w:eastAsia="Times New Roman" w:hAnsi="Times New Roman" w:cs="Times New Roman"/>
          <w:sz w:val="24"/>
          <w:szCs w:val="24"/>
        </w:rPr>
        <w:t>КЗЛД</w:t>
      </w:r>
      <w:r w:rsidR="0051252A"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 xml:space="preserve">той </w:t>
      </w:r>
      <w:r w:rsidR="00C11CC0">
        <w:rPr>
          <w:rFonts w:ascii="Times New Roman" w:eastAsia="Times New Roman" w:hAnsi="Times New Roman" w:cs="Times New Roman"/>
          <w:sz w:val="24"/>
          <w:szCs w:val="24"/>
        </w:rPr>
        <w:t>се намира</w:t>
      </w:r>
      <w:r w:rsidRPr="00FD4C39">
        <w:rPr>
          <w:rFonts w:ascii="Times New Roman" w:eastAsia="Times New Roman" w:hAnsi="Times New Roman" w:cs="Times New Roman"/>
          <w:sz w:val="24"/>
          <w:szCs w:val="24"/>
        </w:rPr>
        <w:t xml:space="preserve"> в секцията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Бъдете информирани</w:t>
      </w:r>
      <w:r w:rsidR="00C11CC0">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Наръчникът се разпространява и чрез сайтовете на партньорски институции</w:t>
      </w:r>
      <w:r w:rsidR="004D42A2">
        <w:rPr>
          <w:rFonts w:ascii="Times New Roman" w:eastAsia="Times New Roman" w:hAnsi="Times New Roman" w:cs="Times New Roman"/>
          <w:sz w:val="24"/>
          <w:szCs w:val="24"/>
        </w:rPr>
        <w:t xml:space="preserve"> – </w:t>
      </w:r>
      <w:r w:rsidRPr="00FD4C39">
        <w:rPr>
          <w:rFonts w:ascii="Times New Roman" w:eastAsia="Times New Roman" w:hAnsi="Times New Roman" w:cs="Times New Roman"/>
          <w:sz w:val="24"/>
          <w:szCs w:val="24"/>
        </w:rPr>
        <w:t>Министерство</w:t>
      </w:r>
      <w:r w:rsidR="00C11CC0">
        <w:rPr>
          <w:rFonts w:ascii="Times New Roman" w:eastAsia="Times New Roman" w:hAnsi="Times New Roman" w:cs="Times New Roman"/>
          <w:sz w:val="24"/>
          <w:szCs w:val="24"/>
        </w:rPr>
        <w:t>то</w:t>
      </w:r>
      <w:r w:rsidRPr="00FD4C39">
        <w:rPr>
          <w:rFonts w:ascii="Times New Roman" w:eastAsia="Times New Roman" w:hAnsi="Times New Roman" w:cs="Times New Roman"/>
          <w:sz w:val="24"/>
          <w:szCs w:val="24"/>
        </w:rPr>
        <w:t xml:space="preserve"> на труда и социалната политика, Главна</w:t>
      </w:r>
      <w:r w:rsidR="00C11CC0">
        <w:rPr>
          <w:rFonts w:ascii="Times New Roman" w:eastAsia="Times New Roman" w:hAnsi="Times New Roman" w:cs="Times New Roman"/>
          <w:sz w:val="24"/>
          <w:szCs w:val="24"/>
        </w:rPr>
        <w:t>та</w:t>
      </w:r>
      <w:r w:rsidRPr="00FD4C39">
        <w:rPr>
          <w:rFonts w:ascii="Times New Roman" w:eastAsia="Times New Roman" w:hAnsi="Times New Roman" w:cs="Times New Roman"/>
          <w:sz w:val="24"/>
          <w:szCs w:val="24"/>
        </w:rPr>
        <w:t xml:space="preserve"> инспекция по труда, Българска</w:t>
      </w:r>
      <w:r w:rsidR="00C11CC0">
        <w:rPr>
          <w:rFonts w:ascii="Times New Roman" w:eastAsia="Times New Roman" w:hAnsi="Times New Roman" w:cs="Times New Roman"/>
          <w:sz w:val="24"/>
          <w:szCs w:val="24"/>
        </w:rPr>
        <w:t>та търговско-</w:t>
      </w:r>
      <w:r w:rsidRPr="00FD4C39">
        <w:rPr>
          <w:rFonts w:ascii="Times New Roman" w:eastAsia="Times New Roman" w:hAnsi="Times New Roman" w:cs="Times New Roman"/>
          <w:sz w:val="24"/>
          <w:szCs w:val="24"/>
        </w:rPr>
        <w:t xml:space="preserve">промишлена палата и Агенцията по заетостта. През месец септември в </w:t>
      </w:r>
      <w:r w:rsidR="00FE7018" w:rsidRPr="00FD4C39">
        <w:rPr>
          <w:rFonts w:ascii="Times New Roman" w:eastAsia="Times New Roman" w:hAnsi="Times New Roman" w:cs="Times New Roman"/>
          <w:sz w:val="24"/>
          <w:szCs w:val="24"/>
        </w:rPr>
        <w:t>КЗЛД</w:t>
      </w:r>
      <w:r w:rsidR="00911EA3" w:rsidRPr="00FD4C39">
        <w:rPr>
          <w:rFonts w:ascii="Times New Roman" w:eastAsia="Times New Roman" w:hAnsi="Times New Roman" w:cs="Times New Roman"/>
          <w:sz w:val="24"/>
          <w:szCs w:val="24"/>
        </w:rPr>
        <w:t xml:space="preserve"> </w:t>
      </w:r>
      <w:r w:rsidR="00C11CC0">
        <w:rPr>
          <w:rFonts w:ascii="Times New Roman" w:eastAsia="Times New Roman" w:hAnsi="Times New Roman" w:cs="Times New Roman"/>
          <w:sz w:val="24"/>
          <w:szCs w:val="24"/>
        </w:rPr>
        <w:t>постъпва</w:t>
      </w:r>
      <w:r w:rsidRPr="00FD4C39">
        <w:rPr>
          <w:rFonts w:ascii="Times New Roman" w:eastAsia="Times New Roman" w:hAnsi="Times New Roman" w:cs="Times New Roman"/>
          <w:sz w:val="24"/>
          <w:szCs w:val="24"/>
        </w:rPr>
        <w:t xml:space="preserve"> молба от румънския надз</w:t>
      </w:r>
      <w:r w:rsidR="00C11CC0">
        <w:rPr>
          <w:rFonts w:ascii="Times New Roman" w:eastAsia="Times New Roman" w:hAnsi="Times New Roman" w:cs="Times New Roman"/>
          <w:sz w:val="24"/>
          <w:szCs w:val="24"/>
        </w:rPr>
        <w:t>орен орган по защита на данните</w:t>
      </w:r>
      <w:r w:rsidRPr="00FD4C39">
        <w:rPr>
          <w:rFonts w:ascii="Times New Roman" w:eastAsia="Times New Roman" w:hAnsi="Times New Roman" w:cs="Times New Roman"/>
          <w:sz w:val="24"/>
          <w:szCs w:val="24"/>
        </w:rPr>
        <w:t xml:space="preserve"> за разрешение наръчникът да бъде преведен и разпространен на територията на Румъния, с оглед неговата актуалност и отлична практическа приложимост. </w:t>
      </w:r>
      <w:r w:rsidR="00FE7018" w:rsidRPr="00FD4C39">
        <w:rPr>
          <w:rFonts w:ascii="Times New Roman" w:eastAsia="Times New Roman" w:hAnsi="Times New Roman" w:cs="Times New Roman"/>
          <w:sz w:val="24"/>
          <w:szCs w:val="24"/>
        </w:rPr>
        <w:t>КЗЛД</w:t>
      </w:r>
      <w:r w:rsidR="00C11CC0">
        <w:rPr>
          <w:rFonts w:ascii="Times New Roman" w:eastAsia="Times New Roman" w:hAnsi="Times New Roman" w:cs="Times New Roman"/>
          <w:sz w:val="24"/>
          <w:szCs w:val="24"/>
        </w:rPr>
        <w:t xml:space="preserve"> отговаря</w:t>
      </w:r>
      <w:r w:rsidRPr="00FD4C39">
        <w:rPr>
          <w:rFonts w:ascii="Times New Roman" w:eastAsia="Times New Roman" w:hAnsi="Times New Roman" w:cs="Times New Roman"/>
          <w:sz w:val="24"/>
          <w:szCs w:val="24"/>
        </w:rPr>
        <w:t xml:space="preserve"> положително на отправената молба. </w:t>
      </w:r>
    </w:p>
    <w:p w:rsidR="00694795" w:rsidRPr="00FD4C39" w:rsidRDefault="00694795" w:rsidP="007B189E">
      <w:pPr>
        <w:spacing w:after="0" w:line="360" w:lineRule="auto"/>
        <w:ind w:firstLine="709"/>
        <w:jc w:val="both"/>
        <w:rPr>
          <w:rFonts w:ascii="Times New Roman" w:eastAsia="Times New Roman" w:hAnsi="Times New Roman" w:cs="Times New Roman"/>
          <w:b/>
          <w:sz w:val="24"/>
          <w:szCs w:val="24"/>
        </w:rPr>
      </w:pPr>
    </w:p>
    <w:p w:rsidR="00ED76DE" w:rsidRPr="00FD4C39" w:rsidRDefault="00ED76DE" w:rsidP="007B189E">
      <w:pPr>
        <w:spacing w:after="0" w:line="360" w:lineRule="auto"/>
        <w:ind w:firstLine="709"/>
        <w:jc w:val="both"/>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t xml:space="preserve">2. </w:t>
      </w:r>
      <w:r w:rsidR="0039005E" w:rsidRPr="00FD4C39">
        <w:rPr>
          <w:rFonts w:ascii="Times New Roman" w:eastAsia="Times New Roman" w:hAnsi="Times New Roman" w:cs="Times New Roman"/>
          <w:b/>
          <w:sz w:val="24"/>
          <w:szCs w:val="24"/>
        </w:rPr>
        <w:t xml:space="preserve">Проекти по оперативна програма </w:t>
      </w:r>
      <w:r w:rsidR="004931E5" w:rsidRPr="00FD4C39">
        <w:rPr>
          <w:rFonts w:ascii="Times New Roman" w:eastAsia="Times New Roman" w:hAnsi="Times New Roman" w:cs="Times New Roman"/>
          <w:b/>
          <w:sz w:val="24"/>
          <w:szCs w:val="24"/>
        </w:rPr>
        <w:t>„</w:t>
      </w:r>
      <w:r w:rsidR="00C11CC0">
        <w:rPr>
          <w:rFonts w:ascii="Times New Roman" w:eastAsia="Times New Roman" w:hAnsi="Times New Roman" w:cs="Times New Roman"/>
          <w:b/>
          <w:sz w:val="24"/>
          <w:szCs w:val="24"/>
        </w:rPr>
        <w:t>Административен капацитет“</w:t>
      </w:r>
    </w:p>
    <w:p w:rsidR="00ED76DE" w:rsidRPr="00FD4C39" w:rsidRDefault="004931E5"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w:t>
      </w:r>
      <w:r w:rsidR="00C11CC0">
        <w:rPr>
          <w:rFonts w:ascii="Times New Roman" w:eastAsia="Times New Roman" w:hAnsi="Times New Roman" w:cs="Times New Roman"/>
          <w:sz w:val="24"/>
          <w:szCs w:val="24"/>
        </w:rPr>
        <w:t>Административен капацитет“</w:t>
      </w:r>
      <w:r w:rsidR="00ED76DE" w:rsidRPr="00FD4C39">
        <w:rPr>
          <w:rFonts w:ascii="Times New Roman" w:eastAsia="Times New Roman" w:hAnsi="Times New Roman" w:cs="Times New Roman"/>
          <w:sz w:val="24"/>
          <w:szCs w:val="24"/>
        </w:rPr>
        <w:t xml:space="preserve"> е една от седемте оперативни програми за програмния период 2007</w:t>
      </w:r>
      <w:r w:rsidR="00C11CC0">
        <w:rPr>
          <w:rFonts w:ascii="Times New Roman" w:eastAsia="Times New Roman" w:hAnsi="Times New Roman" w:cs="Times New Roman"/>
          <w:sz w:val="24"/>
          <w:szCs w:val="24"/>
        </w:rPr>
        <w:t>–</w:t>
      </w:r>
      <w:r w:rsidR="00ED76DE" w:rsidRPr="00FD4C39">
        <w:rPr>
          <w:rFonts w:ascii="Times New Roman" w:eastAsia="Times New Roman" w:hAnsi="Times New Roman" w:cs="Times New Roman"/>
          <w:sz w:val="24"/>
          <w:szCs w:val="24"/>
        </w:rPr>
        <w:t>2013</w:t>
      </w:r>
      <w:r w:rsidR="004D42A2">
        <w:rPr>
          <w:rFonts w:ascii="Times New Roman" w:eastAsia="Times New Roman" w:hAnsi="Times New Roman" w:cs="Times New Roman"/>
          <w:sz w:val="24"/>
          <w:szCs w:val="24"/>
        </w:rPr>
        <w:t> г.</w:t>
      </w:r>
      <w:r w:rsidR="00ED76DE" w:rsidRPr="00FD4C39">
        <w:rPr>
          <w:rFonts w:ascii="Times New Roman" w:eastAsia="Times New Roman" w:hAnsi="Times New Roman" w:cs="Times New Roman"/>
          <w:sz w:val="24"/>
          <w:szCs w:val="24"/>
        </w:rPr>
        <w:t xml:space="preserve"> Тя е насочена към държавната администрация и цели </w:t>
      </w:r>
      <w:r w:rsidR="00ED76DE" w:rsidRPr="00FD4C39">
        <w:rPr>
          <w:rFonts w:ascii="Times New Roman" w:eastAsia="Times New Roman" w:hAnsi="Times New Roman" w:cs="Times New Roman"/>
          <w:sz w:val="24"/>
          <w:szCs w:val="24"/>
        </w:rPr>
        <w:lastRenderedPageBreak/>
        <w:t>подобряване на нейната работа за реализиране на ефективни политики, качествено обслужване на гражданите и бизнеса и създаване на условия за устойчив икономически растеж и заетост, както и повишаване на професионализма, прозрачността и отчетността в съдебната система. През 2014</w:t>
      </w:r>
      <w:r w:rsidR="004D42A2">
        <w:rPr>
          <w:rFonts w:ascii="Times New Roman" w:eastAsia="Times New Roman" w:hAnsi="Times New Roman" w:cs="Times New Roman"/>
          <w:sz w:val="24"/>
          <w:szCs w:val="24"/>
        </w:rPr>
        <w:t> г.</w:t>
      </w:r>
      <w:r w:rsidR="00ED76DE" w:rsidRPr="00FD4C39">
        <w:rPr>
          <w:rFonts w:ascii="Times New Roman" w:eastAsia="Times New Roman" w:hAnsi="Times New Roman" w:cs="Times New Roman"/>
          <w:sz w:val="24"/>
          <w:szCs w:val="24"/>
        </w:rPr>
        <w:t xml:space="preserve"> </w:t>
      </w:r>
      <w:r w:rsidR="00FE7018" w:rsidRPr="00FD4C39">
        <w:rPr>
          <w:rFonts w:ascii="Times New Roman" w:eastAsia="Times New Roman" w:hAnsi="Times New Roman" w:cs="Times New Roman"/>
          <w:sz w:val="24"/>
          <w:szCs w:val="24"/>
        </w:rPr>
        <w:t>КЗЛД</w:t>
      </w:r>
      <w:r w:rsidR="00ED76DE" w:rsidRPr="00FD4C39">
        <w:rPr>
          <w:rFonts w:ascii="Times New Roman" w:eastAsia="Times New Roman" w:hAnsi="Times New Roman" w:cs="Times New Roman"/>
          <w:sz w:val="24"/>
          <w:szCs w:val="24"/>
        </w:rPr>
        <w:t xml:space="preserve"> успя</w:t>
      </w:r>
      <w:r w:rsidR="003677B0" w:rsidRPr="00FD4C39">
        <w:rPr>
          <w:rFonts w:ascii="Times New Roman" w:eastAsia="Times New Roman" w:hAnsi="Times New Roman" w:cs="Times New Roman"/>
          <w:sz w:val="24"/>
          <w:szCs w:val="24"/>
        </w:rPr>
        <w:t>ва</w:t>
      </w:r>
      <w:r w:rsidR="00ED76DE" w:rsidRPr="00FD4C39">
        <w:rPr>
          <w:rFonts w:ascii="Times New Roman" w:eastAsia="Times New Roman" w:hAnsi="Times New Roman" w:cs="Times New Roman"/>
          <w:sz w:val="24"/>
          <w:szCs w:val="24"/>
        </w:rPr>
        <w:t xml:space="preserve"> да приключи и отчете 3 проекта по програмата. Освен това Управляващият орган на </w:t>
      </w:r>
      <w:r w:rsidR="008240E3" w:rsidRPr="00FD4C39">
        <w:rPr>
          <w:rFonts w:ascii="Times New Roman" w:eastAsia="Times New Roman" w:hAnsi="Times New Roman" w:cs="Times New Roman"/>
          <w:sz w:val="24"/>
          <w:szCs w:val="24"/>
        </w:rPr>
        <w:t xml:space="preserve">Оперативна програма </w:t>
      </w:r>
      <w:r w:rsidRPr="00FD4C39">
        <w:rPr>
          <w:rFonts w:ascii="Times New Roman" w:eastAsia="Times New Roman" w:hAnsi="Times New Roman" w:cs="Times New Roman"/>
          <w:sz w:val="24"/>
          <w:szCs w:val="24"/>
        </w:rPr>
        <w:t>„</w:t>
      </w:r>
      <w:r w:rsidR="00C11CC0">
        <w:rPr>
          <w:rFonts w:ascii="Times New Roman" w:eastAsia="Times New Roman" w:hAnsi="Times New Roman" w:cs="Times New Roman"/>
          <w:sz w:val="24"/>
          <w:szCs w:val="24"/>
        </w:rPr>
        <w:t>Административен капацитет“</w:t>
      </w:r>
      <w:r w:rsidR="008240E3" w:rsidRPr="00FD4C39">
        <w:rPr>
          <w:rFonts w:ascii="Times New Roman" w:eastAsia="Times New Roman" w:hAnsi="Times New Roman" w:cs="Times New Roman"/>
          <w:sz w:val="24"/>
          <w:szCs w:val="24"/>
        </w:rPr>
        <w:t xml:space="preserve"> (</w:t>
      </w:r>
      <w:r w:rsidR="00ED76DE" w:rsidRPr="00FD4C39">
        <w:rPr>
          <w:rFonts w:ascii="Times New Roman" w:eastAsia="Times New Roman" w:hAnsi="Times New Roman" w:cs="Times New Roman"/>
          <w:sz w:val="24"/>
          <w:szCs w:val="24"/>
        </w:rPr>
        <w:t>ОПАК</w:t>
      </w:r>
      <w:r w:rsidR="008240E3" w:rsidRPr="00FD4C39">
        <w:rPr>
          <w:rFonts w:ascii="Times New Roman" w:eastAsia="Times New Roman" w:hAnsi="Times New Roman" w:cs="Times New Roman"/>
          <w:sz w:val="24"/>
          <w:szCs w:val="24"/>
        </w:rPr>
        <w:t>)</w:t>
      </w:r>
      <w:r w:rsidR="00ED76DE" w:rsidRPr="00FD4C39">
        <w:rPr>
          <w:rFonts w:ascii="Times New Roman" w:eastAsia="Times New Roman" w:hAnsi="Times New Roman" w:cs="Times New Roman"/>
          <w:sz w:val="24"/>
          <w:szCs w:val="24"/>
        </w:rPr>
        <w:t xml:space="preserve"> </w:t>
      </w:r>
      <w:r w:rsidR="00C11CC0">
        <w:rPr>
          <w:rFonts w:ascii="Times New Roman" w:eastAsia="Times New Roman" w:hAnsi="Times New Roman" w:cs="Times New Roman"/>
          <w:sz w:val="24"/>
          <w:szCs w:val="24"/>
        </w:rPr>
        <w:t>одобрява</w:t>
      </w:r>
      <w:r w:rsidR="00ED76DE" w:rsidRPr="00FD4C39">
        <w:rPr>
          <w:rFonts w:ascii="Times New Roman" w:eastAsia="Times New Roman" w:hAnsi="Times New Roman" w:cs="Times New Roman"/>
          <w:sz w:val="24"/>
          <w:szCs w:val="24"/>
        </w:rPr>
        <w:t xml:space="preserve"> 2 нови проектни предложения на </w:t>
      </w:r>
      <w:r w:rsidR="00FE7018" w:rsidRPr="00FD4C39">
        <w:rPr>
          <w:rFonts w:ascii="Times New Roman" w:eastAsia="Times New Roman" w:hAnsi="Times New Roman" w:cs="Times New Roman"/>
          <w:sz w:val="24"/>
          <w:szCs w:val="24"/>
        </w:rPr>
        <w:t>КЗЛД</w:t>
      </w:r>
      <w:r w:rsidR="00ED76DE" w:rsidRPr="00FD4C39">
        <w:rPr>
          <w:rFonts w:ascii="Times New Roman" w:eastAsia="Times New Roman" w:hAnsi="Times New Roman" w:cs="Times New Roman"/>
          <w:sz w:val="24"/>
          <w:szCs w:val="24"/>
        </w:rPr>
        <w:t>, които трябва да бъдат завършени през 2015</w:t>
      </w:r>
      <w:r w:rsidR="004D42A2">
        <w:rPr>
          <w:rFonts w:ascii="Times New Roman" w:eastAsia="Times New Roman" w:hAnsi="Times New Roman" w:cs="Times New Roman"/>
          <w:sz w:val="24"/>
          <w:szCs w:val="24"/>
        </w:rPr>
        <w:t> г.</w:t>
      </w:r>
    </w:p>
    <w:p w:rsidR="00ED76DE" w:rsidRPr="00FD4C39" w:rsidRDefault="001D4887"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2.1. </w:t>
      </w:r>
      <w:r w:rsidR="00ED76DE"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 xml:space="preserve">Подобряване на управлението, организацията и функциите на </w:t>
      </w:r>
      <w:r w:rsidR="00580030" w:rsidRPr="00FD4C39">
        <w:rPr>
          <w:rFonts w:ascii="Times New Roman" w:eastAsia="Times New Roman" w:hAnsi="Times New Roman" w:cs="Times New Roman"/>
          <w:b/>
          <w:sz w:val="24"/>
          <w:szCs w:val="24"/>
        </w:rPr>
        <w:t>КЗЛД</w:t>
      </w:r>
      <w:r w:rsidR="00ED76DE" w:rsidRPr="00FD4C39">
        <w:rPr>
          <w:rFonts w:ascii="Times New Roman" w:eastAsia="Times New Roman" w:hAnsi="Times New Roman" w:cs="Times New Roman"/>
          <w:b/>
          <w:sz w:val="24"/>
          <w:szCs w:val="24"/>
        </w:rPr>
        <w:t xml:space="preserve"> чрез пр</w:t>
      </w:r>
      <w:r w:rsidR="00C11CC0">
        <w:rPr>
          <w:rFonts w:ascii="Times New Roman" w:eastAsia="Times New Roman" w:hAnsi="Times New Roman" w:cs="Times New Roman"/>
          <w:b/>
          <w:sz w:val="24"/>
          <w:szCs w:val="24"/>
        </w:rPr>
        <w:t>овеждане на функционален анализ“</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Това е първият проект на </w:t>
      </w:r>
      <w:r w:rsidR="00FE7018" w:rsidRPr="00FD4C39">
        <w:rPr>
          <w:rFonts w:ascii="Times New Roman" w:eastAsia="Times New Roman" w:hAnsi="Times New Roman" w:cs="Times New Roman"/>
          <w:sz w:val="24"/>
          <w:szCs w:val="24"/>
        </w:rPr>
        <w:t>КЗЛД</w:t>
      </w:r>
      <w:r w:rsidR="00C11CC0">
        <w:rPr>
          <w:rFonts w:ascii="Times New Roman" w:eastAsia="Times New Roman" w:hAnsi="Times New Roman" w:cs="Times New Roman"/>
          <w:sz w:val="24"/>
          <w:szCs w:val="24"/>
        </w:rPr>
        <w:t xml:space="preserve"> за защита на личните данни</w:t>
      </w:r>
      <w:r w:rsidRPr="00FD4C39">
        <w:rPr>
          <w:rFonts w:ascii="Times New Roman" w:eastAsia="Times New Roman" w:hAnsi="Times New Roman" w:cs="Times New Roman"/>
          <w:sz w:val="24"/>
          <w:szCs w:val="24"/>
        </w:rPr>
        <w:t xml:space="preserve"> в рамките на ОПАК. Неговата стойност е </w:t>
      </w:r>
      <w:r w:rsidR="0051252A" w:rsidRPr="00FD4C39">
        <w:rPr>
          <w:rFonts w:ascii="Times New Roman" w:eastAsia="Times New Roman" w:hAnsi="Times New Roman" w:cs="Times New Roman"/>
          <w:bCs/>
          <w:sz w:val="24"/>
          <w:szCs w:val="24"/>
        </w:rPr>
        <w:t>213 829,91 </w:t>
      </w:r>
      <w:r w:rsidRPr="00FD4C39">
        <w:rPr>
          <w:rFonts w:ascii="Times New Roman" w:eastAsia="Times New Roman" w:hAnsi="Times New Roman" w:cs="Times New Roman"/>
          <w:bCs/>
          <w:sz w:val="24"/>
          <w:szCs w:val="24"/>
        </w:rPr>
        <w:t>лева, а целта му е да подобри</w:t>
      </w:r>
      <w:r w:rsidRPr="00FD4C39">
        <w:rPr>
          <w:rFonts w:ascii="Times New Roman" w:eastAsia="Times New Roman" w:hAnsi="Times New Roman" w:cs="Times New Roman"/>
          <w:sz w:val="24"/>
          <w:szCs w:val="24"/>
        </w:rPr>
        <w:t xml:space="preserve"> управлението, организацията и функционирането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за защита на личните данни. Основната дейност по проекта е извършването на функционален анализ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който да идентифицира възможности за подобряване на нейната работа и за оптимизиране на структурата и работните процеси в рамките на организацията. </w:t>
      </w:r>
    </w:p>
    <w:p w:rsidR="00ED76DE" w:rsidRPr="00FD4C39" w:rsidRDefault="00C11CC0" w:rsidP="007B189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Проектът завършва</w:t>
      </w:r>
      <w:r w:rsidR="00ED76DE" w:rsidRPr="00FD4C39">
        <w:rPr>
          <w:rFonts w:ascii="Times New Roman" w:eastAsia="Times New Roman" w:hAnsi="Times New Roman" w:cs="Times New Roman"/>
          <w:sz w:val="24"/>
          <w:szCs w:val="24"/>
        </w:rPr>
        <w:t xml:space="preserve"> през юни 2014</w:t>
      </w:r>
      <w:r w:rsidR="004D42A2">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В резултат от него се</w:t>
      </w:r>
      <w:r w:rsidR="00ED76DE" w:rsidRPr="00FD4C39">
        <w:rPr>
          <w:rFonts w:ascii="Times New Roman" w:eastAsia="Times New Roman" w:hAnsi="Times New Roman" w:cs="Times New Roman"/>
          <w:sz w:val="24"/>
          <w:szCs w:val="24"/>
        </w:rPr>
        <w:t xml:space="preserve"> разработ</w:t>
      </w:r>
      <w:r>
        <w:rPr>
          <w:rFonts w:ascii="Times New Roman" w:eastAsia="Times New Roman" w:hAnsi="Times New Roman" w:cs="Times New Roman"/>
          <w:sz w:val="24"/>
          <w:szCs w:val="24"/>
        </w:rPr>
        <w:t>ва</w:t>
      </w:r>
      <w:r w:rsidR="00ED76DE" w:rsidRPr="00FD4C39">
        <w:rPr>
          <w:rFonts w:ascii="Times New Roman" w:eastAsia="Times New Roman" w:hAnsi="Times New Roman" w:cs="Times New Roman"/>
          <w:sz w:val="24"/>
          <w:szCs w:val="24"/>
        </w:rPr>
        <w:t xml:space="preserve"> и утвър</w:t>
      </w:r>
      <w:r>
        <w:rPr>
          <w:rFonts w:ascii="Times New Roman" w:eastAsia="Times New Roman" w:hAnsi="Times New Roman" w:cs="Times New Roman"/>
          <w:sz w:val="24"/>
          <w:szCs w:val="24"/>
        </w:rPr>
        <w:t>ждава</w:t>
      </w:r>
      <w:r w:rsidR="00ED76DE" w:rsidRPr="00FD4C39">
        <w:rPr>
          <w:rFonts w:ascii="Times New Roman" w:eastAsia="Times New Roman" w:hAnsi="Times New Roman" w:cs="Times New Roman"/>
          <w:sz w:val="24"/>
          <w:szCs w:val="24"/>
        </w:rPr>
        <w:t xml:space="preserve"> нов правилник на КЗЛД и </w:t>
      </w:r>
      <w:r w:rsidR="00DC0A8C" w:rsidRPr="00FD4C39">
        <w:rPr>
          <w:rFonts w:ascii="Times New Roman" w:eastAsia="Times New Roman" w:hAnsi="Times New Roman" w:cs="Times New Roman"/>
          <w:sz w:val="24"/>
          <w:szCs w:val="24"/>
        </w:rPr>
        <w:t>с</w:t>
      </w:r>
      <w:r>
        <w:rPr>
          <w:rFonts w:ascii="Times New Roman" w:eastAsia="Times New Roman" w:hAnsi="Times New Roman" w:cs="Times New Roman"/>
          <w:sz w:val="24"/>
          <w:szCs w:val="24"/>
        </w:rPr>
        <w:t>е променят</w:t>
      </w:r>
      <w:r w:rsidR="00ED76DE" w:rsidRPr="00FD4C39">
        <w:rPr>
          <w:rFonts w:ascii="Times New Roman" w:eastAsia="Times New Roman" w:hAnsi="Times New Roman" w:cs="Times New Roman"/>
          <w:sz w:val="24"/>
          <w:szCs w:val="24"/>
        </w:rPr>
        <w:t xml:space="preserve"> структурата и функционалните взаимодействия в рамките на институцията. Част от другите дейности, </w:t>
      </w:r>
      <w:r w:rsidR="00B434C8" w:rsidRPr="00FD4C39">
        <w:rPr>
          <w:rFonts w:ascii="Times New Roman" w:eastAsia="Times New Roman" w:hAnsi="Times New Roman" w:cs="Times New Roman"/>
          <w:sz w:val="24"/>
          <w:szCs w:val="24"/>
        </w:rPr>
        <w:t>реализирани</w:t>
      </w:r>
      <w:r w:rsidR="00ED76DE" w:rsidRPr="00FD4C39">
        <w:rPr>
          <w:rFonts w:ascii="Times New Roman" w:eastAsia="Times New Roman" w:hAnsi="Times New Roman" w:cs="Times New Roman"/>
          <w:sz w:val="24"/>
          <w:szCs w:val="24"/>
        </w:rPr>
        <w:t xml:space="preserve"> през 2014</w:t>
      </w:r>
      <w:r w:rsidR="004D42A2">
        <w:rPr>
          <w:rFonts w:ascii="Times New Roman" w:eastAsia="Times New Roman" w:hAnsi="Times New Roman" w:cs="Times New Roman"/>
          <w:sz w:val="24"/>
          <w:szCs w:val="24"/>
        </w:rPr>
        <w:t> г.</w:t>
      </w:r>
      <w:r w:rsidR="003E5FFA" w:rsidRPr="00FD4C39">
        <w:rPr>
          <w:rFonts w:ascii="Times New Roman" w:eastAsia="Times New Roman" w:hAnsi="Times New Roman" w:cs="Times New Roman"/>
          <w:sz w:val="24"/>
          <w:szCs w:val="24"/>
        </w:rPr>
        <w:t>,</w:t>
      </w:r>
      <w:r w:rsidR="00ED76DE" w:rsidRPr="00FD4C39">
        <w:rPr>
          <w:rFonts w:ascii="Times New Roman" w:eastAsia="Times New Roman" w:hAnsi="Times New Roman" w:cs="Times New Roman"/>
          <w:sz w:val="24"/>
          <w:szCs w:val="24"/>
        </w:rPr>
        <w:t xml:space="preserve"> включват обучение по управление на промяната за служителите на КЗЛД, кръгла маса със заинтересовани страни, заключителна пресконференция. След приключването на проекта </w:t>
      </w:r>
      <w:r w:rsidR="00FE7018" w:rsidRPr="00FD4C39">
        <w:rPr>
          <w:rFonts w:ascii="Times New Roman" w:eastAsia="Times New Roman" w:hAnsi="Times New Roman" w:cs="Times New Roman"/>
          <w:sz w:val="24"/>
          <w:szCs w:val="24"/>
        </w:rPr>
        <w:t>КЗЛД</w:t>
      </w:r>
      <w:r w:rsidR="00ED76DE" w:rsidRPr="00FD4C39">
        <w:rPr>
          <w:rFonts w:ascii="Times New Roman" w:eastAsia="Times New Roman" w:hAnsi="Times New Roman" w:cs="Times New Roman"/>
          <w:sz w:val="24"/>
          <w:szCs w:val="24"/>
        </w:rPr>
        <w:t xml:space="preserve"> премина</w:t>
      </w:r>
      <w:r>
        <w:rPr>
          <w:rFonts w:ascii="Times New Roman" w:eastAsia="Times New Roman" w:hAnsi="Times New Roman" w:cs="Times New Roman"/>
          <w:sz w:val="24"/>
          <w:szCs w:val="24"/>
        </w:rPr>
        <w:t>ва</w:t>
      </w:r>
      <w:r w:rsidR="00ED76DE" w:rsidRPr="00FD4C39">
        <w:rPr>
          <w:rFonts w:ascii="Times New Roman" w:eastAsia="Times New Roman" w:hAnsi="Times New Roman" w:cs="Times New Roman"/>
          <w:sz w:val="24"/>
          <w:szCs w:val="24"/>
        </w:rPr>
        <w:t xml:space="preserve"> успешно и детайлна проверка на място, извършена от оторизирани представители на Управляващия орган, която констатира високо качество на проектното управление. </w:t>
      </w:r>
      <w:r w:rsidR="00ED76DE" w:rsidRPr="00FD4C39">
        <w:rPr>
          <w:rFonts w:ascii="Times New Roman" w:eastAsia="Times New Roman" w:hAnsi="Times New Roman" w:cs="Times New Roman"/>
          <w:bCs/>
          <w:iCs/>
          <w:sz w:val="24"/>
          <w:szCs w:val="24"/>
        </w:rPr>
        <w:t>Управляващият орган верифицира всички извършени разходи по проекта, които възлизат на</w:t>
      </w:r>
      <w:r w:rsidR="00ED76DE" w:rsidRPr="00FD4C39">
        <w:rPr>
          <w:rFonts w:ascii="Times New Roman" w:eastAsia="Times New Roman" w:hAnsi="Times New Roman" w:cs="Times New Roman"/>
          <w:sz w:val="24"/>
          <w:szCs w:val="24"/>
        </w:rPr>
        <w:t xml:space="preserve"> 125 703,14 лева.</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Успешното приключване </w:t>
      </w:r>
      <w:r w:rsidR="00FA6D7F" w:rsidRPr="00FD4C39">
        <w:rPr>
          <w:rFonts w:ascii="Times New Roman" w:eastAsia="Times New Roman" w:hAnsi="Times New Roman" w:cs="Times New Roman"/>
          <w:sz w:val="24"/>
          <w:szCs w:val="24"/>
        </w:rPr>
        <w:t>на проекта допринася</w:t>
      </w:r>
      <w:r w:rsidRPr="00FD4C39">
        <w:rPr>
          <w:rFonts w:ascii="Times New Roman" w:eastAsia="Times New Roman" w:hAnsi="Times New Roman" w:cs="Times New Roman"/>
          <w:sz w:val="24"/>
          <w:szCs w:val="24"/>
        </w:rPr>
        <w:t xml:space="preserve"> значително за натрупване на полезен опит в проектната дейност от страна на експертите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и за повишаване на ефективността в нейната работа.</w:t>
      </w:r>
    </w:p>
    <w:p w:rsidR="00ED76DE" w:rsidRPr="00FD4C39" w:rsidRDefault="001D4887"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2.</w:t>
      </w:r>
      <w:proofErr w:type="spellStart"/>
      <w:r w:rsidRPr="00FD4C39">
        <w:rPr>
          <w:rFonts w:ascii="Times New Roman" w:eastAsia="Times New Roman" w:hAnsi="Times New Roman" w:cs="Times New Roman"/>
          <w:b/>
          <w:sz w:val="24"/>
          <w:szCs w:val="24"/>
        </w:rPr>
        <w:t>2</w:t>
      </w:r>
      <w:proofErr w:type="spellEnd"/>
      <w:r w:rsidRPr="00FD4C39">
        <w:rPr>
          <w:rFonts w:ascii="Times New Roman" w:eastAsia="Times New Roman" w:hAnsi="Times New Roman" w:cs="Times New Roman"/>
          <w:b/>
          <w:sz w:val="24"/>
          <w:szCs w:val="24"/>
        </w:rPr>
        <w:t xml:space="preserve">. </w:t>
      </w:r>
      <w:r w:rsidR="00ED76DE"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Насърчаване на професионалното развитие на служителите на КЗЛД чрез прилагане на система от обучения съобразно т</w:t>
      </w:r>
      <w:r w:rsidR="00C11CC0">
        <w:rPr>
          <w:rFonts w:ascii="Times New Roman" w:eastAsia="Times New Roman" w:hAnsi="Times New Roman" w:cs="Times New Roman"/>
          <w:b/>
          <w:sz w:val="24"/>
          <w:szCs w:val="24"/>
        </w:rPr>
        <w:t>ехните професионални задължения“</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Договорът</w:t>
      </w:r>
      <w:r w:rsidR="00C11CC0">
        <w:rPr>
          <w:rFonts w:ascii="Times New Roman" w:eastAsia="Times New Roman" w:hAnsi="Times New Roman" w:cs="Times New Roman"/>
          <w:sz w:val="24"/>
          <w:szCs w:val="24"/>
        </w:rPr>
        <w:t xml:space="preserve"> по този проект е сключен на </w:t>
      </w:r>
      <w:r w:rsidR="00A67184" w:rsidRPr="00FD4C39">
        <w:rPr>
          <w:rFonts w:ascii="Times New Roman" w:eastAsia="Times New Roman" w:hAnsi="Times New Roman" w:cs="Times New Roman"/>
          <w:sz w:val="24"/>
          <w:szCs w:val="24"/>
        </w:rPr>
        <w:t>4 </w:t>
      </w:r>
      <w:r w:rsidRPr="00FD4C39">
        <w:rPr>
          <w:rFonts w:ascii="Times New Roman" w:eastAsia="Times New Roman" w:hAnsi="Times New Roman" w:cs="Times New Roman"/>
          <w:sz w:val="24"/>
          <w:szCs w:val="24"/>
        </w:rPr>
        <w:t>юли 2013</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и е на стойност 34 647 лева. Проектът цели </w:t>
      </w:r>
      <w:r w:rsidRPr="00FD4C39">
        <w:rPr>
          <w:rFonts w:ascii="Times New Roman" w:eastAsia="Times New Roman" w:hAnsi="Times New Roman" w:cs="Times New Roman"/>
          <w:bCs/>
          <w:iCs/>
          <w:sz w:val="24"/>
          <w:szCs w:val="24"/>
        </w:rPr>
        <w:t xml:space="preserve">подобряване на професионалната компетентност на служителите в </w:t>
      </w:r>
      <w:r w:rsidR="00FE7018" w:rsidRPr="00FD4C39">
        <w:rPr>
          <w:rFonts w:ascii="Times New Roman" w:eastAsia="Times New Roman" w:hAnsi="Times New Roman" w:cs="Times New Roman"/>
          <w:bCs/>
          <w:iCs/>
          <w:sz w:val="24"/>
          <w:szCs w:val="24"/>
        </w:rPr>
        <w:t>КЗЛД</w:t>
      </w:r>
      <w:r w:rsidR="00DC0A8C" w:rsidRPr="00FD4C39">
        <w:rPr>
          <w:rFonts w:ascii="Times New Roman" w:eastAsia="Times New Roman" w:hAnsi="Times New Roman" w:cs="Times New Roman"/>
          <w:bCs/>
          <w:iCs/>
          <w:sz w:val="24"/>
          <w:szCs w:val="24"/>
        </w:rPr>
        <w:t xml:space="preserve"> </w:t>
      </w:r>
      <w:r w:rsidRPr="00FD4C39">
        <w:rPr>
          <w:rFonts w:ascii="Times New Roman" w:eastAsia="Times New Roman" w:hAnsi="Times New Roman" w:cs="Times New Roman"/>
          <w:bCs/>
          <w:iCs/>
          <w:sz w:val="24"/>
          <w:szCs w:val="24"/>
        </w:rPr>
        <w:t xml:space="preserve">за по-ефективно и ефикасно изпълнение на задълженията им. В рамките на проекта </w:t>
      </w:r>
      <w:r w:rsidR="00D676BA" w:rsidRPr="00FD4C39">
        <w:rPr>
          <w:rFonts w:ascii="Times New Roman" w:eastAsia="Times New Roman" w:hAnsi="Times New Roman" w:cs="Times New Roman"/>
          <w:bCs/>
          <w:iCs/>
          <w:sz w:val="24"/>
          <w:szCs w:val="24"/>
        </w:rPr>
        <w:t xml:space="preserve">служителите на </w:t>
      </w:r>
      <w:r w:rsidR="00FE7018" w:rsidRPr="00FD4C39">
        <w:rPr>
          <w:rFonts w:ascii="Times New Roman" w:eastAsia="Times New Roman" w:hAnsi="Times New Roman" w:cs="Times New Roman"/>
          <w:bCs/>
          <w:iCs/>
          <w:sz w:val="24"/>
          <w:szCs w:val="24"/>
        </w:rPr>
        <w:t>КЗЛД</w:t>
      </w:r>
      <w:r w:rsidR="00C11CC0">
        <w:rPr>
          <w:rFonts w:ascii="Times New Roman" w:eastAsia="Times New Roman" w:hAnsi="Times New Roman" w:cs="Times New Roman"/>
          <w:bCs/>
          <w:iCs/>
          <w:sz w:val="24"/>
          <w:szCs w:val="24"/>
        </w:rPr>
        <w:t xml:space="preserve"> преминават</w:t>
      </w:r>
      <w:r w:rsidRPr="00FD4C39">
        <w:rPr>
          <w:rFonts w:ascii="Times New Roman" w:eastAsia="Times New Roman" w:hAnsi="Times New Roman" w:cs="Times New Roman"/>
          <w:bCs/>
          <w:iCs/>
          <w:sz w:val="24"/>
          <w:szCs w:val="24"/>
        </w:rPr>
        <w:t xml:space="preserve"> серия от обучения, изб</w:t>
      </w:r>
      <w:r w:rsidR="00C11CC0">
        <w:rPr>
          <w:rFonts w:ascii="Times New Roman" w:eastAsia="Times New Roman" w:hAnsi="Times New Roman" w:cs="Times New Roman"/>
          <w:bCs/>
          <w:iCs/>
          <w:sz w:val="24"/>
          <w:szCs w:val="24"/>
        </w:rPr>
        <w:t>и</w:t>
      </w:r>
      <w:r w:rsidRPr="00FD4C39">
        <w:rPr>
          <w:rFonts w:ascii="Times New Roman" w:eastAsia="Times New Roman" w:hAnsi="Times New Roman" w:cs="Times New Roman"/>
          <w:bCs/>
          <w:iCs/>
          <w:sz w:val="24"/>
          <w:szCs w:val="24"/>
        </w:rPr>
        <w:t xml:space="preserve">рани от самите тях, </w:t>
      </w:r>
      <w:r w:rsidRPr="00FD4C39">
        <w:rPr>
          <w:rFonts w:ascii="Times New Roman" w:eastAsia="Times New Roman" w:hAnsi="Times New Roman" w:cs="Times New Roman"/>
          <w:bCs/>
          <w:iCs/>
          <w:sz w:val="24"/>
          <w:szCs w:val="24"/>
        </w:rPr>
        <w:lastRenderedPageBreak/>
        <w:t>които целят повишаване на професион</w:t>
      </w:r>
      <w:r w:rsidR="00C11CC0">
        <w:rPr>
          <w:rFonts w:ascii="Times New Roman" w:eastAsia="Times New Roman" w:hAnsi="Times New Roman" w:cs="Times New Roman"/>
          <w:bCs/>
          <w:iCs/>
          <w:sz w:val="24"/>
          <w:szCs w:val="24"/>
        </w:rPr>
        <w:t>алната им компетентност. Общо се</w:t>
      </w:r>
      <w:r w:rsidRPr="00FD4C39">
        <w:rPr>
          <w:rFonts w:ascii="Times New Roman" w:eastAsia="Times New Roman" w:hAnsi="Times New Roman" w:cs="Times New Roman"/>
          <w:bCs/>
          <w:iCs/>
          <w:sz w:val="24"/>
          <w:szCs w:val="24"/>
        </w:rPr>
        <w:t xml:space="preserve"> прове</w:t>
      </w:r>
      <w:r w:rsidR="00C11CC0">
        <w:rPr>
          <w:rFonts w:ascii="Times New Roman" w:eastAsia="Times New Roman" w:hAnsi="Times New Roman" w:cs="Times New Roman"/>
          <w:bCs/>
          <w:iCs/>
          <w:sz w:val="24"/>
          <w:szCs w:val="24"/>
        </w:rPr>
        <w:t>ждат</w:t>
      </w:r>
      <w:r w:rsidRPr="00FD4C39">
        <w:rPr>
          <w:rFonts w:ascii="Times New Roman" w:eastAsia="Times New Roman" w:hAnsi="Times New Roman" w:cs="Times New Roman"/>
          <w:bCs/>
          <w:iCs/>
          <w:sz w:val="24"/>
          <w:szCs w:val="24"/>
        </w:rPr>
        <w:t xml:space="preserve"> 34 обучителни курса, които покриват разнообразни теми</w:t>
      </w:r>
      <w:r w:rsidR="00DA5A7C" w:rsidRPr="00FD4C39">
        <w:rPr>
          <w:rFonts w:ascii="Times New Roman" w:eastAsia="Times New Roman" w:hAnsi="Times New Roman" w:cs="Times New Roman"/>
          <w:bCs/>
          <w:iCs/>
          <w:sz w:val="24"/>
          <w:szCs w:val="24"/>
        </w:rPr>
        <w:t>,</w:t>
      </w:r>
      <w:r w:rsidRPr="00FD4C39">
        <w:rPr>
          <w:rFonts w:ascii="Times New Roman" w:eastAsia="Times New Roman" w:hAnsi="Times New Roman" w:cs="Times New Roman"/>
          <w:bCs/>
          <w:iCs/>
          <w:sz w:val="24"/>
          <w:szCs w:val="24"/>
        </w:rPr>
        <w:t xml:space="preserve"> включващи правни дисциплини, софтуерни обучения, обучение на </w:t>
      </w:r>
      <w:proofErr w:type="spellStart"/>
      <w:r w:rsidRPr="00FD4C39">
        <w:rPr>
          <w:rFonts w:ascii="Times New Roman" w:eastAsia="Times New Roman" w:hAnsi="Times New Roman" w:cs="Times New Roman"/>
          <w:bCs/>
          <w:iCs/>
          <w:sz w:val="24"/>
          <w:szCs w:val="24"/>
        </w:rPr>
        <w:t>обучители</w:t>
      </w:r>
      <w:proofErr w:type="spellEnd"/>
      <w:r w:rsidRPr="00FD4C39">
        <w:rPr>
          <w:rFonts w:ascii="Times New Roman" w:eastAsia="Times New Roman" w:hAnsi="Times New Roman" w:cs="Times New Roman"/>
          <w:bCs/>
          <w:iCs/>
          <w:sz w:val="24"/>
          <w:szCs w:val="24"/>
        </w:rPr>
        <w:t>, курсове по управление на човешките ресурси и подобряване на комуникативните умения.</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Cs/>
          <w:iCs/>
          <w:sz w:val="24"/>
          <w:szCs w:val="24"/>
        </w:rPr>
        <w:t>Проектът е отчетен успешно пред Управляващия орган през месец август 2014</w:t>
      </w:r>
      <w:r w:rsidR="004D42A2">
        <w:rPr>
          <w:rFonts w:ascii="Times New Roman" w:eastAsia="Times New Roman" w:hAnsi="Times New Roman" w:cs="Times New Roman"/>
          <w:bCs/>
          <w:iCs/>
          <w:sz w:val="24"/>
          <w:szCs w:val="24"/>
        </w:rPr>
        <w:t> г.</w:t>
      </w:r>
      <w:r w:rsidRPr="00FD4C39">
        <w:rPr>
          <w:rFonts w:ascii="Times New Roman" w:eastAsia="Times New Roman" w:hAnsi="Times New Roman" w:cs="Times New Roman"/>
          <w:bCs/>
          <w:iCs/>
          <w:sz w:val="24"/>
          <w:szCs w:val="24"/>
        </w:rPr>
        <w:t xml:space="preserve"> Управляващият орган верифицира всички извършени разходи по проекта, които възлизат на </w:t>
      </w:r>
      <w:r w:rsidR="00A67184" w:rsidRPr="00FD4C39">
        <w:rPr>
          <w:rFonts w:ascii="Times New Roman" w:eastAsia="Times New Roman" w:hAnsi="Times New Roman" w:cs="Times New Roman"/>
          <w:sz w:val="24"/>
          <w:szCs w:val="24"/>
        </w:rPr>
        <w:t>28 </w:t>
      </w:r>
      <w:r w:rsidRPr="00FD4C39">
        <w:rPr>
          <w:rFonts w:ascii="Times New Roman" w:eastAsia="Times New Roman" w:hAnsi="Times New Roman" w:cs="Times New Roman"/>
          <w:sz w:val="24"/>
          <w:szCs w:val="24"/>
        </w:rPr>
        <w:t>279,16 лева.</w:t>
      </w:r>
    </w:p>
    <w:p w:rsidR="00ED76DE" w:rsidRPr="00FD4C39" w:rsidRDefault="001D4887"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2.3. </w:t>
      </w:r>
      <w:r w:rsidR="00ED76DE"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 xml:space="preserve">Повишаване на административния капацитет на </w:t>
      </w:r>
      <w:r w:rsidR="00FE7018" w:rsidRPr="00FD4C39">
        <w:rPr>
          <w:rFonts w:ascii="Times New Roman" w:eastAsia="Times New Roman" w:hAnsi="Times New Roman" w:cs="Times New Roman"/>
          <w:b/>
          <w:sz w:val="24"/>
          <w:szCs w:val="24"/>
        </w:rPr>
        <w:t>КЗЛД</w:t>
      </w:r>
      <w:r w:rsidR="00DC0A8C" w:rsidRPr="00FD4C39">
        <w:rPr>
          <w:rFonts w:ascii="Times New Roman" w:eastAsia="Times New Roman" w:hAnsi="Times New Roman" w:cs="Times New Roman"/>
          <w:b/>
          <w:sz w:val="24"/>
          <w:szCs w:val="24"/>
        </w:rPr>
        <w:t xml:space="preserve"> </w:t>
      </w:r>
      <w:r w:rsidR="00ED76DE" w:rsidRPr="00FD4C39">
        <w:rPr>
          <w:rFonts w:ascii="Times New Roman" w:eastAsia="Times New Roman" w:hAnsi="Times New Roman" w:cs="Times New Roman"/>
          <w:b/>
          <w:sz w:val="24"/>
          <w:szCs w:val="24"/>
        </w:rPr>
        <w:t>за работа с бази данни, информационни системи и р</w:t>
      </w:r>
      <w:r w:rsidR="00C11CC0">
        <w:rPr>
          <w:rFonts w:ascii="Times New Roman" w:eastAsia="Times New Roman" w:hAnsi="Times New Roman" w:cs="Times New Roman"/>
          <w:b/>
          <w:sz w:val="24"/>
          <w:szCs w:val="24"/>
        </w:rPr>
        <w:t>абота в екип“</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w:t>
      </w:r>
      <w:r w:rsidR="00A67184" w:rsidRPr="00FD4C39">
        <w:rPr>
          <w:rFonts w:ascii="Times New Roman" w:eastAsia="Times New Roman" w:hAnsi="Times New Roman" w:cs="Times New Roman"/>
          <w:sz w:val="24"/>
          <w:szCs w:val="24"/>
        </w:rPr>
        <w:t>роектът, който е на стойност 87 </w:t>
      </w:r>
      <w:r w:rsidRPr="00FD4C39">
        <w:rPr>
          <w:rFonts w:ascii="Times New Roman" w:eastAsia="Times New Roman" w:hAnsi="Times New Roman" w:cs="Times New Roman"/>
          <w:sz w:val="24"/>
          <w:szCs w:val="24"/>
        </w:rPr>
        <w:t>484,74 лева,</w:t>
      </w:r>
      <w:r w:rsidRPr="00FD4C39">
        <w:rPr>
          <w:rFonts w:ascii="Times New Roman" w:eastAsia="Times New Roman" w:hAnsi="Times New Roman" w:cs="Times New Roman"/>
          <w:bCs/>
          <w:iCs/>
          <w:sz w:val="24"/>
          <w:szCs w:val="24"/>
        </w:rPr>
        <w:t xml:space="preserve"> </w:t>
      </w:r>
      <w:r w:rsidR="009E599B">
        <w:rPr>
          <w:rFonts w:ascii="Times New Roman" w:eastAsia="Times New Roman" w:hAnsi="Times New Roman" w:cs="Times New Roman"/>
          <w:bCs/>
          <w:iCs/>
          <w:sz w:val="24"/>
          <w:szCs w:val="24"/>
        </w:rPr>
        <w:t>приключва</w:t>
      </w:r>
      <w:r w:rsidRPr="00FD4C39">
        <w:rPr>
          <w:rFonts w:ascii="Times New Roman" w:eastAsia="Times New Roman" w:hAnsi="Times New Roman" w:cs="Times New Roman"/>
          <w:bCs/>
          <w:iCs/>
          <w:sz w:val="24"/>
          <w:szCs w:val="24"/>
        </w:rPr>
        <w:t xml:space="preserve"> през юли 2014</w:t>
      </w:r>
      <w:r w:rsidR="004D42A2">
        <w:rPr>
          <w:rFonts w:ascii="Times New Roman" w:eastAsia="Times New Roman" w:hAnsi="Times New Roman" w:cs="Times New Roman"/>
          <w:bCs/>
          <w:iCs/>
          <w:sz w:val="24"/>
          <w:szCs w:val="24"/>
        </w:rPr>
        <w:t> г.</w:t>
      </w:r>
      <w:r w:rsidRPr="00FD4C39">
        <w:rPr>
          <w:rFonts w:ascii="Times New Roman" w:eastAsia="Times New Roman" w:hAnsi="Times New Roman" w:cs="Times New Roman"/>
          <w:bCs/>
          <w:iCs/>
          <w:sz w:val="24"/>
          <w:szCs w:val="24"/>
        </w:rPr>
        <w:t xml:space="preserve"> Неговата ц</w:t>
      </w:r>
      <w:r w:rsidRPr="00FD4C39">
        <w:rPr>
          <w:rFonts w:ascii="Times New Roman" w:eastAsia="Times New Roman" w:hAnsi="Times New Roman" w:cs="Times New Roman"/>
          <w:sz w:val="24"/>
          <w:szCs w:val="24"/>
        </w:rPr>
        <w:t>ел е подобряване</w:t>
      </w:r>
      <w:r w:rsidRPr="00FD4C39">
        <w:rPr>
          <w:rFonts w:ascii="Times New Roman" w:eastAsia="Times New Roman" w:hAnsi="Times New Roman" w:cs="Times New Roman"/>
          <w:bCs/>
          <w:iCs/>
          <w:sz w:val="24"/>
          <w:szCs w:val="24"/>
        </w:rPr>
        <w:t xml:space="preserve"> на професионалната компетентност на служителите в </w:t>
      </w:r>
      <w:r w:rsidR="00FE7018" w:rsidRPr="00FD4C39">
        <w:rPr>
          <w:rFonts w:ascii="Times New Roman" w:eastAsia="Times New Roman" w:hAnsi="Times New Roman" w:cs="Times New Roman"/>
          <w:bCs/>
          <w:iCs/>
          <w:sz w:val="24"/>
          <w:szCs w:val="24"/>
        </w:rPr>
        <w:t>КЗЛД</w:t>
      </w:r>
      <w:r w:rsidR="00DC0A8C" w:rsidRPr="00FD4C39">
        <w:rPr>
          <w:rFonts w:ascii="Times New Roman" w:eastAsia="Times New Roman" w:hAnsi="Times New Roman" w:cs="Times New Roman"/>
          <w:bCs/>
          <w:iCs/>
          <w:sz w:val="24"/>
          <w:szCs w:val="24"/>
        </w:rPr>
        <w:t xml:space="preserve"> </w:t>
      </w:r>
      <w:r w:rsidRPr="00FD4C39">
        <w:rPr>
          <w:rFonts w:ascii="Times New Roman" w:eastAsia="Times New Roman" w:hAnsi="Times New Roman" w:cs="Times New Roman"/>
          <w:bCs/>
          <w:iCs/>
          <w:sz w:val="24"/>
          <w:szCs w:val="24"/>
        </w:rPr>
        <w:t>за по-ефективно и ефикасн</w:t>
      </w:r>
      <w:r w:rsidR="00F36CC2" w:rsidRPr="00FD4C39">
        <w:rPr>
          <w:rFonts w:ascii="Times New Roman" w:eastAsia="Times New Roman" w:hAnsi="Times New Roman" w:cs="Times New Roman"/>
          <w:bCs/>
          <w:iCs/>
          <w:sz w:val="24"/>
          <w:szCs w:val="24"/>
        </w:rPr>
        <w:t>о изпълнение на задълженията им</w:t>
      </w:r>
      <w:r w:rsidRPr="00FD4C39">
        <w:rPr>
          <w:rFonts w:ascii="Times New Roman" w:eastAsia="Times New Roman" w:hAnsi="Times New Roman" w:cs="Times New Roman"/>
          <w:bCs/>
          <w:iCs/>
          <w:sz w:val="24"/>
          <w:szCs w:val="24"/>
        </w:rPr>
        <w:t xml:space="preserve"> </w:t>
      </w:r>
      <w:r w:rsidR="00F36CC2" w:rsidRPr="00FD4C39">
        <w:rPr>
          <w:rFonts w:ascii="Times New Roman" w:eastAsia="Times New Roman" w:hAnsi="Times New Roman" w:cs="Times New Roman"/>
          <w:bCs/>
          <w:iCs/>
          <w:sz w:val="24"/>
          <w:szCs w:val="24"/>
        </w:rPr>
        <w:t xml:space="preserve">и е </w:t>
      </w:r>
      <w:r w:rsidRPr="00FD4C39">
        <w:rPr>
          <w:rFonts w:ascii="Times New Roman" w:eastAsia="Times New Roman" w:hAnsi="Times New Roman" w:cs="Times New Roman"/>
          <w:bCs/>
          <w:iCs/>
          <w:sz w:val="24"/>
          <w:szCs w:val="24"/>
        </w:rPr>
        <w:t xml:space="preserve">насочен конкретно към служителите на дирекция </w:t>
      </w:r>
      <w:r w:rsidR="004931E5" w:rsidRPr="00FD4C39">
        <w:rPr>
          <w:rFonts w:ascii="Times New Roman" w:eastAsia="Times New Roman" w:hAnsi="Times New Roman" w:cs="Times New Roman"/>
          <w:bCs/>
          <w:iCs/>
          <w:sz w:val="24"/>
          <w:szCs w:val="24"/>
        </w:rPr>
        <w:t>„</w:t>
      </w:r>
      <w:r w:rsidRPr="00FD4C39">
        <w:rPr>
          <w:rFonts w:ascii="Times New Roman" w:eastAsia="Times New Roman" w:hAnsi="Times New Roman" w:cs="Times New Roman"/>
          <w:bCs/>
          <w:iCs/>
          <w:sz w:val="24"/>
          <w:szCs w:val="24"/>
        </w:rPr>
        <w:t>Информационни фондове и системи</w:t>
      </w:r>
      <w:r w:rsidR="00C11CC0">
        <w:rPr>
          <w:rFonts w:ascii="Times New Roman" w:eastAsia="Times New Roman" w:hAnsi="Times New Roman" w:cs="Times New Roman"/>
          <w:bCs/>
          <w:iCs/>
          <w:sz w:val="24"/>
          <w:szCs w:val="24"/>
        </w:rPr>
        <w:t>“</w:t>
      </w:r>
      <w:r w:rsidRPr="00FD4C39">
        <w:rPr>
          <w:rFonts w:ascii="Times New Roman" w:eastAsia="Times New Roman" w:hAnsi="Times New Roman" w:cs="Times New Roman"/>
          <w:bCs/>
          <w:iCs/>
          <w:sz w:val="24"/>
          <w:szCs w:val="24"/>
        </w:rPr>
        <w:t xml:space="preserve">. </w:t>
      </w:r>
      <w:r w:rsidR="00CD2437" w:rsidRPr="00FD4C39">
        <w:rPr>
          <w:rFonts w:ascii="Times New Roman" w:eastAsia="Times New Roman" w:hAnsi="Times New Roman" w:cs="Times New Roman"/>
          <w:bCs/>
          <w:iCs/>
          <w:sz w:val="24"/>
          <w:szCs w:val="24"/>
        </w:rPr>
        <w:t>Експертите от тази дирекция от специализираната администрация участват</w:t>
      </w:r>
      <w:r w:rsidRPr="00FD4C39">
        <w:rPr>
          <w:rFonts w:ascii="Times New Roman" w:eastAsia="Times New Roman" w:hAnsi="Times New Roman" w:cs="Times New Roman"/>
          <w:bCs/>
          <w:iCs/>
          <w:sz w:val="24"/>
          <w:szCs w:val="24"/>
        </w:rPr>
        <w:t xml:space="preserve"> в различни обучения</w:t>
      </w:r>
      <w:r w:rsidR="00CD2437" w:rsidRPr="00FD4C39">
        <w:rPr>
          <w:rFonts w:ascii="Times New Roman" w:eastAsia="Times New Roman" w:hAnsi="Times New Roman" w:cs="Times New Roman"/>
          <w:bCs/>
          <w:iCs/>
          <w:sz w:val="24"/>
          <w:szCs w:val="24"/>
        </w:rPr>
        <w:t>,</w:t>
      </w:r>
      <w:r w:rsidRPr="00FD4C39">
        <w:rPr>
          <w:rFonts w:ascii="Times New Roman" w:eastAsia="Times New Roman" w:hAnsi="Times New Roman" w:cs="Times New Roman"/>
          <w:bCs/>
          <w:iCs/>
          <w:sz w:val="24"/>
          <w:szCs w:val="24"/>
        </w:rPr>
        <w:t xml:space="preserve"> насочени към подобряване на работата им в</w:t>
      </w:r>
      <w:r w:rsidR="00BA4CB8" w:rsidRPr="00FD4C39">
        <w:rPr>
          <w:rFonts w:ascii="Times New Roman" w:eastAsia="Times New Roman" w:hAnsi="Times New Roman" w:cs="Times New Roman"/>
          <w:bCs/>
          <w:iCs/>
          <w:sz w:val="24"/>
          <w:szCs w:val="24"/>
        </w:rPr>
        <w:t xml:space="preserve"> екип, повишаване на уменията</w:t>
      </w:r>
      <w:r w:rsidR="00A67184" w:rsidRPr="00FD4C39">
        <w:rPr>
          <w:rFonts w:ascii="Times New Roman" w:eastAsia="Times New Roman" w:hAnsi="Times New Roman" w:cs="Times New Roman"/>
          <w:bCs/>
          <w:iCs/>
          <w:sz w:val="24"/>
          <w:szCs w:val="24"/>
        </w:rPr>
        <w:t xml:space="preserve"> за работа на Windows </w:t>
      </w:r>
      <w:r w:rsidR="009E599B">
        <w:rPr>
          <w:rFonts w:ascii="Times New Roman" w:eastAsia="Times New Roman" w:hAnsi="Times New Roman" w:cs="Times New Roman"/>
          <w:bCs/>
          <w:iCs/>
          <w:sz w:val="24"/>
          <w:szCs w:val="24"/>
        </w:rPr>
        <w:t xml:space="preserve">2008 </w:t>
      </w:r>
      <w:proofErr w:type="spellStart"/>
      <w:r w:rsidR="009E599B">
        <w:rPr>
          <w:rFonts w:ascii="Times New Roman" w:eastAsia="Times New Roman" w:hAnsi="Times New Roman" w:cs="Times New Roman"/>
          <w:bCs/>
          <w:iCs/>
          <w:sz w:val="24"/>
          <w:szCs w:val="24"/>
        </w:rPr>
        <w:t>уеб</w:t>
      </w:r>
      <w:r w:rsidRPr="00FD4C39">
        <w:rPr>
          <w:rFonts w:ascii="Times New Roman" w:eastAsia="Times New Roman" w:hAnsi="Times New Roman" w:cs="Times New Roman"/>
          <w:bCs/>
          <w:iCs/>
          <w:sz w:val="24"/>
          <w:szCs w:val="24"/>
        </w:rPr>
        <w:t>базирани</w:t>
      </w:r>
      <w:proofErr w:type="spellEnd"/>
      <w:r w:rsidRPr="00FD4C39">
        <w:rPr>
          <w:rFonts w:ascii="Times New Roman" w:eastAsia="Times New Roman" w:hAnsi="Times New Roman" w:cs="Times New Roman"/>
          <w:bCs/>
          <w:iCs/>
          <w:sz w:val="24"/>
          <w:szCs w:val="24"/>
        </w:rPr>
        <w:t xml:space="preserve"> системи и </w:t>
      </w:r>
      <w:proofErr w:type="spellStart"/>
      <w:r w:rsidRPr="00FD4C39">
        <w:rPr>
          <w:rFonts w:ascii="Times New Roman" w:eastAsia="Times New Roman" w:hAnsi="Times New Roman" w:cs="Times New Roman"/>
          <w:bCs/>
          <w:iCs/>
          <w:sz w:val="24"/>
          <w:szCs w:val="24"/>
        </w:rPr>
        <w:t>Oracle</w:t>
      </w:r>
      <w:proofErr w:type="spellEnd"/>
      <w:r w:rsidRPr="00FD4C39">
        <w:rPr>
          <w:rFonts w:ascii="Times New Roman" w:eastAsia="Times New Roman" w:hAnsi="Times New Roman" w:cs="Times New Roman"/>
          <w:bCs/>
          <w:iCs/>
          <w:sz w:val="24"/>
          <w:szCs w:val="24"/>
        </w:rPr>
        <w:t>. В рамките на проекта с</w:t>
      </w:r>
      <w:r w:rsidR="00417472">
        <w:rPr>
          <w:rFonts w:ascii="Times New Roman" w:eastAsia="Times New Roman" w:hAnsi="Times New Roman" w:cs="Times New Roman"/>
          <w:bCs/>
          <w:iCs/>
          <w:sz w:val="24"/>
          <w:szCs w:val="24"/>
        </w:rPr>
        <w:t>е провеждат общо 4 обучителни курса с 14 участници</w:t>
      </w:r>
      <w:r w:rsidRPr="00FD4C39">
        <w:rPr>
          <w:rFonts w:ascii="Times New Roman" w:eastAsia="Times New Roman" w:hAnsi="Times New Roman" w:cs="Times New Roman"/>
          <w:bCs/>
          <w:iCs/>
          <w:sz w:val="24"/>
          <w:szCs w:val="24"/>
        </w:rPr>
        <w:t>. Уп</w:t>
      </w:r>
      <w:r w:rsidR="00417472">
        <w:rPr>
          <w:rFonts w:ascii="Times New Roman" w:eastAsia="Times New Roman" w:hAnsi="Times New Roman" w:cs="Times New Roman"/>
          <w:bCs/>
          <w:iCs/>
          <w:sz w:val="24"/>
          <w:szCs w:val="24"/>
        </w:rPr>
        <w:t>равляващият орган</w:t>
      </w:r>
      <w:r w:rsidR="00F609C3" w:rsidRPr="00FD4C39">
        <w:rPr>
          <w:rFonts w:ascii="Times New Roman" w:eastAsia="Times New Roman" w:hAnsi="Times New Roman" w:cs="Times New Roman"/>
          <w:bCs/>
          <w:iCs/>
          <w:sz w:val="24"/>
          <w:szCs w:val="24"/>
        </w:rPr>
        <w:t xml:space="preserve"> </w:t>
      </w:r>
      <w:r w:rsidRPr="00FD4C39">
        <w:rPr>
          <w:rFonts w:ascii="Times New Roman" w:eastAsia="Times New Roman" w:hAnsi="Times New Roman" w:cs="Times New Roman"/>
          <w:bCs/>
          <w:iCs/>
          <w:sz w:val="24"/>
          <w:szCs w:val="24"/>
        </w:rPr>
        <w:t>верифицира направени разходи по проекта</w:t>
      </w:r>
      <w:r w:rsidR="00D72AC8" w:rsidRPr="00FD4C39">
        <w:rPr>
          <w:rFonts w:ascii="Times New Roman" w:eastAsia="Times New Roman" w:hAnsi="Times New Roman" w:cs="Times New Roman"/>
          <w:bCs/>
          <w:iCs/>
          <w:sz w:val="24"/>
          <w:szCs w:val="24"/>
        </w:rPr>
        <w:t>,</w:t>
      </w:r>
      <w:r w:rsidR="00A67184" w:rsidRPr="00FD4C39">
        <w:rPr>
          <w:rFonts w:ascii="Times New Roman" w:eastAsia="Times New Roman" w:hAnsi="Times New Roman" w:cs="Times New Roman"/>
          <w:bCs/>
          <w:iCs/>
          <w:sz w:val="24"/>
          <w:szCs w:val="24"/>
        </w:rPr>
        <w:t xml:space="preserve"> възлизащи на 76 </w:t>
      </w:r>
      <w:r w:rsidRPr="00FD4C39">
        <w:rPr>
          <w:rFonts w:ascii="Times New Roman" w:eastAsia="Times New Roman" w:hAnsi="Times New Roman" w:cs="Times New Roman"/>
          <w:bCs/>
          <w:iCs/>
          <w:sz w:val="24"/>
          <w:szCs w:val="24"/>
        </w:rPr>
        <w:t>472,48 лв.</w:t>
      </w:r>
    </w:p>
    <w:p w:rsidR="00ED76DE" w:rsidRPr="00FD4C39" w:rsidRDefault="00ED76DE" w:rsidP="007B189E">
      <w:pPr>
        <w:spacing w:after="0" w:line="360" w:lineRule="auto"/>
        <w:ind w:firstLine="709"/>
        <w:jc w:val="both"/>
        <w:rPr>
          <w:rFonts w:ascii="Times New Roman" w:eastAsia="Times New Roman" w:hAnsi="Times New Roman" w:cs="Times New Roman"/>
          <w:bCs/>
          <w:iCs/>
          <w:sz w:val="24"/>
          <w:szCs w:val="24"/>
        </w:rPr>
      </w:pPr>
      <w:r w:rsidRPr="00FD4C39">
        <w:rPr>
          <w:rFonts w:ascii="Times New Roman" w:eastAsia="Times New Roman" w:hAnsi="Times New Roman" w:cs="Times New Roman"/>
          <w:bCs/>
          <w:iCs/>
          <w:sz w:val="24"/>
          <w:szCs w:val="24"/>
        </w:rPr>
        <w:t>Успешното изпълнение на това проектно предложение позвол</w:t>
      </w:r>
      <w:r w:rsidR="00CF09D9" w:rsidRPr="00FD4C39">
        <w:rPr>
          <w:rFonts w:ascii="Times New Roman" w:eastAsia="Times New Roman" w:hAnsi="Times New Roman" w:cs="Times New Roman"/>
          <w:bCs/>
          <w:iCs/>
          <w:sz w:val="24"/>
          <w:szCs w:val="24"/>
        </w:rPr>
        <w:t>ява</w:t>
      </w:r>
      <w:r w:rsidRPr="00FD4C39">
        <w:rPr>
          <w:rFonts w:ascii="Times New Roman" w:eastAsia="Times New Roman" w:hAnsi="Times New Roman" w:cs="Times New Roman"/>
          <w:bCs/>
          <w:iCs/>
          <w:sz w:val="24"/>
          <w:szCs w:val="24"/>
        </w:rPr>
        <w:t xml:space="preserve"> на </w:t>
      </w:r>
      <w:r w:rsidR="00FE7018" w:rsidRPr="00FD4C39">
        <w:rPr>
          <w:rFonts w:ascii="Times New Roman" w:eastAsia="Times New Roman" w:hAnsi="Times New Roman" w:cs="Times New Roman"/>
          <w:bCs/>
          <w:iCs/>
          <w:sz w:val="24"/>
          <w:szCs w:val="24"/>
        </w:rPr>
        <w:t>КЗЛД</w:t>
      </w:r>
      <w:r w:rsidRPr="00FD4C39">
        <w:rPr>
          <w:rFonts w:ascii="Times New Roman" w:eastAsia="Times New Roman" w:hAnsi="Times New Roman" w:cs="Times New Roman"/>
          <w:bCs/>
          <w:iCs/>
          <w:sz w:val="24"/>
          <w:szCs w:val="24"/>
        </w:rPr>
        <w:t xml:space="preserve"> да придобие по-голяма автономност и професионална обезпеченост при управлението на собствените си информационни ресурси и </w:t>
      </w:r>
      <w:r w:rsidR="00CF09D9" w:rsidRPr="00FD4C39">
        <w:rPr>
          <w:rFonts w:ascii="Times New Roman" w:eastAsia="Times New Roman" w:hAnsi="Times New Roman" w:cs="Times New Roman"/>
          <w:bCs/>
          <w:iCs/>
          <w:sz w:val="24"/>
          <w:szCs w:val="24"/>
        </w:rPr>
        <w:t>допринася</w:t>
      </w:r>
      <w:r w:rsidRPr="00FD4C39">
        <w:rPr>
          <w:rFonts w:ascii="Times New Roman" w:eastAsia="Times New Roman" w:hAnsi="Times New Roman" w:cs="Times New Roman"/>
          <w:bCs/>
          <w:iCs/>
          <w:sz w:val="24"/>
          <w:szCs w:val="24"/>
        </w:rPr>
        <w:t xml:space="preserve"> за подобряването на екипната работа и взаимодействията в административните звена на информационната дирекция.</w:t>
      </w:r>
    </w:p>
    <w:p w:rsidR="00ED76DE" w:rsidRPr="00FD4C39" w:rsidRDefault="001D4887"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2.4. </w:t>
      </w:r>
      <w:r w:rsidR="00ED76DE"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 xml:space="preserve">Усъвършенстване и разширяване на електронните услуги, предоставяни на бизнеса и гражданите от </w:t>
      </w:r>
      <w:r w:rsidR="00FE7018" w:rsidRPr="00FD4C39">
        <w:rPr>
          <w:rFonts w:ascii="Times New Roman" w:eastAsia="Times New Roman" w:hAnsi="Times New Roman" w:cs="Times New Roman"/>
          <w:b/>
          <w:sz w:val="24"/>
          <w:szCs w:val="24"/>
        </w:rPr>
        <w:t>КЗЛД</w:t>
      </w:r>
      <w:r w:rsidR="00DC0A8C" w:rsidRPr="00FD4C39">
        <w:rPr>
          <w:rFonts w:ascii="Times New Roman" w:eastAsia="Times New Roman" w:hAnsi="Times New Roman" w:cs="Times New Roman"/>
          <w:b/>
          <w:sz w:val="24"/>
          <w:szCs w:val="24"/>
        </w:rPr>
        <w:t xml:space="preserve"> </w:t>
      </w:r>
      <w:r w:rsidR="00ED76DE" w:rsidRPr="00FD4C39">
        <w:rPr>
          <w:rFonts w:ascii="Times New Roman" w:eastAsia="Times New Roman" w:hAnsi="Times New Roman" w:cs="Times New Roman"/>
          <w:b/>
          <w:sz w:val="24"/>
          <w:szCs w:val="24"/>
        </w:rPr>
        <w:t>и интегрирането им с Единния портал за достъп до ел</w:t>
      </w:r>
      <w:r w:rsidR="00417472">
        <w:rPr>
          <w:rFonts w:ascii="Times New Roman" w:eastAsia="Times New Roman" w:hAnsi="Times New Roman" w:cs="Times New Roman"/>
          <w:b/>
          <w:sz w:val="24"/>
          <w:szCs w:val="24"/>
        </w:rPr>
        <w:t>ектронни административни услуги“</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Cs/>
          <w:iCs/>
          <w:sz w:val="24"/>
          <w:szCs w:val="24"/>
        </w:rPr>
        <w:t>Договорът</w:t>
      </w:r>
      <w:r w:rsidR="00417472">
        <w:rPr>
          <w:rFonts w:ascii="Times New Roman" w:eastAsia="Times New Roman" w:hAnsi="Times New Roman" w:cs="Times New Roman"/>
          <w:bCs/>
          <w:iCs/>
          <w:sz w:val="24"/>
          <w:szCs w:val="24"/>
        </w:rPr>
        <w:t xml:space="preserve"> за финансиране по този проект се</w:t>
      </w:r>
      <w:r w:rsidRPr="00FD4C39">
        <w:rPr>
          <w:rFonts w:ascii="Times New Roman" w:eastAsia="Times New Roman" w:hAnsi="Times New Roman" w:cs="Times New Roman"/>
          <w:bCs/>
          <w:iCs/>
          <w:sz w:val="24"/>
          <w:szCs w:val="24"/>
        </w:rPr>
        <w:t xml:space="preserve"> подпис</w:t>
      </w:r>
      <w:r w:rsidR="00417472">
        <w:rPr>
          <w:rFonts w:ascii="Times New Roman" w:eastAsia="Times New Roman" w:hAnsi="Times New Roman" w:cs="Times New Roman"/>
          <w:bCs/>
          <w:iCs/>
          <w:sz w:val="24"/>
          <w:szCs w:val="24"/>
        </w:rPr>
        <w:t>ва</w:t>
      </w:r>
      <w:r w:rsidRPr="00FD4C39">
        <w:rPr>
          <w:rFonts w:ascii="Times New Roman" w:eastAsia="Times New Roman" w:hAnsi="Times New Roman" w:cs="Times New Roman"/>
          <w:bCs/>
          <w:iCs/>
          <w:sz w:val="24"/>
          <w:szCs w:val="24"/>
        </w:rPr>
        <w:t xml:space="preserve"> през февруари 2014</w:t>
      </w:r>
      <w:r w:rsidR="004D42A2">
        <w:rPr>
          <w:rFonts w:ascii="Times New Roman" w:eastAsia="Times New Roman" w:hAnsi="Times New Roman" w:cs="Times New Roman"/>
          <w:bCs/>
          <w:iCs/>
          <w:sz w:val="24"/>
          <w:szCs w:val="24"/>
        </w:rPr>
        <w:t> г.</w:t>
      </w:r>
      <w:r w:rsidR="00A67184" w:rsidRPr="00FD4C39">
        <w:rPr>
          <w:rFonts w:ascii="Times New Roman" w:eastAsia="Times New Roman" w:hAnsi="Times New Roman" w:cs="Times New Roman"/>
          <w:bCs/>
          <w:iCs/>
          <w:sz w:val="24"/>
          <w:szCs w:val="24"/>
        </w:rPr>
        <w:t xml:space="preserve"> и е на стойност 391 </w:t>
      </w:r>
      <w:r w:rsidRPr="00FD4C39">
        <w:rPr>
          <w:rFonts w:ascii="Times New Roman" w:eastAsia="Times New Roman" w:hAnsi="Times New Roman" w:cs="Times New Roman"/>
          <w:bCs/>
          <w:iCs/>
          <w:sz w:val="24"/>
          <w:szCs w:val="24"/>
        </w:rPr>
        <w:t xml:space="preserve">089,38 лева. Целта на проекта е подобряване на административното обслужване на бизнеса и гражданите от страна на </w:t>
      </w:r>
      <w:r w:rsidR="00580030" w:rsidRPr="00FD4C39">
        <w:rPr>
          <w:rFonts w:ascii="Times New Roman" w:eastAsia="Times New Roman" w:hAnsi="Times New Roman" w:cs="Times New Roman"/>
          <w:bCs/>
          <w:iCs/>
          <w:sz w:val="24"/>
          <w:szCs w:val="24"/>
        </w:rPr>
        <w:t>КЗЛД</w:t>
      </w:r>
      <w:r w:rsidRPr="00FD4C39">
        <w:rPr>
          <w:rFonts w:ascii="Times New Roman" w:eastAsia="Times New Roman" w:hAnsi="Times New Roman" w:cs="Times New Roman"/>
          <w:bCs/>
          <w:iCs/>
          <w:sz w:val="24"/>
          <w:szCs w:val="24"/>
        </w:rPr>
        <w:t>, чрез разширяване на предлаганите електронни услуги, оптимизиране на съществуващите и интегрирането им с Единния портал за достъп до електронни административни услуги. Неговото успешно изпълнение трябва да доведе до разработване и внедряване на нови и осъвременени функционалности на електронната система з</w:t>
      </w:r>
      <w:r w:rsidR="00A67184" w:rsidRPr="00FD4C39">
        <w:rPr>
          <w:rFonts w:ascii="Times New Roman" w:eastAsia="Times New Roman" w:hAnsi="Times New Roman" w:cs="Times New Roman"/>
          <w:bCs/>
          <w:iCs/>
          <w:sz w:val="24"/>
          <w:szCs w:val="24"/>
        </w:rPr>
        <w:t xml:space="preserve">а регистрация на </w:t>
      </w:r>
      <w:r w:rsidR="00417472">
        <w:rPr>
          <w:rFonts w:ascii="Times New Roman" w:eastAsia="Times New Roman" w:hAnsi="Times New Roman" w:cs="Times New Roman"/>
          <w:bCs/>
          <w:iCs/>
          <w:sz w:val="24"/>
          <w:szCs w:val="24"/>
        </w:rPr>
        <w:lastRenderedPageBreak/>
        <w:t xml:space="preserve">администратори </w:t>
      </w:r>
      <w:r w:rsidR="00A67184" w:rsidRPr="00FD4C39">
        <w:rPr>
          <w:rFonts w:ascii="Times New Roman" w:eastAsia="Times New Roman" w:hAnsi="Times New Roman" w:cs="Times New Roman"/>
          <w:bCs/>
          <w:iCs/>
          <w:sz w:val="24"/>
          <w:szCs w:val="24"/>
        </w:rPr>
        <w:sym w:font="Symbol" w:char="F02D"/>
      </w:r>
      <w:r w:rsidRPr="00FD4C39">
        <w:rPr>
          <w:rFonts w:ascii="Times New Roman" w:eastAsia="Times New Roman" w:hAnsi="Times New Roman" w:cs="Times New Roman"/>
          <w:bCs/>
          <w:iCs/>
          <w:sz w:val="24"/>
          <w:szCs w:val="24"/>
        </w:rPr>
        <w:t xml:space="preserve"> </w:t>
      </w:r>
      <w:proofErr w:type="spellStart"/>
      <w:r w:rsidRPr="00FD4C39">
        <w:rPr>
          <w:rFonts w:ascii="Times New Roman" w:eastAsia="Times New Roman" w:hAnsi="Times New Roman" w:cs="Times New Roman"/>
          <w:bCs/>
          <w:iCs/>
          <w:sz w:val="24"/>
          <w:szCs w:val="24"/>
        </w:rPr>
        <w:t>еРАЛД</w:t>
      </w:r>
      <w:proofErr w:type="spellEnd"/>
      <w:r w:rsidRPr="00FD4C39">
        <w:rPr>
          <w:rFonts w:ascii="Times New Roman" w:eastAsia="Times New Roman" w:hAnsi="Times New Roman" w:cs="Times New Roman"/>
          <w:bCs/>
          <w:iCs/>
          <w:sz w:val="24"/>
          <w:szCs w:val="24"/>
        </w:rPr>
        <w:t xml:space="preserve">, както и интегрирането й с Единния портал за достъп до електронни административни услуги. </w:t>
      </w:r>
    </w:p>
    <w:p w:rsidR="00680B80"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До момента е проведена встъпителната пресконференция по проекта и са разработени и апробирани въпросници за извършване на оценка на нивото на въздействие (заплаха) и определяне на мерките за защита на обработваните лични данни, както и въпросници за извършване на предварителни, текущи и </w:t>
      </w:r>
      <w:proofErr w:type="spellStart"/>
      <w:r w:rsidRPr="00FD4C39">
        <w:rPr>
          <w:rFonts w:ascii="Times New Roman" w:eastAsia="Times New Roman" w:hAnsi="Times New Roman" w:cs="Times New Roman"/>
          <w:sz w:val="24"/>
          <w:szCs w:val="24"/>
        </w:rPr>
        <w:t>последващи</w:t>
      </w:r>
      <w:proofErr w:type="spellEnd"/>
      <w:r w:rsidRPr="00FD4C39">
        <w:rPr>
          <w:rFonts w:ascii="Times New Roman" w:eastAsia="Times New Roman" w:hAnsi="Times New Roman" w:cs="Times New Roman"/>
          <w:sz w:val="24"/>
          <w:szCs w:val="24"/>
        </w:rPr>
        <w:t xml:space="preserve"> проверки за спазване на изискванията на ЗЗЛД от </w:t>
      </w:r>
      <w:r w:rsidR="00FE7018" w:rsidRPr="00FD4C39">
        <w:rPr>
          <w:rFonts w:ascii="Times New Roman" w:eastAsia="Times New Roman" w:hAnsi="Times New Roman" w:cs="Times New Roman"/>
          <w:sz w:val="24"/>
          <w:szCs w:val="24"/>
        </w:rPr>
        <w:t>АЛД</w:t>
      </w:r>
      <w:r w:rsidR="00FA05AD"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(инспекции).</w:t>
      </w:r>
      <w:r w:rsidR="00895E83" w:rsidRPr="00FD4C39">
        <w:rPr>
          <w:rFonts w:ascii="Times New Roman" w:eastAsia="Times New Roman" w:hAnsi="Times New Roman" w:cs="Times New Roman"/>
          <w:sz w:val="24"/>
          <w:szCs w:val="24"/>
        </w:rPr>
        <w:t xml:space="preserve"> </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Проектът трябва да приключи през август 2015</w:t>
      </w:r>
      <w:r w:rsidR="004D42A2">
        <w:rPr>
          <w:rFonts w:ascii="Times New Roman" w:eastAsia="Times New Roman" w:hAnsi="Times New Roman" w:cs="Times New Roman"/>
          <w:sz w:val="24"/>
          <w:szCs w:val="24"/>
        </w:rPr>
        <w:t> г.</w:t>
      </w:r>
    </w:p>
    <w:p w:rsidR="00ED76DE" w:rsidRPr="00FD4C39" w:rsidRDefault="001D4887"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t xml:space="preserve">2.5. </w:t>
      </w:r>
      <w:r w:rsidR="00ED76DE"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Повишаване на квалификацията и надграждане на уменията и компетенциите на служителите на КЗЛД за по</w:t>
      </w:r>
      <w:r w:rsidR="00A67184" w:rsidRPr="00FD4C39">
        <w:rPr>
          <w:rFonts w:ascii="Times New Roman" w:eastAsia="Times New Roman" w:hAnsi="Times New Roman" w:cs="Times New Roman"/>
          <w:b/>
          <w:sz w:val="24"/>
          <w:szCs w:val="24"/>
        </w:rPr>
        <w:t>-</w:t>
      </w:r>
      <w:r w:rsidR="00ED76DE" w:rsidRPr="00FD4C39">
        <w:rPr>
          <w:rFonts w:ascii="Times New Roman" w:eastAsia="Times New Roman" w:hAnsi="Times New Roman" w:cs="Times New Roman"/>
          <w:b/>
          <w:sz w:val="24"/>
          <w:szCs w:val="24"/>
        </w:rPr>
        <w:t>ефективно и ефикасн</w:t>
      </w:r>
      <w:r w:rsidR="00417472">
        <w:rPr>
          <w:rFonts w:ascii="Times New Roman" w:eastAsia="Times New Roman" w:hAnsi="Times New Roman" w:cs="Times New Roman"/>
          <w:b/>
          <w:sz w:val="24"/>
          <w:szCs w:val="24"/>
        </w:rPr>
        <w:t>о изпълнение на задълженията им“</w:t>
      </w:r>
    </w:p>
    <w:p w:rsidR="00ED76DE" w:rsidRPr="00FD4C39" w:rsidRDefault="00FE7018"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КЗЛД</w:t>
      </w:r>
      <w:r w:rsidR="00A227D6" w:rsidRPr="00FD4C39">
        <w:rPr>
          <w:rFonts w:ascii="Times New Roman" w:eastAsia="Times New Roman" w:hAnsi="Times New Roman" w:cs="Times New Roman"/>
          <w:sz w:val="24"/>
          <w:szCs w:val="24"/>
        </w:rPr>
        <w:t xml:space="preserve"> </w:t>
      </w:r>
      <w:r w:rsidR="00ED76DE" w:rsidRPr="00FD4C39">
        <w:rPr>
          <w:rFonts w:ascii="Times New Roman" w:eastAsia="Times New Roman" w:hAnsi="Times New Roman" w:cs="Times New Roman"/>
          <w:sz w:val="24"/>
          <w:szCs w:val="24"/>
        </w:rPr>
        <w:t>и Управляващия</w:t>
      </w:r>
      <w:r w:rsidR="00D57702" w:rsidRPr="00FD4C39">
        <w:rPr>
          <w:rFonts w:ascii="Times New Roman" w:eastAsia="Times New Roman" w:hAnsi="Times New Roman" w:cs="Times New Roman"/>
          <w:sz w:val="24"/>
          <w:szCs w:val="24"/>
        </w:rPr>
        <w:t>т</w:t>
      </w:r>
      <w:r w:rsidR="00ED76DE" w:rsidRPr="00FD4C39">
        <w:rPr>
          <w:rFonts w:ascii="Times New Roman" w:eastAsia="Times New Roman" w:hAnsi="Times New Roman" w:cs="Times New Roman"/>
          <w:sz w:val="24"/>
          <w:szCs w:val="24"/>
        </w:rPr>
        <w:t xml:space="preserve"> орган на Оперативна програма </w:t>
      </w:r>
      <w:r w:rsidR="004931E5" w:rsidRPr="00FD4C39">
        <w:rPr>
          <w:rFonts w:ascii="Times New Roman" w:eastAsia="Times New Roman" w:hAnsi="Times New Roman" w:cs="Times New Roman"/>
          <w:sz w:val="24"/>
          <w:szCs w:val="24"/>
        </w:rPr>
        <w:t>„</w:t>
      </w:r>
      <w:r w:rsidR="00417472">
        <w:rPr>
          <w:rFonts w:ascii="Times New Roman" w:eastAsia="Times New Roman" w:hAnsi="Times New Roman" w:cs="Times New Roman"/>
          <w:sz w:val="24"/>
          <w:szCs w:val="24"/>
        </w:rPr>
        <w:t>Административен капацитет“</w:t>
      </w:r>
      <w:r w:rsidR="00ED76DE" w:rsidRPr="00FD4C39">
        <w:rPr>
          <w:rFonts w:ascii="Times New Roman" w:eastAsia="Times New Roman" w:hAnsi="Times New Roman" w:cs="Times New Roman"/>
          <w:sz w:val="24"/>
          <w:szCs w:val="24"/>
        </w:rPr>
        <w:t xml:space="preserve"> сключ</w:t>
      </w:r>
      <w:r w:rsidR="00F95065" w:rsidRPr="00FD4C39">
        <w:rPr>
          <w:rFonts w:ascii="Times New Roman" w:eastAsia="Times New Roman" w:hAnsi="Times New Roman" w:cs="Times New Roman"/>
          <w:sz w:val="24"/>
          <w:szCs w:val="24"/>
        </w:rPr>
        <w:t>ват</w:t>
      </w:r>
      <w:r w:rsidR="00ED76DE" w:rsidRPr="00FD4C39">
        <w:rPr>
          <w:rFonts w:ascii="Times New Roman" w:eastAsia="Times New Roman" w:hAnsi="Times New Roman" w:cs="Times New Roman"/>
          <w:sz w:val="24"/>
          <w:szCs w:val="24"/>
        </w:rPr>
        <w:t xml:space="preserve"> договор за безвъзмездна финансова помощ през септември 2014</w:t>
      </w:r>
      <w:r w:rsidR="004D42A2">
        <w:rPr>
          <w:rFonts w:ascii="Times New Roman" w:eastAsia="Times New Roman" w:hAnsi="Times New Roman" w:cs="Times New Roman"/>
          <w:sz w:val="24"/>
          <w:szCs w:val="24"/>
        </w:rPr>
        <w:t> г.</w:t>
      </w:r>
      <w:r w:rsidR="00A67184" w:rsidRPr="00FD4C39">
        <w:rPr>
          <w:rFonts w:ascii="Times New Roman" w:eastAsia="Times New Roman" w:hAnsi="Times New Roman" w:cs="Times New Roman"/>
          <w:sz w:val="24"/>
          <w:szCs w:val="24"/>
        </w:rPr>
        <w:t xml:space="preserve"> Неговата стойност е 158 </w:t>
      </w:r>
      <w:r w:rsidR="00ED76DE" w:rsidRPr="00FD4C39">
        <w:rPr>
          <w:rFonts w:ascii="Times New Roman" w:eastAsia="Times New Roman" w:hAnsi="Times New Roman" w:cs="Times New Roman"/>
          <w:sz w:val="24"/>
          <w:szCs w:val="24"/>
        </w:rPr>
        <w:t xml:space="preserve">068,40 лева. </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Основната цел на проекта е да се повиши квалификацията и да се надградят съществуващите умения и компетенции на служителите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за по</w:t>
      </w:r>
      <w:r w:rsidR="00A67184"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ефективно и ефикасно изпълнение на задълженията им. Той се явява </w:t>
      </w:r>
      <w:proofErr w:type="spellStart"/>
      <w:r w:rsidRPr="00FD4C39">
        <w:rPr>
          <w:rFonts w:ascii="Times New Roman" w:eastAsia="Times New Roman" w:hAnsi="Times New Roman" w:cs="Times New Roman"/>
          <w:sz w:val="24"/>
          <w:szCs w:val="24"/>
        </w:rPr>
        <w:t>надграждащ</w:t>
      </w:r>
      <w:proofErr w:type="spellEnd"/>
      <w:r w:rsidRPr="00FD4C39">
        <w:rPr>
          <w:rFonts w:ascii="Times New Roman" w:eastAsia="Times New Roman" w:hAnsi="Times New Roman" w:cs="Times New Roman"/>
          <w:sz w:val="24"/>
          <w:szCs w:val="24"/>
        </w:rPr>
        <w:t xml:space="preserve"> спрямо другите два проекта на </w:t>
      </w:r>
      <w:r w:rsidR="00FE7018" w:rsidRPr="00FD4C39">
        <w:rPr>
          <w:rFonts w:ascii="Times New Roman" w:eastAsia="Times New Roman" w:hAnsi="Times New Roman" w:cs="Times New Roman"/>
          <w:sz w:val="24"/>
          <w:szCs w:val="24"/>
        </w:rPr>
        <w:t>КЗЛД</w:t>
      </w:r>
      <w:r w:rsidR="00D57702"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свързани с обучение на персонала. </w:t>
      </w:r>
      <w:r w:rsidR="00FD4189" w:rsidRPr="00FD4C39">
        <w:rPr>
          <w:rFonts w:ascii="Times New Roman" w:eastAsia="Times New Roman" w:hAnsi="Times New Roman" w:cs="Times New Roman"/>
          <w:sz w:val="24"/>
          <w:szCs w:val="24"/>
        </w:rPr>
        <w:t xml:space="preserve">Необходимостта </w:t>
      </w:r>
      <w:r w:rsidRPr="00FD4C39">
        <w:rPr>
          <w:rFonts w:ascii="Times New Roman" w:eastAsia="Times New Roman" w:hAnsi="Times New Roman" w:cs="Times New Roman"/>
          <w:sz w:val="24"/>
          <w:szCs w:val="24"/>
        </w:rPr>
        <w:t>от провеждане на допълнителна серия от обучение е обусловена от измененията в Европейската правна рамка по защита на данните, които в момента са в ход, както и от промените в Правилн</w:t>
      </w:r>
      <w:r w:rsidR="00DC0A8C" w:rsidRPr="00FD4C39">
        <w:rPr>
          <w:rFonts w:ascii="Times New Roman" w:eastAsia="Times New Roman" w:hAnsi="Times New Roman" w:cs="Times New Roman"/>
          <w:sz w:val="24"/>
          <w:szCs w:val="24"/>
        </w:rPr>
        <w:t>ика</w:t>
      </w:r>
      <w:r w:rsidRPr="00FD4C39">
        <w:rPr>
          <w:rFonts w:ascii="Times New Roman" w:eastAsia="Times New Roman" w:hAnsi="Times New Roman" w:cs="Times New Roman"/>
          <w:sz w:val="24"/>
          <w:szCs w:val="24"/>
        </w:rPr>
        <w:t xml:space="preserve"> за дейността на КЗЛД и най-вече новите функционални характеристики на административните звена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С оглед на този факт настоящият проект включва обучения за стратегическо планиране, управление на риска, по</w:t>
      </w:r>
      <w:r w:rsidR="007341CA"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ефективната комуникация с институциите на Европейския съюз, разработването на комуникационни стратегии и провеждането на информационни кампании. Предвидени са обучения и за общата администрация, които ще бъдат осъществени от И</w:t>
      </w:r>
      <w:r w:rsidR="00F86338" w:rsidRPr="00FD4C39">
        <w:rPr>
          <w:rFonts w:ascii="Times New Roman" w:eastAsia="Times New Roman" w:hAnsi="Times New Roman" w:cs="Times New Roman"/>
          <w:sz w:val="24"/>
          <w:szCs w:val="24"/>
        </w:rPr>
        <w:t>ПА</w:t>
      </w:r>
      <w:r w:rsidRPr="00FD4C39">
        <w:rPr>
          <w:rFonts w:ascii="Times New Roman" w:eastAsia="Times New Roman" w:hAnsi="Times New Roman" w:cs="Times New Roman"/>
          <w:sz w:val="24"/>
          <w:szCs w:val="24"/>
        </w:rPr>
        <w:t xml:space="preserve">. </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Проектът трябва да приключи през септември 2015</w:t>
      </w:r>
      <w:r w:rsidR="004D42A2">
        <w:rPr>
          <w:rFonts w:ascii="Times New Roman" w:eastAsia="Times New Roman" w:hAnsi="Times New Roman" w:cs="Times New Roman"/>
          <w:sz w:val="24"/>
          <w:szCs w:val="24"/>
        </w:rPr>
        <w:t> г.</w:t>
      </w:r>
    </w:p>
    <w:p w:rsidR="003150CD" w:rsidRPr="00FD4C39" w:rsidRDefault="003150CD" w:rsidP="003150CD">
      <w:pPr>
        <w:spacing w:after="0" w:line="360" w:lineRule="auto"/>
        <w:ind w:firstLine="709"/>
        <w:jc w:val="both"/>
        <w:rPr>
          <w:rFonts w:ascii="Times New Roman" w:eastAsia="Times New Roman" w:hAnsi="Times New Roman" w:cs="Times New Roman"/>
          <w:sz w:val="24"/>
          <w:szCs w:val="24"/>
        </w:rPr>
      </w:pPr>
    </w:p>
    <w:p w:rsidR="003150CD" w:rsidRPr="00FD4C39" w:rsidRDefault="003150CD" w:rsidP="003150CD">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Във връзка с избиране на нов ръководен състав на КЗЛД през м. април 20</w:t>
      </w:r>
      <w:r w:rsidR="00417472">
        <w:rPr>
          <w:rFonts w:ascii="Times New Roman" w:eastAsia="Times New Roman" w:hAnsi="Times New Roman" w:cs="Times New Roman"/>
          <w:sz w:val="24"/>
          <w:szCs w:val="24"/>
        </w:rPr>
        <w:t>14</w:t>
      </w:r>
      <w:r w:rsidR="004D42A2">
        <w:rPr>
          <w:rFonts w:ascii="Times New Roman" w:eastAsia="Times New Roman" w:hAnsi="Times New Roman" w:cs="Times New Roman"/>
          <w:sz w:val="24"/>
          <w:szCs w:val="24"/>
        </w:rPr>
        <w:t> г.</w:t>
      </w:r>
      <w:r w:rsidR="00417472">
        <w:rPr>
          <w:rFonts w:ascii="Times New Roman" w:eastAsia="Times New Roman" w:hAnsi="Times New Roman" w:cs="Times New Roman"/>
          <w:sz w:val="24"/>
          <w:szCs w:val="24"/>
        </w:rPr>
        <w:t xml:space="preserve"> се изготвят и подписват а</w:t>
      </w:r>
      <w:r w:rsidRPr="00FD4C39">
        <w:rPr>
          <w:rFonts w:ascii="Times New Roman" w:eastAsia="Times New Roman" w:hAnsi="Times New Roman" w:cs="Times New Roman"/>
          <w:sz w:val="24"/>
          <w:szCs w:val="24"/>
        </w:rPr>
        <w:t>некси към всички сключени договори по спечелените пр</w:t>
      </w:r>
      <w:r w:rsidR="00417472">
        <w:rPr>
          <w:rFonts w:ascii="Times New Roman" w:eastAsia="Times New Roman" w:hAnsi="Times New Roman" w:cs="Times New Roman"/>
          <w:sz w:val="24"/>
          <w:szCs w:val="24"/>
        </w:rPr>
        <w:t>оекти през 2013</w:t>
      </w:r>
      <w:r w:rsidR="004D42A2">
        <w:rPr>
          <w:rFonts w:ascii="Times New Roman" w:eastAsia="Times New Roman" w:hAnsi="Times New Roman" w:cs="Times New Roman"/>
          <w:sz w:val="24"/>
          <w:szCs w:val="24"/>
        </w:rPr>
        <w:t> г.</w:t>
      </w:r>
      <w:r w:rsidR="00417472">
        <w:rPr>
          <w:rFonts w:ascii="Times New Roman" w:eastAsia="Times New Roman" w:hAnsi="Times New Roman" w:cs="Times New Roman"/>
          <w:sz w:val="24"/>
          <w:szCs w:val="24"/>
        </w:rPr>
        <w:t xml:space="preserve"> и изпълнявани</w:t>
      </w:r>
      <w:r w:rsidRPr="00FD4C39">
        <w:rPr>
          <w:rFonts w:ascii="Times New Roman" w:eastAsia="Times New Roman" w:hAnsi="Times New Roman" w:cs="Times New Roman"/>
          <w:sz w:val="24"/>
          <w:szCs w:val="24"/>
        </w:rPr>
        <w:t xml:space="preserve">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както и договори</w:t>
      </w:r>
      <w:r w:rsidR="00417472">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сключени в началото на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за извършване на дейностите Ръководител, Координатор, Счетоводител и Технически сътрудник на проект.</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
          <w:sz w:val="24"/>
          <w:szCs w:val="24"/>
        </w:rPr>
        <w:lastRenderedPageBreak/>
        <w:t xml:space="preserve">3. </w:t>
      </w:r>
      <w:r w:rsidR="005F6FA2" w:rsidRPr="00FD4C39">
        <w:rPr>
          <w:rFonts w:ascii="Times New Roman" w:eastAsia="Times New Roman" w:hAnsi="Times New Roman" w:cs="Times New Roman"/>
          <w:b/>
          <w:sz w:val="24"/>
          <w:szCs w:val="24"/>
        </w:rPr>
        <w:t>П</w:t>
      </w:r>
      <w:r w:rsidR="003C7A48" w:rsidRPr="00FD4C39">
        <w:rPr>
          <w:rFonts w:ascii="Times New Roman" w:eastAsia="Times New Roman" w:hAnsi="Times New Roman" w:cs="Times New Roman"/>
          <w:b/>
          <w:sz w:val="24"/>
          <w:szCs w:val="24"/>
        </w:rPr>
        <w:t xml:space="preserve">рограма </w:t>
      </w:r>
      <w:r w:rsidR="004931E5" w:rsidRPr="00FD4C39">
        <w:rPr>
          <w:rFonts w:ascii="Times New Roman" w:eastAsia="Times New Roman" w:hAnsi="Times New Roman" w:cs="Times New Roman"/>
          <w:b/>
          <w:sz w:val="24"/>
          <w:szCs w:val="24"/>
        </w:rPr>
        <w:t>„</w:t>
      </w:r>
      <w:r w:rsidR="003C7A48" w:rsidRPr="00FD4C39">
        <w:rPr>
          <w:rFonts w:ascii="Times New Roman" w:eastAsia="Times New Roman" w:hAnsi="Times New Roman" w:cs="Times New Roman"/>
          <w:b/>
          <w:sz w:val="24"/>
          <w:szCs w:val="24"/>
        </w:rPr>
        <w:t>Превенция и борба с престъпността</w:t>
      </w:r>
      <w:r w:rsidR="00417472">
        <w:rPr>
          <w:rFonts w:ascii="Times New Roman" w:eastAsia="Times New Roman" w:hAnsi="Times New Roman" w:cs="Times New Roman"/>
          <w:b/>
          <w:sz w:val="24"/>
          <w:szCs w:val="24"/>
        </w:rPr>
        <w:t>“ на Европейската к</w:t>
      </w:r>
      <w:r w:rsidR="003C7A48" w:rsidRPr="00FD4C39">
        <w:rPr>
          <w:rFonts w:ascii="Times New Roman" w:eastAsia="Times New Roman" w:hAnsi="Times New Roman" w:cs="Times New Roman"/>
          <w:b/>
          <w:sz w:val="24"/>
          <w:szCs w:val="24"/>
        </w:rPr>
        <w:t>омисия</w:t>
      </w:r>
    </w:p>
    <w:p w:rsidR="00ED76DE" w:rsidRPr="00FD4C39" w:rsidRDefault="00ED76DE" w:rsidP="007B189E">
      <w:pPr>
        <w:spacing w:after="0" w:line="360" w:lineRule="auto"/>
        <w:ind w:firstLine="709"/>
        <w:jc w:val="both"/>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t xml:space="preserve">Проект с наименование </w:t>
      </w:r>
      <w:r w:rsidR="004931E5" w:rsidRPr="00FD4C39">
        <w:rPr>
          <w:rFonts w:ascii="Times New Roman" w:eastAsia="Times New Roman" w:hAnsi="Times New Roman" w:cs="Times New Roman"/>
          <w:b/>
          <w:sz w:val="24"/>
          <w:szCs w:val="24"/>
        </w:rPr>
        <w:t>„</w:t>
      </w:r>
      <w:r w:rsidRPr="00FD4C39">
        <w:rPr>
          <w:rFonts w:ascii="Times New Roman" w:eastAsia="Times New Roman" w:hAnsi="Times New Roman" w:cs="Times New Roman"/>
          <w:b/>
          <w:sz w:val="24"/>
          <w:szCs w:val="24"/>
        </w:rPr>
        <w:t xml:space="preserve">Създаване на национално звено за събиране и обработване на </w:t>
      </w:r>
      <w:proofErr w:type="spellStart"/>
      <w:r w:rsidRPr="00FD4C39">
        <w:rPr>
          <w:rFonts w:ascii="Times New Roman" w:eastAsia="Times New Roman" w:hAnsi="Times New Roman" w:cs="Times New Roman"/>
          <w:b/>
          <w:sz w:val="24"/>
          <w:szCs w:val="24"/>
        </w:rPr>
        <w:t>резервационни</w:t>
      </w:r>
      <w:proofErr w:type="spellEnd"/>
      <w:r w:rsidRPr="00FD4C39">
        <w:rPr>
          <w:rFonts w:ascii="Times New Roman" w:eastAsia="Times New Roman" w:hAnsi="Times New Roman" w:cs="Times New Roman"/>
          <w:b/>
          <w:sz w:val="24"/>
          <w:szCs w:val="24"/>
        </w:rPr>
        <w:t xml:space="preserve"> данни за</w:t>
      </w:r>
      <w:r w:rsidR="00417472">
        <w:rPr>
          <w:rFonts w:ascii="Times New Roman" w:eastAsia="Times New Roman" w:hAnsi="Times New Roman" w:cs="Times New Roman"/>
          <w:b/>
          <w:sz w:val="24"/>
          <w:szCs w:val="24"/>
        </w:rPr>
        <w:t xml:space="preserve"> пътниците в Република България“</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По този проект </w:t>
      </w:r>
      <w:r w:rsidR="00FE7018" w:rsidRPr="00FD4C39">
        <w:rPr>
          <w:rFonts w:ascii="Times New Roman" w:eastAsia="Times New Roman" w:hAnsi="Times New Roman" w:cs="Times New Roman"/>
          <w:sz w:val="24"/>
          <w:szCs w:val="24"/>
        </w:rPr>
        <w:t>КЗЛД</w:t>
      </w:r>
      <w:r w:rsidR="00DC0A8C" w:rsidRPr="00FD4C39">
        <w:rPr>
          <w:rFonts w:ascii="Times New Roman" w:eastAsia="Times New Roman" w:hAnsi="Times New Roman" w:cs="Times New Roman"/>
          <w:sz w:val="24"/>
          <w:szCs w:val="24"/>
        </w:rPr>
        <w:t xml:space="preserve"> </w:t>
      </w:r>
      <w:r w:rsidR="00417472">
        <w:rPr>
          <w:rFonts w:ascii="Times New Roman" w:eastAsia="Times New Roman" w:hAnsi="Times New Roman" w:cs="Times New Roman"/>
          <w:sz w:val="24"/>
          <w:szCs w:val="24"/>
        </w:rPr>
        <w:t xml:space="preserve">е </w:t>
      </w:r>
      <w:proofErr w:type="spellStart"/>
      <w:r w:rsidR="00417472">
        <w:rPr>
          <w:rFonts w:ascii="Times New Roman" w:eastAsia="Times New Roman" w:hAnsi="Times New Roman" w:cs="Times New Roman"/>
          <w:sz w:val="24"/>
          <w:szCs w:val="24"/>
        </w:rPr>
        <w:t>събенефициент</w:t>
      </w:r>
      <w:proofErr w:type="spellEnd"/>
      <w:r w:rsidRPr="00FD4C39">
        <w:rPr>
          <w:rFonts w:ascii="Times New Roman" w:eastAsia="Times New Roman" w:hAnsi="Times New Roman" w:cs="Times New Roman"/>
          <w:sz w:val="24"/>
          <w:szCs w:val="24"/>
        </w:rPr>
        <w:t xml:space="preserve"> съ</w:t>
      </w:r>
      <w:r w:rsidR="007D1A1B" w:rsidRPr="00FD4C39">
        <w:rPr>
          <w:rFonts w:ascii="Times New Roman" w:eastAsia="Times New Roman" w:hAnsi="Times New Roman" w:cs="Times New Roman"/>
          <w:sz w:val="24"/>
          <w:szCs w:val="24"/>
        </w:rPr>
        <w:t>вместно с Държавна</w:t>
      </w:r>
      <w:r w:rsidRPr="00FD4C39">
        <w:rPr>
          <w:rFonts w:ascii="Times New Roman" w:eastAsia="Times New Roman" w:hAnsi="Times New Roman" w:cs="Times New Roman"/>
          <w:sz w:val="24"/>
          <w:szCs w:val="24"/>
        </w:rPr>
        <w:t xml:space="preserve"> агенция </w:t>
      </w:r>
      <w:r w:rsidR="004931E5" w:rsidRPr="00FD4C39">
        <w:rPr>
          <w:rFonts w:ascii="Times New Roman" w:eastAsia="Times New Roman" w:hAnsi="Times New Roman" w:cs="Times New Roman"/>
          <w:sz w:val="24"/>
          <w:szCs w:val="24"/>
        </w:rPr>
        <w:t>„</w:t>
      </w:r>
      <w:r w:rsidR="007D1A1B" w:rsidRPr="00FD4C39">
        <w:rPr>
          <w:rFonts w:ascii="Times New Roman" w:eastAsia="Times New Roman" w:hAnsi="Times New Roman" w:cs="Times New Roman"/>
          <w:sz w:val="24"/>
          <w:szCs w:val="24"/>
        </w:rPr>
        <w:t>Национална сигурност</w:t>
      </w:r>
      <w:r w:rsidR="00417472">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Неговата цел е да бъде създадено звено в рамките на Агенцията, което да събира и обработва </w:t>
      </w:r>
      <w:proofErr w:type="spellStart"/>
      <w:r w:rsidRPr="00FD4C39">
        <w:rPr>
          <w:rFonts w:ascii="Times New Roman" w:eastAsia="Times New Roman" w:hAnsi="Times New Roman" w:cs="Times New Roman"/>
          <w:sz w:val="24"/>
          <w:szCs w:val="24"/>
        </w:rPr>
        <w:t>резервационните</w:t>
      </w:r>
      <w:proofErr w:type="spellEnd"/>
      <w:r w:rsidRPr="00FD4C39">
        <w:rPr>
          <w:rFonts w:ascii="Times New Roman" w:eastAsia="Times New Roman" w:hAnsi="Times New Roman" w:cs="Times New Roman"/>
          <w:sz w:val="24"/>
          <w:szCs w:val="24"/>
        </w:rPr>
        <w:t xml:space="preserve"> (PNR) данни на пътниците</w:t>
      </w:r>
      <w:r w:rsidR="00320900"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пристигащи в или заминаващи от </w:t>
      </w:r>
      <w:r w:rsidR="00DC0A8C" w:rsidRPr="00FD4C39">
        <w:rPr>
          <w:rFonts w:ascii="Times New Roman" w:eastAsia="Times New Roman" w:hAnsi="Times New Roman" w:cs="Times New Roman"/>
          <w:sz w:val="24"/>
          <w:szCs w:val="24"/>
        </w:rPr>
        <w:t xml:space="preserve">Република </w:t>
      </w:r>
      <w:r w:rsidRPr="00FD4C39">
        <w:rPr>
          <w:rFonts w:ascii="Times New Roman" w:eastAsia="Times New Roman" w:hAnsi="Times New Roman" w:cs="Times New Roman"/>
          <w:sz w:val="24"/>
          <w:szCs w:val="24"/>
        </w:rPr>
        <w:t>България, ползващи въздушен транспорт. По този начин ще бъдат подпомогнати усилията за противодействие на тероризма и ще бъдат идентифицирани лица, които потенциално застрашават националната сигу</w:t>
      </w:r>
      <w:r w:rsidR="00417472">
        <w:rPr>
          <w:rFonts w:ascii="Times New Roman" w:eastAsia="Times New Roman" w:hAnsi="Times New Roman" w:cs="Times New Roman"/>
          <w:sz w:val="24"/>
          <w:szCs w:val="24"/>
        </w:rPr>
        <w:t>рност на страните членки на ЕС.</w:t>
      </w:r>
      <w:r w:rsidRPr="00FD4C39">
        <w:rPr>
          <w:rFonts w:ascii="Times New Roman" w:eastAsia="Times New Roman" w:hAnsi="Times New Roman" w:cs="Times New Roman"/>
          <w:sz w:val="24"/>
          <w:szCs w:val="24"/>
        </w:rPr>
        <w:t xml:space="preserve"> В рамките на проекта </w:t>
      </w:r>
      <w:r w:rsidR="00320900" w:rsidRPr="00FD4C39">
        <w:rPr>
          <w:rFonts w:ascii="Times New Roman" w:eastAsia="Times New Roman" w:hAnsi="Times New Roman" w:cs="Times New Roman"/>
          <w:sz w:val="24"/>
          <w:szCs w:val="24"/>
        </w:rPr>
        <w:t>представители</w:t>
      </w:r>
      <w:r w:rsidRPr="00FD4C39">
        <w:rPr>
          <w:rFonts w:ascii="Times New Roman" w:eastAsia="Times New Roman" w:hAnsi="Times New Roman" w:cs="Times New Roman"/>
          <w:sz w:val="24"/>
          <w:szCs w:val="24"/>
        </w:rPr>
        <w:t xml:space="preserve"> на </w:t>
      </w:r>
      <w:r w:rsidR="00FE7018" w:rsidRPr="00FD4C39">
        <w:rPr>
          <w:rFonts w:ascii="Times New Roman" w:eastAsia="Times New Roman" w:hAnsi="Times New Roman" w:cs="Times New Roman"/>
          <w:sz w:val="24"/>
          <w:szCs w:val="24"/>
        </w:rPr>
        <w:t>КЗЛД</w:t>
      </w:r>
      <w:r w:rsidRPr="00FD4C39">
        <w:rPr>
          <w:rFonts w:ascii="Times New Roman" w:eastAsia="Times New Roman" w:hAnsi="Times New Roman" w:cs="Times New Roman"/>
          <w:sz w:val="24"/>
          <w:szCs w:val="24"/>
        </w:rPr>
        <w:t xml:space="preserve"> участват с експертиза и становища, които целят да гарантират спазването на европейската и национална правна рамка по защита на личните данни и защитата правата на физическите лица, при създаването и въвеждането в действие на звеното</w:t>
      </w:r>
      <w:r w:rsidR="00320900" w:rsidRPr="00FD4C39">
        <w:rPr>
          <w:rFonts w:ascii="Times New Roman" w:eastAsia="Times New Roman" w:hAnsi="Times New Roman" w:cs="Times New Roman"/>
          <w:sz w:val="24"/>
          <w:szCs w:val="24"/>
        </w:rPr>
        <w:t xml:space="preserve"> за </w:t>
      </w:r>
      <w:proofErr w:type="spellStart"/>
      <w:r w:rsidR="00320900" w:rsidRPr="00FD4C39">
        <w:rPr>
          <w:rFonts w:ascii="Times New Roman" w:eastAsia="Times New Roman" w:hAnsi="Times New Roman" w:cs="Times New Roman"/>
          <w:sz w:val="24"/>
          <w:szCs w:val="24"/>
        </w:rPr>
        <w:t>рез</w:t>
      </w:r>
      <w:r w:rsidR="00417472">
        <w:rPr>
          <w:rFonts w:ascii="Times New Roman" w:eastAsia="Times New Roman" w:hAnsi="Times New Roman" w:cs="Times New Roman"/>
          <w:sz w:val="24"/>
          <w:szCs w:val="24"/>
        </w:rPr>
        <w:t>е</w:t>
      </w:r>
      <w:r w:rsidR="00320900" w:rsidRPr="00FD4C39">
        <w:rPr>
          <w:rFonts w:ascii="Times New Roman" w:eastAsia="Times New Roman" w:hAnsi="Times New Roman" w:cs="Times New Roman"/>
          <w:sz w:val="24"/>
          <w:szCs w:val="24"/>
        </w:rPr>
        <w:t>р</w:t>
      </w:r>
      <w:r w:rsidR="00417472">
        <w:rPr>
          <w:rFonts w:ascii="Times New Roman" w:eastAsia="Times New Roman" w:hAnsi="Times New Roman" w:cs="Times New Roman"/>
          <w:sz w:val="24"/>
          <w:szCs w:val="24"/>
        </w:rPr>
        <w:t>в</w:t>
      </w:r>
      <w:r w:rsidR="00320900" w:rsidRPr="00FD4C39">
        <w:rPr>
          <w:rFonts w:ascii="Times New Roman" w:eastAsia="Times New Roman" w:hAnsi="Times New Roman" w:cs="Times New Roman"/>
          <w:sz w:val="24"/>
          <w:szCs w:val="24"/>
        </w:rPr>
        <w:t>ационни</w:t>
      </w:r>
      <w:proofErr w:type="spellEnd"/>
      <w:r w:rsidR="00320900" w:rsidRPr="00FD4C39">
        <w:rPr>
          <w:rFonts w:ascii="Times New Roman" w:eastAsia="Times New Roman" w:hAnsi="Times New Roman" w:cs="Times New Roman"/>
          <w:sz w:val="24"/>
          <w:szCs w:val="24"/>
        </w:rPr>
        <w:t xml:space="preserve"> данни на пътниците</w:t>
      </w:r>
      <w:r w:rsidRPr="00FD4C39">
        <w:rPr>
          <w:rFonts w:ascii="Times New Roman" w:eastAsia="Times New Roman" w:hAnsi="Times New Roman" w:cs="Times New Roman"/>
          <w:sz w:val="24"/>
          <w:szCs w:val="24"/>
        </w:rPr>
        <w:t xml:space="preserve">. </w:t>
      </w:r>
    </w:p>
    <w:p w:rsidR="00ED76DE" w:rsidRPr="00FD4C39" w:rsidRDefault="00ED76DE"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Проектът трябва да приключи до края на 2015</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p>
    <w:p w:rsidR="00EE4610" w:rsidRPr="00FD4C39" w:rsidRDefault="00EE4610">
      <w:pPr>
        <w:rPr>
          <w:rFonts w:ascii="Times New Roman" w:eastAsia="Times New Roman" w:hAnsi="Times New Roman" w:cs="Times New Roman"/>
          <w:b/>
          <w:bCs/>
          <w:sz w:val="24"/>
          <w:szCs w:val="24"/>
        </w:rPr>
      </w:pPr>
      <w:r w:rsidRPr="00FD4C39">
        <w:rPr>
          <w:rFonts w:ascii="Times New Roman" w:eastAsia="Times New Roman" w:hAnsi="Times New Roman" w:cs="Times New Roman"/>
          <w:b/>
          <w:bCs/>
          <w:sz w:val="24"/>
          <w:szCs w:val="24"/>
        </w:rPr>
        <w:br w:type="page"/>
      </w:r>
    </w:p>
    <w:p w:rsidR="003B2E80" w:rsidRPr="00FD4C39" w:rsidRDefault="00EF364C" w:rsidP="00131BC2">
      <w:pPr>
        <w:widowControl w:val="0"/>
        <w:spacing w:after="0" w:line="390" w:lineRule="exact"/>
        <w:ind w:firstLine="709"/>
        <w:jc w:val="both"/>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lastRenderedPageBreak/>
        <w:t xml:space="preserve">IX. </w:t>
      </w:r>
      <w:r w:rsidR="00FE7018" w:rsidRPr="00FD4C39">
        <w:rPr>
          <w:rFonts w:ascii="Times New Roman" w:eastAsia="Times New Roman" w:hAnsi="Times New Roman" w:cs="Times New Roman"/>
          <w:b/>
          <w:sz w:val="24"/>
          <w:szCs w:val="24"/>
        </w:rPr>
        <w:t>КЗЛД</w:t>
      </w:r>
      <w:r w:rsidR="004D42A2">
        <w:rPr>
          <w:rFonts w:ascii="Times New Roman" w:eastAsia="Times New Roman" w:hAnsi="Times New Roman" w:cs="Times New Roman"/>
          <w:b/>
          <w:sz w:val="24"/>
          <w:szCs w:val="24"/>
        </w:rPr>
        <w:t xml:space="preserve"> – </w:t>
      </w:r>
      <w:r w:rsidRPr="00FD4C39">
        <w:rPr>
          <w:rFonts w:ascii="Times New Roman" w:eastAsia="Times New Roman" w:hAnsi="Times New Roman" w:cs="Times New Roman"/>
          <w:b/>
          <w:sz w:val="24"/>
          <w:szCs w:val="24"/>
        </w:rPr>
        <w:t xml:space="preserve">наблюдаващ орган относно сигурността на данните съгласно </w:t>
      </w:r>
      <w:r w:rsidR="007341CA" w:rsidRPr="00FD4C39">
        <w:rPr>
          <w:rFonts w:ascii="Times New Roman" w:eastAsia="Times New Roman" w:hAnsi="Times New Roman" w:cs="Times New Roman"/>
          <w:b/>
          <w:sz w:val="24"/>
          <w:szCs w:val="24"/>
        </w:rPr>
        <w:t>Закона</w:t>
      </w:r>
      <w:r w:rsidRPr="00FD4C39">
        <w:rPr>
          <w:rFonts w:ascii="Times New Roman" w:eastAsia="Times New Roman" w:hAnsi="Times New Roman" w:cs="Times New Roman"/>
          <w:b/>
          <w:sz w:val="24"/>
          <w:szCs w:val="24"/>
        </w:rPr>
        <w:t xml:space="preserve"> за електронните съобщения</w:t>
      </w:r>
    </w:p>
    <w:p w:rsidR="001563B1" w:rsidRPr="00FD4C39" w:rsidRDefault="001563B1" w:rsidP="00131BC2">
      <w:pPr>
        <w:widowControl w:val="0"/>
        <w:spacing w:after="0" w:line="390" w:lineRule="exact"/>
        <w:ind w:firstLine="709"/>
        <w:jc w:val="both"/>
        <w:rPr>
          <w:rFonts w:ascii="Times New Roman" w:eastAsia="Times New Roman" w:hAnsi="Times New Roman" w:cs="Times New Roman"/>
          <w:sz w:val="24"/>
          <w:szCs w:val="24"/>
        </w:rPr>
      </w:pPr>
    </w:p>
    <w:p w:rsidR="001563B1" w:rsidRPr="00FD4C39" w:rsidRDefault="001563B1" w:rsidP="00131BC2">
      <w:pPr>
        <w:widowControl w:val="0"/>
        <w:spacing w:after="0" w:line="390" w:lineRule="exact"/>
        <w:ind w:firstLine="709"/>
        <w:jc w:val="both"/>
        <w:rPr>
          <w:rFonts w:ascii="Times New Roman" w:hAnsi="Times New Roman" w:cs="Times New Roman"/>
          <w:sz w:val="24"/>
          <w:szCs w:val="24"/>
        </w:rPr>
      </w:pPr>
      <w:r w:rsidRPr="00FD4C39">
        <w:rPr>
          <w:rFonts w:ascii="Times New Roman" w:hAnsi="Times New Roman" w:cs="Times New Roman"/>
          <w:sz w:val="24"/>
          <w:szCs w:val="24"/>
        </w:rPr>
        <w:t>На 8 април 2014</w:t>
      </w:r>
      <w:r w:rsidR="004D42A2">
        <w:rPr>
          <w:rFonts w:ascii="Times New Roman" w:hAnsi="Times New Roman" w:cs="Times New Roman"/>
          <w:sz w:val="24"/>
          <w:szCs w:val="24"/>
        </w:rPr>
        <w:t> г.</w:t>
      </w:r>
      <w:r w:rsidR="0067748B" w:rsidRPr="00FD4C39">
        <w:rPr>
          <w:rFonts w:ascii="Times New Roman" w:hAnsi="Times New Roman" w:cs="Times New Roman"/>
          <w:sz w:val="24"/>
          <w:szCs w:val="24"/>
        </w:rPr>
        <w:t xml:space="preserve"> Съдът на Европейския съюз обявява</w:t>
      </w:r>
      <w:r w:rsidRPr="00FD4C39">
        <w:rPr>
          <w:rFonts w:ascii="Times New Roman" w:hAnsi="Times New Roman" w:cs="Times New Roman"/>
          <w:sz w:val="24"/>
          <w:szCs w:val="24"/>
        </w:rPr>
        <w:t xml:space="preserve"> Директива 2006/24/ЕО на </w:t>
      </w:r>
      <w:r w:rsidR="00BE0A52" w:rsidRPr="00FD4C39">
        <w:rPr>
          <w:rFonts w:ascii="Times New Roman" w:hAnsi="Times New Roman" w:cs="Times New Roman"/>
          <w:sz w:val="24"/>
          <w:szCs w:val="24"/>
        </w:rPr>
        <w:t xml:space="preserve">Европейския парламент и на Съвета от 15 март 2006 година за запазване на </w:t>
      </w:r>
      <w:r w:rsidR="00417472">
        <w:rPr>
          <w:rFonts w:ascii="Times New Roman" w:hAnsi="Times New Roman" w:cs="Times New Roman"/>
          <w:sz w:val="24"/>
          <w:szCs w:val="24"/>
        </w:rPr>
        <w:t>данни, създадени или обработени</w:t>
      </w:r>
      <w:r w:rsidR="00BE0A52" w:rsidRPr="00FD4C39">
        <w:rPr>
          <w:rFonts w:ascii="Times New Roman" w:hAnsi="Times New Roman" w:cs="Times New Roman"/>
          <w:sz w:val="24"/>
          <w:szCs w:val="24"/>
        </w:rPr>
        <w:t xml:space="preserve"> във връзка</w:t>
      </w:r>
      <w:r w:rsidR="00417472">
        <w:rPr>
          <w:rFonts w:ascii="Times New Roman" w:hAnsi="Times New Roman" w:cs="Times New Roman"/>
          <w:sz w:val="24"/>
          <w:szCs w:val="24"/>
        </w:rPr>
        <w:t xml:space="preserve"> с предоставянето на </w:t>
      </w:r>
      <w:proofErr w:type="spellStart"/>
      <w:r w:rsidR="00417472">
        <w:rPr>
          <w:rFonts w:ascii="Times New Roman" w:hAnsi="Times New Roman" w:cs="Times New Roman"/>
          <w:sz w:val="24"/>
          <w:szCs w:val="24"/>
        </w:rPr>
        <w:t>обществено</w:t>
      </w:r>
      <w:r w:rsidR="00BE0A52" w:rsidRPr="00FD4C39">
        <w:rPr>
          <w:rFonts w:ascii="Times New Roman" w:hAnsi="Times New Roman" w:cs="Times New Roman"/>
          <w:sz w:val="24"/>
          <w:szCs w:val="24"/>
        </w:rPr>
        <w:t>достъпни</w:t>
      </w:r>
      <w:proofErr w:type="spellEnd"/>
      <w:r w:rsidR="00BE0A52" w:rsidRPr="00FD4C39">
        <w:rPr>
          <w:rFonts w:ascii="Times New Roman" w:hAnsi="Times New Roman" w:cs="Times New Roman"/>
          <w:sz w:val="24"/>
          <w:szCs w:val="24"/>
        </w:rPr>
        <w:t xml:space="preserve"> електронни съобщителни услуги или на обществени съобщителни мрежи и за изменение на Директива 2002/58/</w:t>
      </w:r>
      <w:r w:rsidRPr="00FD4C39">
        <w:rPr>
          <w:rFonts w:ascii="Times New Roman" w:hAnsi="Times New Roman" w:cs="Times New Roman"/>
          <w:sz w:val="24"/>
          <w:szCs w:val="24"/>
        </w:rPr>
        <w:t xml:space="preserve">EО (Директива за запазване на </w:t>
      </w:r>
      <w:proofErr w:type="spellStart"/>
      <w:r w:rsidRPr="00FD4C39">
        <w:rPr>
          <w:rFonts w:ascii="Times New Roman" w:hAnsi="Times New Roman" w:cs="Times New Roman"/>
          <w:sz w:val="24"/>
          <w:szCs w:val="24"/>
        </w:rPr>
        <w:t>трафични</w:t>
      </w:r>
      <w:proofErr w:type="spellEnd"/>
      <w:r w:rsidRPr="00FD4C39">
        <w:rPr>
          <w:rFonts w:ascii="Times New Roman" w:hAnsi="Times New Roman" w:cs="Times New Roman"/>
          <w:sz w:val="24"/>
          <w:szCs w:val="24"/>
        </w:rPr>
        <w:t xml:space="preserve"> данни) за невалидна</w:t>
      </w:r>
      <w:r w:rsidR="001F26C7" w:rsidRPr="00FD4C39">
        <w:rPr>
          <w:rStyle w:val="FootnoteReference"/>
          <w:rFonts w:ascii="Times New Roman" w:hAnsi="Times New Roman" w:cs="Times New Roman"/>
          <w:sz w:val="24"/>
          <w:szCs w:val="24"/>
        </w:rPr>
        <w:footnoteReference w:id="2"/>
      </w:r>
      <w:r w:rsidRPr="00FD4C39">
        <w:rPr>
          <w:rFonts w:ascii="Times New Roman" w:hAnsi="Times New Roman" w:cs="Times New Roman"/>
          <w:sz w:val="24"/>
          <w:szCs w:val="24"/>
        </w:rPr>
        <w:t>.</w:t>
      </w:r>
      <w:r w:rsidR="00A87751" w:rsidRPr="00FD4C39">
        <w:rPr>
          <w:rFonts w:ascii="Times New Roman" w:hAnsi="Times New Roman" w:cs="Times New Roman"/>
          <w:sz w:val="24"/>
          <w:szCs w:val="24"/>
        </w:rPr>
        <w:t xml:space="preserve"> </w:t>
      </w:r>
      <w:r w:rsidRPr="00FD4C39">
        <w:rPr>
          <w:rFonts w:ascii="Times New Roman" w:hAnsi="Times New Roman" w:cs="Times New Roman"/>
          <w:sz w:val="24"/>
          <w:szCs w:val="24"/>
        </w:rPr>
        <w:t>В решението се посочва, че разпоредбите на Директивата нарушават правото на неприкосновеност на личния живот и основното право на защита на личните данни, регламентирани в Хартата на основните</w:t>
      </w:r>
      <w:r w:rsidR="00BE0A52" w:rsidRPr="00FD4C39">
        <w:rPr>
          <w:rFonts w:ascii="Times New Roman" w:hAnsi="Times New Roman" w:cs="Times New Roman"/>
          <w:sz w:val="24"/>
          <w:szCs w:val="24"/>
        </w:rPr>
        <w:t xml:space="preserve"> права на Европейския съюз (ЕС).</w:t>
      </w:r>
      <w:r w:rsidR="00BE0A52" w:rsidRPr="00FD4C39">
        <w:rPr>
          <w:rFonts w:ascii="Times New Roman" w:eastAsia="Times New Roman" w:hAnsi="Times New Roman" w:cs="Times New Roman"/>
          <w:sz w:val="24"/>
          <w:szCs w:val="24"/>
        </w:rPr>
        <w:t xml:space="preserve"> </w:t>
      </w:r>
      <w:r w:rsidRPr="00FD4C39">
        <w:rPr>
          <w:rFonts w:ascii="Times New Roman" w:hAnsi="Times New Roman" w:cs="Times New Roman"/>
          <w:sz w:val="24"/>
          <w:szCs w:val="24"/>
        </w:rPr>
        <w:t>До края на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Европейската комисия все още извършва задълбочена оценка на решението на Съда на ЕС и неговите последствия. </w:t>
      </w:r>
    </w:p>
    <w:p w:rsidR="002509B8" w:rsidRPr="00FD4C39" w:rsidRDefault="00EF364C" w:rsidP="00131BC2">
      <w:pPr>
        <w:widowControl w:val="0"/>
        <w:spacing w:after="0" w:line="390" w:lineRule="exact"/>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 повод обявяването на Директива 2006/24/ЕО за невалидна</w:t>
      </w:r>
      <w:r w:rsidR="009301EA" w:rsidRPr="00FD4C39">
        <w:rPr>
          <w:rFonts w:ascii="Times New Roman" w:eastAsia="Calibri" w:hAnsi="Times New Roman" w:cs="Times New Roman"/>
          <w:sz w:val="24"/>
          <w:szCs w:val="24"/>
        </w:rPr>
        <w:t xml:space="preserve"> 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proofErr w:type="spellStart"/>
      <w:r w:rsidRPr="00FD4C39">
        <w:rPr>
          <w:rFonts w:ascii="Times New Roman" w:eastAsia="Calibri" w:hAnsi="Times New Roman" w:cs="Times New Roman"/>
          <w:sz w:val="24"/>
          <w:szCs w:val="24"/>
        </w:rPr>
        <w:t>омбудсманът</w:t>
      </w:r>
      <w:proofErr w:type="spellEnd"/>
      <w:r w:rsidRPr="00FD4C39">
        <w:rPr>
          <w:rFonts w:ascii="Times New Roman" w:eastAsia="Calibri" w:hAnsi="Times New Roman" w:cs="Times New Roman"/>
          <w:sz w:val="24"/>
          <w:szCs w:val="24"/>
        </w:rPr>
        <w:t xml:space="preserve"> на Република България сезира Конституционния съд с искане за установяване на </w:t>
      </w:r>
      <w:proofErr w:type="spellStart"/>
      <w:r w:rsidRPr="00FD4C39">
        <w:rPr>
          <w:rFonts w:ascii="Times New Roman" w:eastAsia="Calibri" w:hAnsi="Times New Roman" w:cs="Times New Roman"/>
          <w:sz w:val="24"/>
          <w:szCs w:val="24"/>
        </w:rPr>
        <w:t>противоконституционност</w:t>
      </w:r>
      <w:proofErr w:type="spellEnd"/>
      <w:r w:rsidRPr="00FD4C39">
        <w:rPr>
          <w:rFonts w:ascii="Times New Roman" w:eastAsia="Calibri" w:hAnsi="Times New Roman" w:cs="Times New Roman"/>
          <w:sz w:val="24"/>
          <w:szCs w:val="24"/>
        </w:rPr>
        <w:t xml:space="preserve"> на разпоредбите на</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250а</w:t>
      </w:r>
      <w:r w:rsidR="00417472">
        <w:rPr>
          <w:rFonts w:ascii="Times New Roman" w:eastAsia="Calibri" w:hAnsi="Times New Roman" w:cs="Times New Roman"/>
          <w:sz w:val="24"/>
          <w:szCs w:val="24"/>
        </w:rPr>
        <w:t>–</w:t>
      </w:r>
      <w:r w:rsidR="000109FB" w:rsidRPr="00FD4C39">
        <w:rPr>
          <w:rFonts w:ascii="Times New Roman" w:eastAsia="Calibri" w:hAnsi="Times New Roman" w:cs="Times New Roman"/>
          <w:sz w:val="24"/>
          <w:szCs w:val="24"/>
        </w:rPr>
        <w:t>чл. </w:t>
      </w:r>
      <w:r w:rsidRPr="00FD4C39">
        <w:rPr>
          <w:rFonts w:ascii="Times New Roman" w:eastAsia="Calibri" w:hAnsi="Times New Roman" w:cs="Times New Roman"/>
          <w:sz w:val="24"/>
          <w:szCs w:val="24"/>
        </w:rPr>
        <w:t>250е,</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251 и</w:t>
      </w:r>
      <w:r w:rsidR="00884B97">
        <w:rPr>
          <w:rFonts w:ascii="Times New Roman" w:eastAsia="Calibri" w:hAnsi="Times New Roman" w:cs="Times New Roman"/>
          <w:sz w:val="24"/>
          <w:szCs w:val="24"/>
        </w:rPr>
        <w:t xml:space="preserve"> чл. </w:t>
      </w:r>
      <w:r w:rsidRPr="00FD4C39">
        <w:rPr>
          <w:rFonts w:ascii="Times New Roman" w:eastAsia="Calibri" w:hAnsi="Times New Roman" w:cs="Times New Roman"/>
          <w:sz w:val="24"/>
          <w:szCs w:val="24"/>
        </w:rPr>
        <w:t xml:space="preserve">251а от </w:t>
      </w:r>
      <w:r w:rsidR="00FE7018" w:rsidRPr="00FD4C39">
        <w:rPr>
          <w:rFonts w:ascii="Times New Roman" w:eastAsia="Calibri" w:hAnsi="Times New Roman" w:cs="Times New Roman"/>
          <w:sz w:val="24"/>
          <w:szCs w:val="24"/>
        </w:rPr>
        <w:t>З</w:t>
      </w:r>
      <w:r w:rsidR="00FA05AD" w:rsidRPr="00FD4C39">
        <w:rPr>
          <w:rFonts w:ascii="Times New Roman" w:eastAsia="Calibri" w:hAnsi="Times New Roman" w:cs="Times New Roman"/>
          <w:sz w:val="24"/>
          <w:szCs w:val="24"/>
        </w:rPr>
        <w:t>акона</w:t>
      </w:r>
      <w:r w:rsidRPr="00FD4C39">
        <w:rPr>
          <w:rFonts w:ascii="Times New Roman" w:eastAsia="Calibri" w:hAnsi="Times New Roman" w:cs="Times New Roman"/>
          <w:sz w:val="24"/>
          <w:szCs w:val="24"/>
        </w:rPr>
        <w:t xml:space="preserve"> за електронните съобщения</w:t>
      </w:r>
      <w:r w:rsidR="009D61B5" w:rsidRPr="00FD4C39">
        <w:rPr>
          <w:rFonts w:ascii="Times New Roman" w:eastAsia="Calibri" w:hAnsi="Times New Roman" w:cs="Times New Roman"/>
          <w:sz w:val="24"/>
          <w:szCs w:val="24"/>
        </w:rPr>
        <w:t xml:space="preserve"> (ЗЕС)</w:t>
      </w:r>
      <w:r w:rsidRPr="00FD4C39">
        <w:rPr>
          <w:rFonts w:ascii="Times New Roman" w:eastAsia="Calibri" w:hAnsi="Times New Roman" w:cs="Times New Roman"/>
          <w:sz w:val="24"/>
          <w:szCs w:val="24"/>
        </w:rPr>
        <w:t>, с които е транспонир</w:t>
      </w:r>
      <w:r w:rsidR="00CB75FC" w:rsidRPr="00FD4C39">
        <w:rPr>
          <w:rFonts w:ascii="Times New Roman" w:eastAsia="Calibri" w:hAnsi="Times New Roman" w:cs="Times New Roman"/>
          <w:sz w:val="24"/>
          <w:szCs w:val="24"/>
        </w:rPr>
        <w:t>а</w:t>
      </w:r>
      <w:r w:rsidRPr="00FD4C39">
        <w:rPr>
          <w:rFonts w:ascii="Times New Roman" w:eastAsia="Calibri" w:hAnsi="Times New Roman" w:cs="Times New Roman"/>
          <w:sz w:val="24"/>
          <w:szCs w:val="24"/>
        </w:rPr>
        <w:t>на директивата с аргументи, че тези текстове</w:t>
      </w:r>
      <w:r w:rsidR="0000092F" w:rsidRPr="00FD4C39">
        <w:rPr>
          <w:rFonts w:ascii="Times New Roman" w:eastAsia="Calibri" w:hAnsi="Times New Roman" w:cs="Times New Roman"/>
          <w:b/>
          <w:sz w:val="24"/>
          <w:szCs w:val="24"/>
        </w:rPr>
        <w:t xml:space="preserve"> </w:t>
      </w:r>
      <w:r w:rsidR="0000092F" w:rsidRPr="00FD4C39">
        <w:rPr>
          <w:rFonts w:ascii="Times New Roman" w:eastAsia="Calibri" w:hAnsi="Times New Roman" w:cs="Times New Roman"/>
          <w:sz w:val="24"/>
          <w:szCs w:val="24"/>
        </w:rPr>
        <w:t>противоречат на</w:t>
      </w:r>
      <w:r w:rsidR="00884B97">
        <w:rPr>
          <w:rFonts w:ascii="Times New Roman" w:eastAsia="Calibri" w:hAnsi="Times New Roman" w:cs="Times New Roman"/>
          <w:sz w:val="24"/>
          <w:szCs w:val="24"/>
        </w:rPr>
        <w:t xml:space="preserve"> чл. </w:t>
      </w:r>
      <w:r w:rsidR="0000092F" w:rsidRPr="00FD4C39">
        <w:rPr>
          <w:rFonts w:ascii="Times New Roman" w:eastAsia="Calibri" w:hAnsi="Times New Roman" w:cs="Times New Roman"/>
          <w:sz w:val="24"/>
          <w:szCs w:val="24"/>
        </w:rPr>
        <w:t>5,</w:t>
      </w:r>
      <w:r w:rsidR="00884B97">
        <w:rPr>
          <w:rFonts w:ascii="Times New Roman" w:eastAsia="Calibri" w:hAnsi="Times New Roman" w:cs="Times New Roman"/>
          <w:sz w:val="24"/>
          <w:szCs w:val="24"/>
        </w:rPr>
        <w:t xml:space="preserve"> ал. </w:t>
      </w:r>
      <w:r w:rsidR="0000092F" w:rsidRPr="00FD4C39">
        <w:rPr>
          <w:rFonts w:ascii="Times New Roman" w:eastAsia="Calibri" w:hAnsi="Times New Roman" w:cs="Times New Roman"/>
          <w:sz w:val="24"/>
          <w:szCs w:val="24"/>
        </w:rPr>
        <w:t>4,</w:t>
      </w:r>
      <w:r w:rsidR="00884B97">
        <w:rPr>
          <w:rFonts w:ascii="Times New Roman" w:eastAsia="Calibri" w:hAnsi="Times New Roman" w:cs="Times New Roman"/>
          <w:sz w:val="24"/>
          <w:szCs w:val="24"/>
        </w:rPr>
        <w:t xml:space="preserve"> чл. </w:t>
      </w:r>
      <w:r w:rsidR="0000092F" w:rsidRPr="00FD4C39">
        <w:rPr>
          <w:rFonts w:ascii="Times New Roman" w:eastAsia="Calibri" w:hAnsi="Times New Roman" w:cs="Times New Roman"/>
          <w:sz w:val="24"/>
          <w:szCs w:val="24"/>
        </w:rPr>
        <w:t>32,</w:t>
      </w:r>
      <w:r w:rsidR="00884B97">
        <w:rPr>
          <w:rFonts w:ascii="Times New Roman" w:eastAsia="Calibri" w:hAnsi="Times New Roman" w:cs="Times New Roman"/>
          <w:sz w:val="24"/>
          <w:szCs w:val="24"/>
        </w:rPr>
        <w:t xml:space="preserve"> ал. </w:t>
      </w:r>
      <w:r w:rsidR="0000092F"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чл. </w:t>
      </w:r>
      <w:r w:rsidR="0000092F" w:rsidRPr="00FD4C39">
        <w:rPr>
          <w:rFonts w:ascii="Times New Roman" w:eastAsia="Calibri" w:hAnsi="Times New Roman" w:cs="Times New Roman"/>
          <w:sz w:val="24"/>
          <w:szCs w:val="24"/>
        </w:rPr>
        <w:t>34 от Конституцията на Р</w:t>
      </w:r>
      <w:r w:rsidR="009301EA" w:rsidRPr="00FD4C39">
        <w:rPr>
          <w:rFonts w:ascii="Times New Roman" w:eastAsia="Calibri" w:hAnsi="Times New Roman" w:cs="Times New Roman"/>
          <w:sz w:val="24"/>
          <w:szCs w:val="24"/>
        </w:rPr>
        <w:t>епублика</w:t>
      </w:r>
      <w:r w:rsidR="0000092F" w:rsidRPr="00FD4C39">
        <w:rPr>
          <w:rFonts w:ascii="Times New Roman" w:eastAsia="Calibri" w:hAnsi="Times New Roman" w:cs="Times New Roman"/>
          <w:sz w:val="24"/>
          <w:szCs w:val="24"/>
        </w:rPr>
        <w:t xml:space="preserve"> България.</w:t>
      </w:r>
      <w:r w:rsidR="00194B1D" w:rsidRPr="00FD4C39">
        <w:rPr>
          <w:rFonts w:ascii="Times New Roman" w:eastAsia="Calibri" w:hAnsi="Times New Roman" w:cs="Times New Roman"/>
          <w:b/>
          <w:sz w:val="24"/>
          <w:szCs w:val="24"/>
        </w:rPr>
        <w:t xml:space="preserve"> </w:t>
      </w:r>
      <w:r w:rsidR="009A55A8" w:rsidRPr="00FD4C39">
        <w:rPr>
          <w:rFonts w:ascii="Times New Roman" w:eastAsia="Calibri" w:hAnsi="Times New Roman" w:cs="Times New Roman"/>
          <w:sz w:val="24"/>
          <w:szCs w:val="24"/>
        </w:rPr>
        <w:t xml:space="preserve">Независимо от образуваното конституционно дело и произнасянето на Съда на ЕС, </w:t>
      </w:r>
      <w:r w:rsidR="00FE7018" w:rsidRPr="00FD4C39">
        <w:rPr>
          <w:rFonts w:ascii="Times New Roman" w:eastAsia="Calibri" w:hAnsi="Times New Roman" w:cs="Times New Roman"/>
          <w:sz w:val="24"/>
          <w:szCs w:val="24"/>
        </w:rPr>
        <w:t>КЗЛД</w:t>
      </w:r>
      <w:r w:rsidR="00B84864" w:rsidRPr="00FD4C39">
        <w:rPr>
          <w:rFonts w:ascii="Times New Roman" w:eastAsia="Calibri" w:hAnsi="Times New Roman" w:cs="Times New Roman"/>
          <w:sz w:val="24"/>
          <w:szCs w:val="24"/>
        </w:rPr>
        <w:t xml:space="preserve"> </w:t>
      </w:r>
      <w:r w:rsidR="00417472">
        <w:rPr>
          <w:rFonts w:ascii="Times New Roman" w:eastAsia="Calibri" w:hAnsi="Times New Roman" w:cs="Times New Roman"/>
          <w:sz w:val="24"/>
          <w:szCs w:val="24"/>
        </w:rPr>
        <w:t>счита</w:t>
      </w:r>
      <w:r w:rsidR="009A55A8" w:rsidRPr="00FD4C39">
        <w:rPr>
          <w:rFonts w:ascii="Times New Roman" w:eastAsia="Calibri" w:hAnsi="Times New Roman" w:cs="Times New Roman"/>
          <w:sz w:val="24"/>
          <w:szCs w:val="24"/>
        </w:rPr>
        <w:t xml:space="preserve">, че задълженията, които </w:t>
      </w:r>
      <w:r w:rsidR="003D53E3" w:rsidRPr="00FD4C39">
        <w:rPr>
          <w:rFonts w:ascii="Times New Roman" w:eastAsia="Calibri" w:hAnsi="Times New Roman" w:cs="Times New Roman"/>
          <w:sz w:val="24"/>
          <w:szCs w:val="24"/>
        </w:rPr>
        <w:t>институцията</w:t>
      </w:r>
      <w:r w:rsidR="009A55A8" w:rsidRPr="00FD4C39">
        <w:rPr>
          <w:rFonts w:ascii="Times New Roman" w:eastAsia="Calibri" w:hAnsi="Times New Roman" w:cs="Times New Roman"/>
          <w:sz w:val="24"/>
          <w:szCs w:val="24"/>
        </w:rPr>
        <w:t xml:space="preserve"> има в качеството си на наблюдаващ орган относно сигурността</w:t>
      </w:r>
      <w:r w:rsidR="003D53E3" w:rsidRPr="00FD4C39">
        <w:rPr>
          <w:rFonts w:ascii="Times New Roman" w:eastAsia="Calibri" w:hAnsi="Times New Roman" w:cs="Times New Roman"/>
          <w:sz w:val="24"/>
          <w:szCs w:val="24"/>
        </w:rPr>
        <w:t>,</w:t>
      </w:r>
      <w:r w:rsidR="009A55A8" w:rsidRPr="00FD4C39">
        <w:rPr>
          <w:rFonts w:ascii="Times New Roman" w:eastAsia="Calibri" w:hAnsi="Times New Roman" w:cs="Times New Roman"/>
          <w:sz w:val="24"/>
          <w:szCs w:val="24"/>
        </w:rPr>
        <w:t xml:space="preserve"> налагат тя да изпълни ангажимента си </w:t>
      </w:r>
      <w:r w:rsidR="003D53E3" w:rsidRPr="00FD4C39">
        <w:rPr>
          <w:rFonts w:ascii="Times New Roman" w:eastAsia="Calibri" w:hAnsi="Times New Roman" w:cs="Times New Roman"/>
          <w:sz w:val="24"/>
          <w:szCs w:val="24"/>
        </w:rPr>
        <w:t xml:space="preserve">по </w:t>
      </w:r>
      <w:r w:rsidR="006F1211" w:rsidRPr="00FD4C39">
        <w:rPr>
          <w:rFonts w:ascii="Times New Roman" w:eastAsia="Calibri" w:hAnsi="Times New Roman" w:cs="Times New Roman"/>
          <w:sz w:val="24"/>
          <w:szCs w:val="24"/>
        </w:rPr>
        <w:t>закон</w:t>
      </w:r>
      <w:r w:rsidR="003D53E3" w:rsidRPr="00FD4C39">
        <w:rPr>
          <w:rFonts w:ascii="Times New Roman" w:eastAsia="Calibri" w:hAnsi="Times New Roman" w:cs="Times New Roman"/>
          <w:sz w:val="24"/>
          <w:szCs w:val="24"/>
        </w:rPr>
        <w:t xml:space="preserve"> </w:t>
      </w:r>
      <w:r w:rsidR="009A55A8" w:rsidRPr="00FD4C39">
        <w:rPr>
          <w:rFonts w:ascii="Times New Roman" w:eastAsia="Calibri" w:hAnsi="Times New Roman" w:cs="Times New Roman"/>
          <w:sz w:val="24"/>
          <w:szCs w:val="24"/>
        </w:rPr>
        <w:t xml:space="preserve">за предоставяне на обобщена статистическа информация относно съхраняването на </w:t>
      </w:r>
      <w:proofErr w:type="spellStart"/>
      <w:r w:rsidR="009A55A8" w:rsidRPr="00FD4C39">
        <w:rPr>
          <w:rFonts w:ascii="Times New Roman" w:eastAsia="Calibri" w:hAnsi="Times New Roman" w:cs="Times New Roman"/>
          <w:sz w:val="24"/>
          <w:szCs w:val="24"/>
        </w:rPr>
        <w:t>трафични</w:t>
      </w:r>
      <w:proofErr w:type="spellEnd"/>
      <w:r w:rsidR="009A55A8" w:rsidRPr="00FD4C39">
        <w:rPr>
          <w:rFonts w:ascii="Times New Roman" w:eastAsia="Calibri" w:hAnsi="Times New Roman" w:cs="Times New Roman"/>
          <w:sz w:val="24"/>
          <w:szCs w:val="24"/>
        </w:rPr>
        <w:t xml:space="preserve"> данни и достъпа до тях. Във връзка с това и в изпълнение на</w:t>
      </w:r>
      <w:r w:rsidR="00884B97">
        <w:rPr>
          <w:rFonts w:ascii="Times New Roman" w:eastAsia="Calibri" w:hAnsi="Times New Roman" w:cs="Times New Roman"/>
          <w:sz w:val="24"/>
          <w:szCs w:val="24"/>
        </w:rPr>
        <w:t xml:space="preserve"> чл. </w:t>
      </w:r>
      <w:r w:rsidR="00BE6577" w:rsidRPr="00FD4C39">
        <w:rPr>
          <w:rFonts w:ascii="Times New Roman" w:eastAsia="Calibri" w:hAnsi="Times New Roman" w:cs="Times New Roman"/>
          <w:sz w:val="24"/>
          <w:szCs w:val="24"/>
        </w:rPr>
        <w:t>261а,</w:t>
      </w:r>
      <w:r w:rsidR="00884B97">
        <w:rPr>
          <w:rFonts w:ascii="Times New Roman" w:eastAsia="Calibri" w:hAnsi="Times New Roman" w:cs="Times New Roman"/>
          <w:sz w:val="24"/>
          <w:szCs w:val="24"/>
        </w:rPr>
        <w:t xml:space="preserve"> ал. </w:t>
      </w:r>
      <w:r w:rsidR="00BE6577" w:rsidRPr="00FD4C39">
        <w:rPr>
          <w:rFonts w:ascii="Times New Roman" w:eastAsia="Calibri" w:hAnsi="Times New Roman" w:cs="Times New Roman"/>
          <w:sz w:val="24"/>
          <w:szCs w:val="24"/>
        </w:rPr>
        <w:t>5</w:t>
      </w:r>
      <w:r w:rsidR="00977CF7" w:rsidRPr="00FD4C39">
        <w:rPr>
          <w:rFonts w:ascii="Times New Roman" w:eastAsia="Calibri" w:hAnsi="Times New Roman" w:cs="Times New Roman"/>
          <w:sz w:val="24"/>
          <w:szCs w:val="24"/>
        </w:rPr>
        <w:t xml:space="preserve"> от ЗЕС</w:t>
      </w:r>
      <w:r w:rsidR="00576ED6" w:rsidRPr="00FD4C39">
        <w:rPr>
          <w:rFonts w:ascii="Times New Roman" w:eastAsia="Calibri" w:hAnsi="Times New Roman" w:cs="Times New Roman"/>
          <w:sz w:val="24"/>
          <w:szCs w:val="24"/>
        </w:rPr>
        <w:t>,</w:t>
      </w:r>
      <w:r w:rsidR="00977CF7"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9A55A8" w:rsidRPr="00FD4C39">
        <w:rPr>
          <w:rFonts w:ascii="Times New Roman" w:eastAsia="Calibri" w:hAnsi="Times New Roman" w:cs="Times New Roman"/>
          <w:sz w:val="24"/>
          <w:szCs w:val="24"/>
        </w:rPr>
        <w:t xml:space="preserve"> </w:t>
      </w:r>
      <w:r w:rsidR="00856360" w:rsidRPr="00FD4C39">
        <w:rPr>
          <w:rFonts w:ascii="Times New Roman" w:eastAsia="Calibri" w:hAnsi="Times New Roman" w:cs="Times New Roman"/>
          <w:sz w:val="24"/>
          <w:szCs w:val="24"/>
        </w:rPr>
        <w:t>изготв</w:t>
      </w:r>
      <w:r w:rsidR="00417472">
        <w:rPr>
          <w:rFonts w:ascii="Times New Roman" w:eastAsia="Calibri" w:hAnsi="Times New Roman" w:cs="Times New Roman"/>
          <w:sz w:val="24"/>
          <w:szCs w:val="24"/>
        </w:rPr>
        <w:t>я</w:t>
      </w:r>
      <w:r w:rsidR="00856360" w:rsidRPr="00FD4C39">
        <w:rPr>
          <w:rFonts w:ascii="Times New Roman" w:eastAsia="Calibri" w:hAnsi="Times New Roman" w:cs="Times New Roman"/>
          <w:sz w:val="24"/>
          <w:szCs w:val="24"/>
        </w:rPr>
        <w:t xml:space="preserve"> </w:t>
      </w:r>
      <w:r w:rsidR="00417472">
        <w:rPr>
          <w:rFonts w:ascii="Times New Roman" w:eastAsia="Calibri" w:hAnsi="Times New Roman" w:cs="Times New Roman"/>
          <w:sz w:val="24"/>
          <w:szCs w:val="24"/>
        </w:rPr>
        <w:t>и предоставя</w:t>
      </w:r>
      <w:r w:rsidR="00A203BA" w:rsidRPr="00FD4C39">
        <w:rPr>
          <w:rFonts w:ascii="Times New Roman" w:eastAsia="Calibri" w:hAnsi="Times New Roman" w:cs="Times New Roman"/>
          <w:sz w:val="24"/>
          <w:szCs w:val="24"/>
        </w:rPr>
        <w:t xml:space="preserve"> </w:t>
      </w:r>
      <w:r w:rsidR="00856360" w:rsidRPr="00FD4C39">
        <w:rPr>
          <w:rFonts w:ascii="Times New Roman" w:eastAsia="Calibri" w:hAnsi="Times New Roman" w:cs="Times New Roman"/>
          <w:sz w:val="24"/>
          <w:szCs w:val="24"/>
        </w:rPr>
        <w:t>ежегодния си анализ в законовия срок</w:t>
      </w:r>
      <w:r w:rsidR="007853C0" w:rsidRPr="00FD4C39">
        <w:rPr>
          <w:rFonts w:ascii="Times New Roman" w:eastAsia="Calibri" w:hAnsi="Times New Roman" w:cs="Times New Roman"/>
          <w:sz w:val="24"/>
          <w:szCs w:val="24"/>
        </w:rPr>
        <w:t xml:space="preserve"> (</w:t>
      </w:r>
      <w:r w:rsidR="00856360" w:rsidRPr="00FD4C39">
        <w:rPr>
          <w:rFonts w:ascii="Times New Roman" w:eastAsia="Calibri" w:hAnsi="Times New Roman" w:cs="Times New Roman"/>
          <w:sz w:val="24"/>
          <w:szCs w:val="24"/>
        </w:rPr>
        <w:t>31 май</w:t>
      </w:r>
      <w:r w:rsidR="007853C0" w:rsidRPr="00FD4C39">
        <w:rPr>
          <w:rFonts w:ascii="Times New Roman" w:eastAsia="Calibri" w:hAnsi="Times New Roman" w:cs="Times New Roman"/>
          <w:sz w:val="24"/>
          <w:szCs w:val="24"/>
        </w:rPr>
        <w:t>)</w:t>
      </w:r>
      <w:r w:rsidR="00955C09" w:rsidRPr="00FD4C39">
        <w:rPr>
          <w:rFonts w:ascii="Times New Roman" w:eastAsia="Calibri" w:hAnsi="Times New Roman" w:cs="Times New Roman"/>
          <w:sz w:val="24"/>
          <w:szCs w:val="24"/>
        </w:rPr>
        <w:t xml:space="preserve"> </w:t>
      </w:r>
      <w:r w:rsidR="00856360" w:rsidRPr="00FD4C39">
        <w:rPr>
          <w:rFonts w:ascii="Times New Roman" w:eastAsia="Calibri" w:hAnsi="Times New Roman" w:cs="Times New Roman"/>
          <w:sz w:val="24"/>
          <w:szCs w:val="24"/>
        </w:rPr>
        <w:t xml:space="preserve">на вниманието на Народното събрание и Европейската комисия. </w:t>
      </w:r>
    </w:p>
    <w:p w:rsidR="008A0591" w:rsidRPr="00FD4C39" w:rsidRDefault="00856360" w:rsidP="00131BC2">
      <w:pPr>
        <w:widowControl w:val="0"/>
        <w:spacing w:after="0" w:line="390" w:lineRule="exact"/>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анализа</w:t>
      </w:r>
      <w:r w:rsidR="008A0591" w:rsidRPr="00FD4C39">
        <w:rPr>
          <w:rFonts w:ascii="Times New Roman" w:eastAsia="Calibri" w:hAnsi="Times New Roman" w:cs="Times New Roman"/>
          <w:sz w:val="24"/>
          <w:szCs w:val="24"/>
        </w:rPr>
        <w:t xml:space="preserve"> си </w:t>
      </w:r>
      <w:r w:rsidR="00FE7018" w:rsidRPr="00FD4C39">
        <w:rPr>
          <w:rFonts w:ascii="Times New Roman" w:eastAsia="Calibri" w:hAnsi="Times New Roman" w:cs="Times New Roman"/>
          <w:sz w:val="24"/>
          <w:szCs w:val="24"/>
        </w:rPr>
        <w:t>КЗЛД</w:t>
      </w:r>
      <w:r w:rsidR="00EF364C"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констатира</w:t>
      </w:r>
      <w:r w:rsidR="004767D3" w:rsidRPr="00FD4C39">
        <w:rPr>
          <w:rFonts w:ascii="Times New Roman" w:eastAsia="Calibri" w:hAnsi="Times New Roman" w:cs="Times New Roman"/>
          <w:sz w:val="24"/>
          <w:szCs w:val="24"/>
        </w:rPr>
        <w:t xml:space="preserve">, </w:t>
      </w:r>
      <w:r w:rsidR="00EE3549" w:rsidRPr="00FD4C39">
        <w:rPr>
          <w:rFonts w:ascii="Times New Roman" w:eastAsia="Calibri" w:hAnsi="Times New Roman" w:cs="Times New Roman"/>
          <w:sz w:val="24"/>
          <w:szCs w:val="24"/>
        </w:rPr>
        <w:t>че</w:t>
      </w:r>
      <w:r w:rsidR="00BE0A52" w:rsidRPr="00FD4C39">
        <w:rPr>
          <w:rFonts w:ascii="Times New Roman" w:hAnsi="Times New Roman" w:cs="Times New Roman"/>
          <w:sz w:val="24"/>
          <w:szCs w:val="24"/>
        </w:rPr>
        <w:t xml:space="preserve"> </w:t>
      </w:r>
      <w:r w:rsidR="00417472">
        <w:rPr>
          <w:rFonts w:ascii="Times New Roman" w:eastAsia="Calibri" w:hAnsi="Times New Roman" w:cs="Times New Roman"/>
          <w:sz w:val="24"/>
          <w:szCs w:val="24"/>
        </w:rPr>
        <w:t xml:space="preserve">въпреки </w:t>
      </w:r>
      <w:r w:rsidR="008A0591" w:rsidRPr="00FD4C39">
        <w:rPr>
          <w:rFonts w:ascii="Times New Roman" w:eastAsia="Calibri" w:hAnsi="Times New Roman" w:cs="Times New Roman"/>
          <w:sz w:val="24"/>
          <w:szCs w:val="24"/>
        </w:rPr>
        <w:t xml:space="preserve">че </w:t>
      </w:r>
      <w:r w:rsidR="00417472">
        <w:rPr>
          <w:rFonts w:ascii="Times New Roman" w:eastAsia="Calibri" w:hAnsi="Times New Roman" w:cs="Times New Roman"/>
          <w:sz w:val="24"/>
          <w:szCs w:val="24"/>
        </w:rPr>
        <w:t>успява</w:t>
      </w:r>
      <w:r w:rsidR="008A0591" w:rsidRPr="00FD4C39">
        <w:rPr>
          <w:rFonts w:ascii="Times New Roman" w:eastAsia="Calibri" w:hAnsi="Times New Roman" w:cs="Times New Roman"/>
          <w:sz w:val="24"/>
          <w:szCs w:val="24"/>
        </w:rPr>
        <w:t xml:space="preserve"> да наложи тенденция за съблюдаване на дадените от нея указания, вкл. към някои от </w:t>
      </w:r>
      <w:r w:rsidR="002509B8" w:rsidRPr="00FD4C39">
        <w:rPr>
          <w:rFonts w:ascii="Times New Roman" w:eastAsia="Calibri" w:hAnsi="Times New Roman" w:cs="Times New Roman"/>
          <w:sz w:val="24"/>
          <w:szCs w:val="24"/>
        </w:rPr>
        <w:t>отправените</w:t>
      </w:r>
      <w:r w:rsidR="008A0591" w:rsidRPr="00FD4C39">
        <w:rPr>
          <w:rFonts w:ascii="Times New Roman" w:eastAsia="Calibri" w:hAnsi="Times New Roman" w:cs="Times New Roman"/>
          <w:sz w:val="24"/>
          <w:szCs w:val="24"/>
        </w:rPr>
        <w:t xml:space="preserve"> препоръки, </w:t>
      </w:r>
      <w:r w:rsidR="00D55E99" w:rsidRPr="00FD4C39">
        <w:rPr>
          <w:rFonts w:ascii="Times New Roman" w:eastAsia="Calibri" w:hAnsi="Times New Roman" w:cs="Times New Roman"/>
          <w:sz w:val="24"/>
          <w:szCs w:val="24"/>
        </w:rPr>
        <w:t xml:space="preserve">е необходима </w:t>
      </w:r>
      <w:r w:rsidR="008A0591" w:rsidRPr="00FD4C39">
        <w:rPr>
          <w:rFonts w:ascii="Times New Roman" w:eastAsia="Calibri" w:hAnsi="Times New Roman" w:cs="Times New Roman"/>
          <w:sz w:val="24"/>
          <w:szCs w:val="24"/>
        </w:rPr>
        <w:t>допълнителна разяснителна дейност на широка основа сред всички предприятия с цел унифицирано тълкуване и прилагане на ЗЕС.</w:t>
      </w:r>
    </w:p>
    <w:p w:rsidR="00EE3549" w:rsidRPr="00FD4C39" w:rsidRDefault="00D55E99" w:rsidP="00131BC2">
      <w:pPr>
        <w:widowControl w:val="0"/>
        <w:spacing w:after="0" w:line="390" w:lineRule="exact"/>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В анализа, а впоследствие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и в становището си до Конституционния съд</w:t>
      </w:r>
      <w:r w:rsidR="003C1DC4"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w:t>
      </w:r>
      <w:r w:rsidR="00417472">
        <w:rPr>
          <w:rFonts w:ascii="Times New Roman" w:eastAsia="Calibri" w:hAnsi="Times New Roman" w:cs="Times New Roman"/>
          <w:sz w:val="24"/>
          <w:szCs w:val="24"/>
        </w:rPr>
        <w:t>изразява</w:t>
      </w:r>
      <w:r w:rsidRPr="00FD4C39">
        <w:rPr>
          <w:rFonts w:ascii="Times New Roman" w:eastAsia="Calibri" w:hAnsi="Times New Roman" w:cs="Times New Roman"/>
          <w:sz w:val="24"/>
          <w:szCs w:val="24"/>
        </w:rPr>
        <w:t xml:space="preserve"> разбирането, че от</w:t>
      </w:r>
      <w:r w:rsidR="00EE3549" w:rsidRPr="00FD4C39">
        <w:rPr>
          <w:rFonts w:ascii="Times New Roman" w:eastAsia="Calibri" w:hAnsi="Times New Roman" w:cs="Times New Roman"/>
          <w:sz w:val="24"/>
          <w:szCs w:val="24"/>
        </w:rPr>
        <w:t xml:space="preserve"> гледна точ</w:t>
      </w:r>
      <w:r w:rsidR="00417472">
        <w:rPr>
          <w:rFonts w:ascii="Times New Roman" w:eastAsia="Calibri" w:hAnsi="Times New Roman" w:cs="Times New Roman"/>
          <w:sz w:val="24"/>
          <w:szCs w:val="24"/>
        </w:rPr>
        <w:t>ка на защитата на личните данни</w:t>
      </w:r>
      <w:r w:rsidR="00EE3549" w:rsidRPr="00FD4C39">
        <w:rPr>
          <w:rFonts w:ascii="Times New Roman" w:eastAsia="Calibri" w:hAnsi="Times New Roman" w:cs="Times New Roman"/>
          <w:sz w:val="24"/>
          <w:szCs w:val="24"/>
        </w:rPr>
        <w:t xml:space="preserve"> настоящата редакция на ЗЕС създава предпоставк</w:t>
      </w:r>
      <w:r w:rsidR="00BE0A52" w:rsidRPr="00FD4C39">
        <w:rPr>
          <w:rFonts w:ascii="Times New Roman" w:eastAsia="Calibri" w:hAnsi="Times New Roman" w:cs="Times New Roman"/>
          <w:sz w:val="24"/>
          <w:szCs w:val="24"/>
        </w:rPr>
        <w:t>и за нарушаване на принципа на пропорционалност в две направления:</w:t>
      </w:r>
      <w:r w:rsidR="00EE3549" w:rsidRPr="00FD4C39">
        <w:rPr>
          <w:rFonts w:ascii="Times New Roman" w:eastAsia="Calibri" w:hAnsi="Times New Roman" w:cs="Times New Roman"/>
          <w:sz w:val="24"/>
          <w:szCs w:val="24"/>
        </w:rPr>
        <w:t xml:space="preserve"> </w:t>
      </w:r>
    </w:p>
    <w:p w:rsidR="00EE3549" w:rsidRPr="00FD4C39" w:rsidRDefault="00130FF4" w:rsidP="00131BC2">
      <w:pPr>
        <w:widowControl w:val="0"/>
        <w:spacing w:after="0" w:line="390" w:lineRule="exact"/>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1. </w:t>
      </w:r>
      <w:r w:rsidR="00EE3549" w:rsidRPr="00FD4C39">
        <w:rPr>
          <w:rFonts w:ascii="Times New Roman" w:eastAsia="Calibri" w:hAnsi="Times New Roman" w:cs="Times New Roman"/>
          <w:sz w:val="24"/>
          <w:szCs w:val="24"/>
        </w:rPr>
        <w:t xml:space="preserve">Фактът, че </w:t>
      </w:r>
      <w:proofErr w:type="spellStart"/>
      <w:r w:rsidR="00EE3549" w:rsidRPr="00FD4C39">
        <w:rPr>
          <w:rFonts w:ascii="Times New Roman" w:eastAsia="Calibri" w:hAnsi="Times New Roman" w:cs="Times New Roman"/>
          <w:sz w:val="24"/>
          <w:szCs w:val="24"/>
        </w:rPr>
        <w:t>оправомощените</w:t>
      </w:r>
      <w:proofErr w:type="spellEnd"/>
      <w:r w:rsidR="00EE3549" w:rsidRPr="00FD4C39">
        <w:rPr>
          <w:rFonts w:ascii="Times New Roman" w:eastAsia="Calibri" w:hAnsi="Times New Roman" w:cs="Times New Roman"/>
          <w:sz w:val="24"/>
          <w:szCs w:val="24"/>
        </w:rPr>
        <w:t xml:space="preserve"> по</w:t>
      </w:r>
      <w:r w:rsidR="00884B97">
        <w:rPr>
          <w:rFonts w:ascii="Times New Roman" w:eastAsia="Calibri" w:hAnsi="Times New Roman" w:cs="Times New Roman"/>
          <w:sz w:val="24"/>
          <w:szCs w:val="24"/>
        </w:rPr>
        <w:t xml:space="preserve"> чл. </w:t>
      </w:r>
      <w:r w:rsidR="00BE0A52" w:rsidRPr="00FD4C39">
        <w:rPr>
          <w:rFonts w:ascii="Times New Roman" w:eastAsia="Calibri" w:hAnsi="Times New Roman" w:cs="Times New Roman"/>
          <w:color w:val="000000" w:themeColor="text1"/>
          <w:sz w:val="24"/>
          <w:szCs w:val="24"/>
        </w:rPr>
        <w:t>250</w:t>
      </w:r>
      <w:r w:rsidR="00EE3549" w:rsidRPr="00FD4C39">
        <w:rPr>
          <w:rFonts w:ascii="Times New Roman" w:eastAsia="Calibri" w:hAnsi="Times New Roman" w:cs="Times New Roman"/>
          <w:color w:val="000000" w:themeColor="text1"/>
          <w:sz w:val="24"/>
          <w:szCs w:val="24"/>
        </w:rPr>
        <w:t>б,</w:t>
      </w:r>
      <w:r w:rsidR="00884B97">
        <w:rPr>
          <w:rFonts w:ascii="Times New Roman" w:eastAsia="Calibri" w:hAnsi="Times New Roman" w:cs="Times New Roman"/>
          <w:color w:val="000000" w:themeColor="text1"/>
          <w:sz w:val="24"/>
          <w:szCs w:val="24"/>
        </w:rPr>
        <w:t xml:space="preserve"> ал. </w:t>
      </w:r>
      <w:r w:rsidR="00BE0A52" w:rsidRPr="00FD4C39">
        <w:rPr>
          <w:rFonts w:ascii="Times New Roman" w:eastAsia="Calibri" w:hAnsi="Times New Roman" w:cs="Times New Roman"/>
          <w:sz w:val="24"/>
          <w:szCs w:val="24"/>
        </w:rPr>
        <w:t>1 и</w:t>
      </w:r>
      <w:r w:rsidR="00884B97">
        <w:rPr>
          <w:rFonts w:ascii="Times New Roman" w:eastAsia="Calibri" w:hAnsi="Times New Roman" w:cs="Times New Roman"/>
          <w:sz w:val="24"/>
          <w:szCs w:val="24"/>
        </w:rPr>
        <w:t xml:space="preserve"> чл. </w:t>
      </w:r>
      <w:r w:rsidR="00BE0A52" w:rsidRPr="00FD4C39">
        <w:rPr>
          <w:rFonts w:ascii="Times New Roman" w:eastAsia="Calibri" w:hAnsi="Times New Roman" w:cs="Times New Roman"/>
          <w:sz w:val="24"/>
          <w:szCs w:val="24"/>
        </w:rPr>
        <w:t>250в,</w:t>
      </w:r>
      <w:r w:rsidR="00884B97">
        <w:rPr>
          <w:rFonts w:ascii="Times New Roman" w:eastAsia="Calibri" w:hAnsi="Times New Roman" w:cs="Times New Roman"/>
          <w:sz w:val="24"/>
          <w:szCs w:val="24"/>
        </w:rPr>
        <w:t xml:space="preserve"> ал. </w:t>
      </w:r>
      <w:r w:rsidR="00BE0A52" w:rsidRPr="00FD4C39">
        <w:rPr>
          <w:rFonts w:ascii="Times New Roman" w:eastAsia="Calibri" w:hAnsi="Times New Roman" w:cs="Times New Roman"/>
          <w:sz w:val="24"/>
          <w:szCs w:val="24"/>
        </w:rPr>
        <w:t xml:space="preserve">4 от ЗЕС органи не отправят никакви искания за достъп до данни, свързани с интернет телефония, интернет достъп и интернет </w:t>
      </w:r>
      <w:r w:rsidR="003219F7" w:rsidRPr="00FD4C39">
        <w:rPr>
          <w:rFonts w:ascii="Times New Roman" w:eastAsia="Calibri" w:hAnsi="Times New Roman" w:cs="Times New Roman"/>
          <w:sz w:val="24"/>
          <w:szCs w:val="24"/>
        </w:rPr>
        <w:t>имейл</w:t>
      </w:r>
      <w:r w:rsidR="00EE3549" w:rsidRPr="00FD4C39">
        <w:rPr>
          <w:rFonts w:ascii="Times New Roman" w:eastAsia="Calibri" w:hAnsi="Times New Roman" w:cs="Times New Roman"/>
          <w:sz w:val="24"/>
          <w:szCs w:val="24"/>
        </w:rPr>
        <w:t xml:space="preserve"> или това става по-скоро по изключение, поставя под въпрос необходимостта и целесъобразността от съхраняване на този вид </w:t>
      </w:r>
      <w:proofErr w:type="spellStart"/>
      <w:r w:rsidR="00EE3549" w:rsidRPr="00FD4C39">
        <w:rPr>
          <w:rFonts w:ascii="Times New Roman" w:eastAsia="Calibri" w:hAnsi="Times New Roman" w:cs="Times New Roman"/>
          <w:sz w:val="24"/>
          <w:szCs w:val="24"/>
        </w:rPr>
        <w:t>трафични</w:t>
      </w:r>
      <w:proofErr w:type="spellEnd"/>
      <w:r w:rsidR="00EE3549" w:rsidRPr="00FD4C39">
        <w:rPr>
          <w:rFonts w:ascii="Times New Roman" w:eastAsia="Calibri" w:hAnsi="Times New Roman" w:cs="Times New Roman"/>
          <w:sz w:val="24"/>
          <w:szCs w:val="24"/>
        </w:rPr>
        <w:t xml:space="preserve"> данни, които касаят неограничен кръг български граждани</w:t>
      </w:r>
      <w:r w:rsidR="003219F7" w:rsidRPr="00FD4C39">
        <w:rPr>
          <w:rFonts w:ascii="Times New Roman" w:eastAsia="Calibri" w:hAnsi="Times New Roman" w:cs="Times New Roman"/>
          <w:sz w:val="24"/>
          <w:szCs w:val="24"/>
        </w:rPr>
        <w:t>,</w:t>
      </w:r>
      <w:r w:rsidR="00EE3549" w:rsidRPr="00FD4C39">
        <w:rPr>
          <w:rFonts w:ascii="Times New Roman" w:eastAsia="Calibri" w:hAnsi="Times New Roman" w:cs="Times New Roman"/>
          <w:sz w:val="24"/>
          <w:szCs w:val="24"/>
        </w:rPr>
        <w:t xml:space="preserve"> ползващи интернет като средство за комуникация или средство за ин</w:t>
      </w:r>
      <w:r w:rsidR="00BE0A52" w:rsidRPr="00FD4C39">
        <w:rPr>
          <w:rFonts w:ascii="Times New Roman" w:eastAsia="Calibri" w:hAnsi="Times New Roman" w:cs="Times New Roman"/>
          <w:sz w:val="24"/>
          <w:szCs w:val="24"/>
        </w:rPr>
        <w:t>формация.</w:t>
      </w:r>
    </w:p>
    <w:p w:rsidR="00EE3549" w:rsidRPr="00FD4C39" w:rsidRDefault="00130FF4" w:rsidP="00131BC2">
      <w:pPr>
        <w:widowControl w:val="0"/>
        <w:spacing w:after="0" w:line="390" w:lineRule="exact"/>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2. </w:t>
      </w:r>
      <w:r w:rsidR="00BE0A52" w:rsidRPr="00FD4C39">
        <w:rPr>
          <w:rFonts w:ascii="Times New Roman" w:eastAsia="Calibri" w:hAnsi="Times New Roman" w:cs="Times New Roman"/>
          <w:sz w:val="24"/>
          <w:szCs w:val="24"/>
        </w:rPr>
        <w:t xml:space="preserve">Срокът за съхранение на </w:t>
      </w:r>
      <w:proofErr w:type="spellStart"/>
      <w:r w:rsidR="00BE0A52" w:rsidRPr="00FD4C39">
        <w:rPr>
          <w:rFonts w:ascii="Times New Roman" w:eastAsia="Calibri" w:hAnsi="Times New Roman" w:cs="Times New Roman"/>
          <w:sz w:val="24"/>
          <w:szCs w:val="24"/>
        </w:rPr>
        <w:t>трафични</w:t>
      </w:r>
      <w:proofErr w:type="spellEnd"/>
      <w:r w:rsidR="00BE0A52" w:rsidRPr="00FD4C39">
        <w:rPr>
          <w:rFonts w:ascii="Times New Roman" w:eastAsia="Calibri" w:hAnsi="Times New Roman" w:cs="Times New Roman"/>
          <w:sz w:val="24"/>
          <w:szCs w:val="24"/>
        </w:rPr>
        <w:t xml:space="preserve"> данни съобразно действащия ЗЕС (една година) е прекомерно дълъг. Установява се, че оптимално необходим</w:t>
      </w:r>
      <w:r w:rsidR="00417472">
        <w:rPr>
          <w:rFonts w:ascii="Times New Roman" w:eastAsia="Calibri" w:hAnsi="Times New Roman" w:cs="Times New Roman"/>
          <w:sz w:val="24"/>
          <w:szCs w:val="24"/>
        </w:rPr>
        <w:t>ата възраст на данните</w:t>
      </w:r>
      <w:r w:rsidR="00BE0A52" w:rsidRPr="00FD4C39">
        <w:rPr>
          <w:rFonts w:ascii="Times New Roman" w:eastAsia="Calibri" w:hAnsi="Times New Roman" w:cs="Times New Roman"/>
          <w:sz w:val="24"/>
          <w:szCs w:val="24"/>
        </w:rPr>
        <w:t xml:space="preserve"> е по правило </w:t>
      </w:r>
      <w:r w:rsidR="00417472">
        <w:rPr>
          <w:rFonts w:ascii="Times New Roman" w:eastAsia="Calibri" w:hAnsi="Times New Roman" w:cs="Times New Roman"/>
          <w:sz w:val="24"/>
          <w:szCs w:val="24"/>
        </w:rPr>
        <w:t>3 (три) месеца. Целесъобразно е</w:t>
      </w:r>
      <w:r w:rsidR="00BE0A52" w:rsidRPr="00FD4C39">
        <w:rPr>
          <w:rFonts w:ascii="Times New Roman" w:eastAsia="Calibri" w:hAnsi="Times New Roman" w:cs="Times New Roman"/>
          <w:sz w:val="24"/>
          <w:szCs w:val="24"/>
        </w:rPr>
        <w:t xml:space="preserve"> при бъдещи законодателни промени (вкл. на ниво ЕС) да се намали максимално допустимия</w:t>
      </w:r>
      <w:r w:rsidR="00417472">
        <w:rPr>
          <w:rFonts w:ascii="Times New Roman" w:eastAsia="Calibri" w:hAnsi="Times New Roman" w:cs="Times New Roman"/>
          <w:sz w:val="24"/>
          <w:szCs w:val="24"/>
        </w:rPr>
        <w:t>т</w:t>
      </w:r>
      <w:r w:rsidR="00BE0A52" w:rsidRPr="00FD4C39">
        <w:rPr>
          <w:rFonts w:ascii="Times New Roman" w:eastAsia="Calibri" w:hAnsi="Times New Roman" w:cs="Times New Roman"/>
          <w:sz w:val="24"/>
          <w:szCs w:val="24"/>
        </w:rPr>
        <w:t xml:space="preserve"> срок за запазване на данните (напр. до три месеца) с възможност за удължаване до максимум 1 година по отношение на данни, за които вече е бил поискан и предоставен достъп.</w:t>
      </w:r>
      <w:r w:rsidR="00EE3549" w:rsidRPr="00FD4C39">
        <w:rPr>
          <w:rFonts w:ascii="Times New Roman" w:eastAsia="Calibri" w:hAnsi="Times New Roman" w:cs="Times New Roman"/>
          <w:sz w:val="24"/>
          <w:szCs w:val="24"/>
        </w:rPr>
        <w:t xml:space="preserve"> </w:t>
      </w:r>
    </w:p>
    <w:p w:rsidR="008A0591" w:rsidRPr="00FD4C39" w:rsidRDefault="00EE3549" w:rsidP="00131BC2">
      <w:pPr>
        <w:widowControl w:val="0"/>
        <w:spacing w:after="0" w:line="390" w:lineRule="exact"/>
        <w:ind w:firstLine="709"/>
        <w:jc w:val="both"/>
        <w:rPr>
          <w:rFonts w:ascii="Times New Roman" w:hAnsi="Times New Roman" w:cs="Times New Roman"/>
          <w:sz w:val="24"/>
          <w:szCs w:val="24"/>
        </w:rPr>
      </w:pPr>
      <w:r w:rsidRPr="00FD4C39">
        <w:rPr>
          <w:rFonts w:ascii="Times New Roman" w:eastAsia="Calibri" w:hAnsi="Times New Roman" w:cs="Times New Roman"/>
          <w:sz w:val="24"/>
          <w:szCs w:val="24"/>
        </w:rPr>
        <w:t xml:space="preserve">На национално ниво, във връзка с </w:t>
      </w:r>
      <w:r w:rsidR="00BE0A52" w:rsidRPr="00FD4C39">
        <w:rPr>
          <w:rFonts w:ascii="Times New Roman" w:eastAsia="Calibri" w:hAnsi="Times New Roman" w:cs="Times New Roman"/>
          <w:sz w:val="24"/>
          <w:szCs w:val="24"/>
        </w:rPr>
        <w:t>решението на Съда и искане</w:t>
      </w:r>
      <w:r w:rsidR="00F86F9F" w:rsidRPr="00FD4C39">
        <w:rPr>
          <w:rFonts w:ascii="Times New Roman" w:eastAsia="Calibri" w:hAnsi="Times New Roman" w:cs="Times New Roman"/>
          <w:sz w:val="24"/>
          <w:szCs w:val="24"/>
        </w:rPr>
        <w:t>то</w:t>
      </w:r>
      <w:r w:rsidRPr="00FD4C39">
        <w:rPr>
          <w:rFonts w:ascii="Times New Roman" w:eastAsia="Calibri" w:hAnsi="Times New Roman" w:cs="Times New Roman"/>
          <w:sz w:val="24"/>
          <w:szCs w:val="24"/>
        </w:rPr>
        <w:t xml:space="preserve"> </w:t>
      </w:r>
      <w:r w:rsidR="00BE0A52" w:rsidRPr="00FD4C39">
        <w:rPr>
          <w:rFonts w:ascii="Times New Roman" w:eastAsia="Calibri" w:hAnsi="Times New Roman" w:cs="Times New Roman"/>
          <w:sz w:val="24"/>
          <w:szCs w:val="24"/>
        </w:rPr>
        <w:t xml:space="preserve">на </w:t>
      </w:r>
      <w:proofErr w:type="spellStart"/>
      <w:r w:rsidR="00BE0A52" w:rsidRPr="00FD4C39">
        <w:rPr>
          <w:rFonts w:ascii="Times New Roman" w:eastAsia="Calibri" w:hAnsi="Times New Roman" w:cs="Times New Roman"/>
          <w:sz w:val="24"/>
          <w:szCs w:val="24"/>
        </w:rPr>
        <w:t>Омбудсмана</w:t>
      </w:r>
      <w:proofErr w:type="spellEnd"/>
      <w:r w:rsidR="00BE0A52" w:rsidRPr="00FD4C39">
        <w:rPr>
          <w:rFonts w:ascii="Times New Roman" w:eastAsia="Calibri" w:hAnsi="Times New Roman" w:cs="Times New Roman"/>
          <w:sz w:val="24"/>
          <w:szCs w:val="24"/>
        </w:rPr>
        <w:t xml:space="preserve"> на Република България до Конституционния съд, </w:t>
      </w:r>
      <w:r w:rsidRPr="00FD4C39">
        <w:rPr>
          <w:rFonts w:ascii="Times New Roman" w:eastAsia="Calibri" w:hAnsi="Times New Roman" w:cs="Times New Roman"/>
          <w:sz w:val="24"/>
          <w:szCs w:val="24"/>
        </w:rPr>
        <w:t xml:space="preserve">КЗЛД, в качеството на наблюдаващ орган относно сигурността на данните (чл. 261а от </w:t>
      </w:r>
      <w:r w:rsidR="001732E4" w:rsidRPr="00FD4C39">
        <w:rPr>
          <w:rFonts w:ascii="Times New Roman" w:eastAsia="Calibri" w:hAnsi="Times New Roman" w:cs="Times New Roman"/>
          <w:sz w:val="24"/>
          <w:szCs w:val="24"/>
        </w:rPr>
        <w:t>З</w:t>
      </w:r>
      <w:r w:rsidR="00396CC9" w:rsidRPr="00FD4C39">
        <w:rPr>
          <w:rFonts w:ascii="Times New Roman" w:eastAsia="Calibri" w:hAnsi="Times New Roman" w:cs="Times New Roman"/>
          <w:sz w:val="24"/>
          <w:szCs w:val="24"/>
        </w:rPr>
        <w:t>ЕС</w:t>
      </w:r>
      <w:r w:rsidRPr="00FD4C39">
        <w:rPr>
          <w:rFonts w:ascii="Times New Roman" w:eastAsia="Calibri" w:hAnsi="Times New Roman" w:cs="Times New Roman"/>
          <w:sz w:val="24"/>
          <w:szCs w:val="24"/>
        </w:rPr>
        <w:t>), инициира през април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създ</w:t>
      </w:r>
      <w:r w:rsidR="00BE0A52" w:rsidRPr="00FD4C39">
        <w:rPr>
          <w:rFonts w:ascii="Times New Roman" w:eastAsia="Calibri" w:hAnsi="Times New Roman" w:cs="Times New Roman"/>
          <w:sz w:val="24"/>
          <w:szCs w:val="24"/>
        </w:rPr>
        <w:t>аването на междуведомствена работна група с участието на широк кръг заинтересо</w:t>
      </w:r>
      <w:r w:rsidR="00417472">
        <w:rPr>
          <w:rFonts w:ascii="Times New Roman" w:eastAsia="Calibri" w:hAnsi="Times New Roman" w:cs="Times New Roman"/>
          <w:sz w:val="24"/>
          <w:szCs w:val="24"/>
        </w:rPr>
        <w:t>вани страни, а именно Върховния административен съд, Върховния</w:t>
      </w:r>
      <w:r w:rsidR="00BE0A52" w:rsidRPr="00FD4C39">
        <w:rPr>
          <w:rFonts w:ascii="Times New Roman" w:eastAsia="Calibri" w:hAnsi="Times New Roman" w:cs="Times New Roman"/>
          <w:sz w:val="24"/>
          <w:szCs w:val="24"/>
        </w:rPr>
        <w:t xml:space="preserve"> касационен съд, Прокуратурата на Република България, Министерството на правосъдието, Министерството на вътрешните работи, Министерството на отбраната, Националната разузнавателна служба, Държавната агенция </w:t>
      </w:r>
      <w:r w:rsidR="004931E5" w:rsidRPr="00FD4C39">
        <w:rPr>
          <w:rFonts w:ascii="Times New Roman" w:eastAsia="Calibri" w:hAnsi="Times New Roman" w:cs="Times New Roman"/>
          <w:sz w:val="24"/>
          <w:szCs w:val="24"/>
        </w:rPr>
        <w:t>„</w:t>
      </w:r>
      <w:r w:rsidR="00BE0A52" w:rsidRPr="00FD4C39">
        <w:rPr>
          <w:rFonts w:ascii="Times New Roman" w:eastAsia="Calibri" w:hAnsi="Times New Roman" w:cs="Times New Roman"/>
          <w:sz w:val="24"/>
          <w:szCs w:val="24"/>
        </w:rPr>
        <w:t>Национална сигурност</w:t>
      </w:r>
      <w:r w:rsidR="00CF0F1F" w:rsidRPr="00FD4C39">
        <w:rPr>
          <w:rFonts w:ascii="Times New Roman" w:eastAsia="Calibri" w:hAnsi="Times New Roman" w:cs="Times New Roman"/>
          <w:sz w:val="24"/>
          <w:szCs w:val="24"/>
        </w:rPr>
        <w:t>“</w:t>
      </w:r>
      <w:r w:rsidR="00BE0A52" w:rsidRPr="00FD4C39">
        <w:rPr>
          <w:rFonts w:ascii="Times New Roman" w:eastAsia="Calibri" w:hAnsi="Times New Roman" w:cs="Times New Roman"/>
          <w:sz w:val="24"/>
          <w:szCs w:val="24"/>
        </w:rPr>
        <w:t>, Министерство</w:t>
      </w:r>
      <w:r w:rsidR="00417472">
        <w:rPr>
          <w:rFonts w:ascii="Times New Roman" w:eastAsia="Calibri" w:hAnsi="Times New Roman" w:cs="Times New Roman"/>
          <w:sz w:val="24"/>
          <w:szCs w:val="24"/>
        </w:rPr>
        <w:t>то</w:t>
      </w:r>
      <w:r w:rsidR="00BE0A52" w:rsidRPr="00FD4C39">
        <w:rPr>
          <w:rFonts w:ascii="Times New Roman" w:eastAsia="Calibri" w:hAnsi="Times New Roman" w:cs="Times New Roman"/>
          <w:sz w:val="24"/>
          <w:szCs w:val="24"/>
        </w:rPr>
        <w:t xml:space="preserve"> на транспорта, информационните технологии и съобщенията, </w:t>
      </w:r>
      <w:r w:rsidR="00FE7018" w:rsidRPr="00FD4C39">
        <w:rPr>
          <w:rFonts w:ascii="Times New Roman" w:eastAsia="Calibri" w:hAnsi="Times New Roman" w:cs="Times New Roman"/>
          <w:sz w:val="24"/>
          <w:szCs w:val="24"/>
        </w:rPr>
        <w:t>КЗЛД</w:t>
      </w:r>
      <w:r w:rsidR="00BE0A52" w:rsidRPr="00FD4C39">
        <w:rPr>
          <w:rFonts w:ascii="Times New Roman" w:eastAsia="Calibri" w:hAnsi="Times New Roman" w:cs="Times New Roman"/>
          <w:sz w:val="24"/>
          <w:szCs w:val="24"/>
        </w:rPr>
        <w:t xml:space="preserve"> за регулиране на съобщенията.</w:t>
      </w:r>
      <w:r w:rsidRPr="00FD4C39">
        <w:rPr>
          <w:rFonts w:ascii="Times New Roman" w:eastAsia="Calibri" w:hAnsi="Times New Roman" w:cs="Times New Roman"/>
          <w:sz w:val="24"/>
          <w:szCs w:val="24"/>
        </w:rPr>
        <w:t xml:space="preserve"> Целта на работната група е из</w:t>
      </w:r>
      <w:r w:rsidR="00BE0A52" w:rsidRPr="00FD4C39">
        <w:rPr>
          <w:rFonts w:ascii="Times New Roman" w:eastAsia="Calibri" w:hAnsi="Times New Roman" w:cs="Times New Roman"/>
          <w:sz w:val="24"/>
          <w:szCs w:val="24"/>
        </w:rPr>
        <w:t>готвянето на мотивирано предложение за законодателни промени, които да отразяват съображенията на Съда на ЕС. Предвид важността и принципния характер на решени</w:t>
      </w:r>
      <w:r w:rsidR="00591867">
        <w:rPr>
          <w:rFonts w:ascii="Times New Roman" w:eastAsia="Calibri" w:hAnsi="Times New Roman" w:cs="Times New Roman"/>
          <w:sz w:val="24"/>
          <w:szCs w:val="24"/>
        </w:rPr>
        <w:t>ето на Съда на Европейския съюз</w:t>
      </w:r>
      <w:r w:rsidR="00BE0A52"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КЗЛД разчита на максимална ангажираност на компетентните българс</w:t>
      </w:r>
      <w:r w:rsidR="00BE0A52" w:rsidRPr="00FD4C39">
        <w:rPr>
          <w:rFonts w:ascii="Times New Roman" w:eastAsia="Calibri" w:hAnsi="Times New Roman" w:cs="Times New Roman"/>
          <w:sz w:val="24"/>
          <w:szCs w:val="24"/>
        </w:rPr>
        <w:t xml:space="preserve">ки органи за изработване на съвместна позиция. </w:t>
      </w:r>
      <w:r w:rsidR="008A0591" w:rsidRPr="00FD4C39">
        <w:rPr>
          <w:rFonts w:ascii="Times New Roman" w:hAnsi="Times New Roman" w:cs="Times New Roman"/>
          <w:sz w:val="24"/>
          <w:szCs w:val="24"/>
        </w:rPr>
        <w:t xml:space="preserve">Като споделя мотивите на Съда на ЕС в решението, с което Директива 2006/24/ЕО се обявява за невалидна, </w:t>
      </w:r>
      <w:r w:rsidR="00FE7018" w:rsidRPr="00FD4C39">
        <w:rPr>
          <w:rFonts w:ascii="Times New Roman" w:hAnsi="Times New Roman" w:cs="Times New Roman"/>
          <w:sz w:val="24"/>
          <w:szCs w:val="24"/>
        </w:rPr>
        <w:t>КЗЛД</w:t>
      </w:r>
      <w:r w:rsidR="008A0591" w:rsidRPr="00FD4C39">
        <w:rPr>
          <w:rFonts w:ascii="Times New Roman" w:hAnsi="Times New Roman" w:cs="Times New Roman"/>
          <w:sz w:val="24"/>
          <w:szCs w:val="24"/>
        </w:rPr>
        <w:t xml:space="preserve"> счита, че в работата си междуведомствената работна група, създадена по нейна инициатива, следва да намери разумен баланс между защитата на правата на личността и всички други конституционно признати ценности.</w:t>
      </w:r>
    </w:p>
    <w:p w:rsidR="00EE3549" w:rsidRPr="00FD4C39" w:rsidRDefault="00EE3549" w:rsidP="00131BC2">
      <w:pPr>
        <w:widowControl w:val="0"/>
        <w:spacing w:after="0" w:line="390" w:lineRule="exact"/>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Постигането на съгласуван подход в рамките на Европейския съюз е от съществено значение при подготовка на национални законодателни промени. Лог</w:t>
      </w:r>
      <w:r w:rsidR="00BE0A52" w:rsidRPr="00FD4C39">
        <w:rPr>
          <w:rFonts w:ascii="Times New Roman" w:eastAsia="Calibri" w:hAnsi="Times New Roman" w:cs="Times New Roman"/>
          <w:sz w:val="24"/>
          <w:szCs w:val="24"/>
        </w:rPr>
        <w:t>ично развитие е засилване н</w:t>
      </w:r>
      <w:r w:rsidR="00591867">
        <w:rPr>
          <w:rFonts w:ascii="Times New Roman" w:eastAsia="Calibri" w:hAnsi="Times New Roman" w:cs="Times New Roman"/>
          <w:sz w:val="24"/>
          <w:szCs w:val="24"/>
        </w:rPr>
        <w:t xml:space="preserve">а координацията между държавите </w:t>
      </w:r>
      <w:r w:rsidR="00BE0A52" w:rsidRPr="00FD4C39">
        <w:rPr>
          <w:rFonts w:ascii="Times New Roman" w:eastAsia="Calibri" w:hAnsi="Times New Roman" w:cs="Times New Roman"/>
          <w:sz w:val="24"/>
          <w:szCs w:val="24"/>
        </w:rPr>
        <w:t>членки и Европейската комисия с оглед на възникналата ситуация с обявяването за невалиден действащ европейски акт.</w:t>
      </w:r>
    </w:p>
    <w:p w:rsidR="00541B14" w:rsidRPr="00FD4C39" w:rsidRDefault="00541B14">
      <w:pPr>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br w:type="page"/>
      </w:r>
    </w:p>
    <w:p w:rsidR="00541B14" w:rsidRPr="00FD4C39" w:rsidRDefault="00541B14"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X. Институционално взаимодействие. Партньорство с представители на медиите и информационна дейност</w:t>
      </w:r>
    </w:p>
    <w:p w:rsidR="00541B14" w:rsidRPr="00FD4C39" w:rsidRDefault="00541B14"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 </w:t>
      </w:r>
    </w:p>
    <w:p w:rsidR="00E04B41" w:rsidRPr="00FD4C39" w:rsidRDefault="00BF00E8" w:rsidP="007B189E">
      <w:pPr>
        <w:spacing w:after="0" w:line="360" w:lineRule="auto"/>
        <w:ind w:firstLine="709"/>
        <w:jc w:val="both"/>
        <w:rPr>
          <w:rFonts w:ascii="Times New Roman"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продълж</w:t>
      </w:r>
      <w:r w:rsidR="00B7274E" w:rsidRPr="00FD4C39">
        <w:rPr>
          <w:rFonts w:ascii="Times New Roman" w:eastAsia="Calibri" w:hAnsi="Times New Roman" w:cs="Times New Roman"/>
          <w:sz w:val="24"/>
          <w:szCs w:val="24"/>
        </w:rPr>
        <w:t>ава</w:t>
      </w:r>
      <w:r w:rsidRPr="00FD4C39">
        <w:rPr>
          <w:rFonts w:ascii="Times New Roman" w:eastAsia="Calibri" w:hAnsi="Times New Roman" w:cs="Times New Roman"/>
          <w:sz w:val="24"/>
          <w:szCs w:val="24"/>
        </w:rPr>
        <w:t xml:space="preserve"> сътрудничество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с Държавна агенция за закрила на детето</w:t>
      </w:r>
      <w:r w:rsidR="00E51276" w:rsidRPr="00FD4C39">
        <w:rPr>
          <w:rFonts w:ascii="Times New Roman" w:eastAsia="Calibri" w:hAnsi="Times New Roman" w:cs="Times New Roman"/>
          <w:sz w:val="24"/>
          <w:szCs w:val="24"/>
        </w:rPr>
        <w:t xml:space="preserve"> (ДАЗД)</w:t>
      </w:r>
      <w:r w:rsidRPr="00FD4C39">
        <w:rPr>
          <w:rFonts w:ascii="Times New Roman" w:eastAsia="Calibri" w:hAnsi="Times New Roman" w:cs="Times New Roman"/>
          <w:sz w:val="24"/>
          <w:szCs w:val="24"/>
        </w:rPr>
        <w:t xml:space="preserve">, стартирало през </w:t>
      </w:r>
      <w:r w:rsidR="007407D8" w:rsidRPr="00FD4C39">
        <w:rPr>
          <w:rFonts w:ascii="Times New Roman" w:eastAsia="Calibri" w:hAnsi="Times New Roman" w:cs="Times New Roman"/>
          <w:sz w:val="24"/>
          <w:szCs w:val="24"/>
        </w:rPr>
        <w:t>2013</w:t>
      </w:r>
      <w:r w:rsidR="004D42A2">
        <w:rPr>
          <w:rFonts w:ascii="Times New Roman" w:eastAsia="Calibri" w:hAnsi="Times New Roman" w:cs="Times New Roman"/>
          <w:sz w:val="24"/>
          <w:szCs w:val="24"/>
        </w:rPr>
        <w:t> г.</w:t>
      </w:r>
      <w:r w:rsidR="007407D8"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с провеждане на обучение в областта на защитата на личните данни за служителите на агенцията</w:t>
      </w:r>
      <w:r w:rsidR="00892261" w:rsidRPr="00FD4C39">
        <w:rPr>
          <w:rFonts w:ascii="Times New Roman" w:eastAsia="Calibri" w:hAnsi="Times New Roman" w:cs="Times New Roman"/>
          <w:sz w:val="24"/>
          <w:szCs w:val="24"/>
        </w:rPr>
        <w:t xml:space="preserve">. Вследствие на осъществените първоначални </w:t>
      </w:r>
      <w:proofErr w:type="spellStart"/>
      <w:r w:rsidR="00892261" w:rsidRPr="00FD4C39">
        <w:rPr>
          <w:rFonts w:ascii="Times New Roman" w:eastAsia="Calibri" w:hAnsi="Times New Roman" w:cs="Times New Roman"/>
          <w:sz w:val="24"/>
          <w:szCs w:val="24"/>
        </w:rPr>
        <w:t>междуинституционални</w:t>
      </w:r>
      <w:proofErr w:type="spellEnd"/>
      <w:r w:rsidR="00892261" w:rsidRPr="00FD4C39">
        <w:rPr>
          <w:rFonts w:ascii="Times New Roman" w:eastAsia="Calibri" w:hAnsi="Times New Roman" w:cs="Times New Roman"/>
          <w:sz w:val="24"/>
          <w:szCs w:val="24"/>
        </w:rPr>
        <w:t xml:space="preserve"> контакти с </w:t>
      </w:r>
      <w:r w:rsidR="002057FA" w:rsidRPr="00FD4C39">
        <w:rPr>
          <w:rFonts w:ascii="Times New Roman" w:eastAsia="Calibri" w:hAnsi="Times New Roman" w:cs="Times New Roman"/>
          <w:sz w:val="24"/>
          <w:szCs w:val="24"/>
        </w:rPr>
        <w:t>ДАЗД</w:t>
      </w:r>
      <w:r w:rsidR="00892261" w:rsidRPr="00FD4C39">
        <w:rPr>
          <w:rFonts w:ascii="Times New Roman" w:eastAsia="Calibri" w:hAnsi="Times New Roman" w:cs="Times New Roman"/>
          <w:sz w:val="24"/>
          <w:szCs w:val="24"/>
        </w:rPr>
        <w:t xml:space="preserve"> двете държавни институции </w:t>
      </w:r>
      <w:r w:rsidR="00DE7A75" w:rsidRPr="00FD4C39">
        <w:rPr>
          <w:rFonts w:ascii="Times New Roman" w:eastAsia="Calibri" w:hAnsi="Times New Roman" w:cs="Times New Roman"/>
          <w:sz w:val="24"/>
          <w:szCs w:val="24"/>
        </w:rPr>
        <w:t>полагат взаимни усилия за решаване на въпроси, свързани с неприкосновеността на личността и защитата на личните данни на една от най-уязвимите категории субекти на лични данни</w:t>
      </w:r>
      <w:r w:rsidR="004D42A2">
        <w:rPr>
          <w:rFonts w:ascii="Times New Roman" w:eastAsia="Calibri" w:hAnsi="Times New Roman" w:cs="Times New Roman"/>
          <w:sz w:val="24"/>
          <w:szCs w:val="24"/>
        </w:rPr>
        <w:t xml:space="preserve"> – </w:t>
      </w:r>
      <w:r w:rsidR="00DE7A75" w:rsidRPr="00FD4C39">
        <w:rPr>
          <w:rFonts w:ascii="Times New Roman" w:eastAsia="Calibri" w:hAnsi="Times New Roman" w:cs="Times New Roman"/>
          <w:sz w:val="24"/>
          <w:szCs w:val="24"/>
        </w:rPr>
        <w:t xml:space="preserve">децата. През отчетния период председателят на Агенцията сезира </w:t>
      </w:r>
      <w:r w:rsidR="00FE7018" w:rsidRPr="00FD4C39">
        <w:rPr>
          <w:rFonts w:ascii="Times New Roman" w:eastAsia="Calibri" w:hAnsi="Times New Roman" w:cs="Times New Roman"/>
          <w:sz w:val="24"/>
          <w:szCs w:val="24"/>
        </w:rPr>
        <w:t>КЗЛД</w:t>
      </w:r>
      <w:r w:rsidR="00DE7A75" w:rsidRPr="00FD4C39">
        <w:rPr>
          <w:rFonts w:ascii="Times New Roman" w:eastAsia="Calibri" w:hAnsi="Times New Roman" w:cs="Times New Roman"/>
          <w:sz w:val="24"/>
          <w:szCs w:val="24"/>
        </w:rPr>
        <w:t xml:space="preserve"> с въпрос относно законосъобразното предоставяне на данни на деца</w:t>
      </w:r>
      <w:r w:rsidR="002713C9" w:rsidRPr="00FD4C39">
        <w:rPr>
          <w:rFonts w:ascii="Times New Roman" w:eastAsia="Calibri" w:hAnsi="Times New Roman" w:cs="Times New Roman"/>
          <w:sz w:val="24"/>
          <w:szCs w:val="24"/>
        </w:rPr>
        <w:t xml:space="preserve"> по случаи</w:t>
      </w:r>
      <w:r w:rsidR="00DE7A75" w:rsidRPr="00FD4C39">
        <w:rPr>
          <w:rFonts w:ascii="Times New Roman" w:eastAsia="Calibri" w:hAnsi="Times New Roman" w:cs="Times New Roman"/>
          <w:sz w:val="24"/>
          <w:szCs w:val="24"/>
        </w:rPr>
        <w:t xml:space="preserve"> с международен елемент. </w:t>
      </w:r>
      <w:r w:rsidR="002057FA" w:rsidRPr="00FD4C39">
        <w:rPr>
          <w:rFonts w:ascii="Times New Roman" w:eastAsia="Calibri" w:hAnsi="Times New Roman" w:cs="Times New Roman"/>
          <w:sz w:val="24"/>
          <w:szCs w:val="24"/>
        </w:rPr>
        <w:t xml:space="preserve">От ДАЗД съобщават, че заявители на информацията изискват </w:t>
      </w:r>
      <w:r w:rsidR="00616030" w:rsidRPr="00FD4C39">
        <w:rPr>
          <w:rFonts w:ascii="Times New Roman" w:eastAsia="Calibri" w:hAnsi="Times New Roman" w:cs="Times New Roman"/>
          <w:sz w:val="24"/>
          <w:szCs w:val="24"/>
        </w:rPr>
        <w:t xml:space="preserve">предаването на </w:t>
      </w:r>
      <w:r w:rsidR="00EF364C" w:rsidRPr="00FD4C39">
        <w:rPr>
          <w:rFonts w:ascii="Times New Roman" w:hAnsi="Times New Roman" w:cs="Times New Roman"/>
          <w:sz w:val="24"/>
          <w:szCs w:val="24"/>
        </w:rPr>
        <w:t>социални доклади, които съдържат много лични данни, включително и чувствителни, както и данни за трети лица</w:t>
      </w:r>
      <w:r w:rsidR="004D42A2">
        <w:rPr>
          <w:rFonts w:ascii="Times New Roman" w:hAnsi="Times New Roman" w:cs="Times New Roman"/>
          <w:sz w:val="24"/>
          <w:szCs w:val="24"/>
        </w:rPr>
        <w:t xml:space="preserve"> – </w:t>
      </w:r>
      <w:r w:rsidR="00EF364C" w:rsidRPr="00FD4C39">
        <w:rPr>
          <w:rFonts w:ascii="Times New Roman" w:hAnsi="Times New Roman" w:cs="Times New Roman"/>
          <w:sz w:val="24"/>
          <w:szCs w:val="24"/>
        </w:rPr>
        <w:t>родители и близки на децата. Поставя се въпрос относно законосъобразното извършване на тези действия и спазването на правилата, разписани в ЗЗЛД.</w:t>
      </w:r>
    </w:p>
    <w:p w:rsidR="0032384C" w:rsidRPr="00FD4C39" w:rsidRDefault="00616030"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С оглед обективното и все</w:t>
      </w:r>
      <w:r w:rsidR="00591867">
        <w:rPr>
          <w:rFonts w:ascii="Times New Roman" w:hAnsi="Times New Roman" w:cs="Times New Roman"/>
          <w:sz w:val="24"/>
          <w:szCs w:val="24"/>
        </w:rPr>
        <w:t>обхватно произнасяне</w:t>
      </w:r>
      <w:r w:rsidRPr="00FD4C39">
        <w:rPr>
          <w:rFonts w:ascii="Times New Roman" w:hAnsi="Times New Roman" w:cs="Times New Roman"/>
          <w:sz w:val="24"/>
          <w:szCs w:val="24"/>
        </w:rPr>
        <w:t xml:space="preserve"> по инициатива на КЗЛД </w:t>
      </w:r>
      <w:r w:rsidR="004E180D"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004E180D" w:rsidRPr="00FD4C39">
        <w:rPr>
          <w:rFonts w:ascii="Times New Roman" w:hAnsi="Times New Roman" w:cs="Times New Roman"/>
          <w:sz w:val="24"/>
          <w:szCs w:val="24"/>
        </w:rPr>
        <w:t xml:space="preserve"> </w:t>
      </w:r>
      <w:r w:rsidR="00591867">
        <w:rPr>
          <w:rFonts w:ascii="Times New Roman" w:hAnsi="Times New Roman" w:cs="Times New Roman"/>
          <w:sz w:val="24"/>
          <w:szCs w:val="24"/>
        </w:rPr>
        <w:t>се</w:t>
      </w:r>
      <w:r w:rsidRPr="00FD4C39">
        <w:rPr>
          <w:rFonts w:ascii="Times New Roman" w:hAnsi="Times New Roman" w:cs="Times New Roman"/>
          <w:sz w:val="24"/>
          <w:szCs w:val="24"/>
        </w:rPr>
        <w:t xml:space="preserve"> </w:t>
      </w:r>
      <w:r w:rsidR="00EF364C" w:rsidRPr="00FD4C39">
        <w:rPr>
          <w:rFonts w:ascii="Times New Roman" w:eastAsia="Calibri" w:hAnsi="Times New Roman" w:cs="Times New Roman"/>
          <w:sz w:val="24"/>
          <w:szCs w:val="24"/>
        </w:rPr>
        <w:t>създа</w:t>
      </w:r>
      <w:r w:rsidR="00591867">
        <w:rPr>
          <w:rFonts w:ascii="Times New Roman" w:eastAsia="Calibri" w:hAnsi="Times New Roman" w:cs="Times New Roman"/>
          <w:sz w:val="24"/>
          <w:szCs w:val="24"/>
        </w:rPr>
        <w:t>в</w:t>
      </w:r>
      <w:r w:rsidR="00EF364C" w:rsidRPr="00FD4C39">
        <w:rPr>
          <w:rFonts w:ascii="Times New Roman" w:eastAsia="Calibri" w:hAnsi="Times New Roman" w:cs="Times New Roman"/>
          <w:sz w:val="24"/>
          <w:szCs w:val="24"/>
        </w:rPr>
        <w:t xml:space="preserve">а експертна работна група, която по пътя на </w:t>
      </w:r>
      <w:proofErr w:type="spellStart"/>
      <w:r w:rsidR="00EF364C" w:rsidRPr="00FD4C39">
        <w:rPr>
          <w:rFonts w:ascii="Times New Roman" w:eastAsia="Calibri" w:hAnsi="Times New Roman" w:cs="Times New Roman"/>
          <w:sz w:val="24"/>
          <w:szCs w:val="24"/>
        </w:rPr>
        <w:t>междуинституционалния</w:t>
      </w:r>
      <w:proofErr w:type="spellEnd"/>
      <w:r w:rsidR="00EF364C" w:rsidRPr="00FD4C39">
        <w:rPr>
          <w:rFonts w:ascii="Times New Roman" w:eastAsia="Calibri" w:hAnsi="Times New Roman" w:cs="Times New Roman"/>
          <w:sz w:val="24"/>
          <w:szCs w:val="24"/>
        </w:rPr>
        <w:t xml:space="preserve"> подход и в рамките на компетентността на отделните ведомства да обедини усилия за анализ на предизвикателствата пред международната закрила на </w:t>
      </w:r>
      <w:r w:rsidR="00EF364C" w:rsidRPr="00FD4C39">
        <w:rPr>
          <w:rFonts w:ascii="Times New Roman" w:hAnsi="Times New Roman" w:cs="Times New Roman"/>
          <w:sz w:val="24"/>
          <w:szCs w:val="24"/>
        </w:rPr>
        <w:t xml:space="preserve">детето. </w:t>
      </w:r>
      <w:r w:rsidR="00E51276" w:rsidRPr="00FD4C39">
        <w:rPr>
          <w:rFonts w:ascii="Times New Roman" w:hAnsi="Times New Roman" w:cs="Times New Roman"/>
          <w:sz w:val="24"/>
          <w:szCs w:val="24"/>
        </w:rPr>
        <w:t>О</w:t>
      </w:r>
      <w:r w:rsidR="00591867">
        <w:rPr>
          <w:rFonts w:ascii="Times New Roman" w:hAnsi="Times New Roman" w:cs="Times New Roman"/>
          <w:sz w:val="24"/>
          <w:szCs w:val="24"/>
        </w:rPr>
        <w:t>тправя</w:t>
      </w:r>
      <w:r w:rsidR="00EF364C" w:rsidRPr="00FD4C39">
        <w:rPr>
          <w:rFonts w:ascii="Times New Roman" w:hAnsi="Times New Roman" w:cs="Times New Roman"/>
          <w:sz w:val="24"/>
          <w:szCs w:val="24"/>
        </w:rPr>
        <w:t xml:space="preserve"> </w:t>
      </w:r>
      <w:r w:rsidR="00591867">
        <w:rPr>
          <w:rFonts w:ascii="Times New Roman" w:hAnsi="Times New Roman" w:cs="Times New Roman"/>
          <w:sz w:val="24"/>
          <w:szCs w:val="24"/>
        </w:rPr>
        <w:t>с</w:t>
      </w:r>
      <w:r w:rsidR="00E51276" w:rsidRPr="00FD4C39">
        <w:rPr>
          <w:rFonts w:ascii="Times New Roman" w:hAnsi="Times New Roman" w:cs="Times New Roman"/>
          <w:sz w:val="24"/>
          <w:szCs w:val="24"/>
        </w:rPr>
        <w:t xml:space="preserve">е </w:t>
      </w:r>
      <w:r w:rsidR="00EF364C" w:rsidRPr="00FD4C39">
        <w:rPr>
          <w:rFonts w:ascii="Times New Roman" w:hAnsi="Times New Roman" w:cs="Times New Roman"/>
          <w:sz w:val="24"/>
          <w:szCs w:val="24"/>
        </w:rPr>
        <w:t>покана за излъчване на експерти от компетентните ведомства</w:t>
      </w:r>
      <w:r w:rsidR="004D42A2">
        <w:rPr>
          <w:rFonts w:ascii="Times New Roman" w:hAnsi="Times New Roman" w:cs="Times New Roman"/>
          <w:sz w:val="24"/>
          <w:szCs w:val="24"/>
        </w:rPr>
        <w:t xml:space="preserve"> – </w:t>
      </w:r>
      <w:r w:rsidR="00EF364C" w:rsidRPr="00FD4C39">
        <w:rPr>
          <w:rFonts w:ascii="Times New Roman" w:hAnsi="Times New Roman" w:cs="Times New Roman"/>
          <w:sz w:val="24"/>
          <w:szCs w:val="24"/>
        </w:rPr>
        <w:t>Министерство</w:t>
      </w:r>
      <w:r w:rsidR="00591867">
        <w:rPr>
          <w:rFonts w:ascii="Times New Roman" w:hAnsi="Times New Roman" w:cs="Times New Roman"/>
          <w:sz w:val="24"/>
          <w:szCs w:val="24"/>
        </w:rPr>
        <w:t>то</w:t>
      </w:r>
      <w:r w:rsidR="00EF364C" w:rsidRPr="00FD4C39">
        <w:rPr>
          <w:rFonts w:ascii="Times New Roman" w:hAnsi="Times New Roman" w:cs="Times New Roman"/>
          <w:sz w:val="24"/>
          <w:szCs w:val="24"/>
        </w:rPr>
        <w:t xml:space="preserve"> на правосъдието, Министерство</w:t>
      </w:r>
      <w:r w:rsidR="00591867">
        <w:rPr>
          <w:rFonts w:ascii="Times New Roman" w:hAnsi="Times New Roman" w:cs="Times New Roman"/>
          <w:sz w:val="24"/>
          <w:szCs w:val="24"/>
        </w:rPr>
        <w:t>то</w:t>
      </w:r>
      <w:r w:rsidR="00EF364C" w:rsidRPr="00FD4C39">
        <w:rPr>
          <w:rFonts w:ascii="Times New Roman" w:hAnsi="Times New Roman" w:cs="Times New Roman"/>
          <w:sz w:val="24"/>
          <w:szCs w:val="24"/>
        </w:rPr>
        <w:t xml:space="preserve"> на външните работи, Министерство</w:t>
      </w:r>
      <w:r w:rsidR="00591867">
        <w:rPr>
          <w:rFonts w:ascii="Times New Roman" w:hAnsi="Times New Roman" w:cs="Times New Roman"/>
          <w:sz w:val="24"/>
          <w:szCs w:val="24"/>
        </w:rPr>
        <w:t>то</w:t>
      </w:r>
      <w:r w:rsidR="00EF364C" w:rsidRPr="00FD4C39">
        <w:rPr>
          <w:rFonts w:ascii="Times New Roman" w:hAnsi="Times New Roman" w:cs="Times New Roman"/>
          <w:sz w:val="24"/>
          <w:szCs w:val="24"/>
        </w:rPr>
        <w:t xml:space="preserve"> на труда и социалната политика, Агенция</w:t>
      </w:r>
      <w:r w:rsidR="00591867">
        <w:rPr>
          <w:rFonts w:ascii="Times New Roman" w:hAnsi="Times New Roman" w:cs="Times New Roman"/>
          <w:sz w:val="24"/>
          <w:szCs w:val="24"/>
        </w:rPr>
        <w:t>та</w:t>
      </w:r>
      <w:r w:rsidR="00EF364C" w:rsidRPr="00FD4C39">
        <w:rPr>
          <w:rFonts w:ascii="Times New Roman" w:hAnsi="Times New Roman" w:cs="Times New Roman"/>
          <w:sz w:val="24"/>
          <w:szCs w:val="24"/>
        </w:rPr>
        <w:t xml:space="preserve"> за социално подпомагане и Държавната агенция за закрила на детето, които на база съществуващата нормативна уредба да подготвят предложение за разписване на единни правила относно реда на обмен на информация по случаи с международен елемент, свързани с деца.</w:t>
      </w:r>
    </w:p>
    <w:p w:rsidR="00310832" w:rsidRPr="00FD4C39" w:rsidRDefault="00C327DB" w:rsidP="007B189E">
      <w:pPr>
        <w:spacing w:after="0" w:line="360" w:lineRule="auto"/>
        <w:ind w:firstLine="709"/>
        <w:jc w:val="both"/>
        <w:rPr>
          <w:rStyle w:val="google-src-text1"/>
          <w:rFonts w:ascii="Times New Roman" w:hAnsi="Times New Roman" w:cs="Times New Roman"/>
          <w:bCs/>
          <w:vanish w:val="0"/>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00E51276" w:rsidRPr="00FD4C39">
        <w:rPr>
          <w:rFonts w:ascii="Times New Roman" w:hAnsi="Times New Roman" w:cs="Times New Roman"/>
          <w:sz w:val="24"/>
          <w:szCs w:val="24"/>
        </w:rPr>
        <w:t xml:space="preserve"> продълж</w:t>
      </w:r>
      <w:r w:rsidR="00B7274E" w:rsidRPr="00FD4C39">
        <w:rPr>
          <w:rFonts w:ascii="Times New Roman" w:hAnsi="Times New Roman" w:cs="Times New Roman"/>
          <w:sz w:val="24"/>
          <w:szCs w:val="24"/>
        </w:rPr>
        <w:t>ава</w:t>
      </w:r>
      <w:r w:rsidR="00121447" w:rsidRPr="00FD4C39">
        <w:rPr>
          <w:rFonts w:ascii="Times New Roman" w:hAnsi="Times New Roman" w:cs="Times New Roman"/>
          <w:sz w:val="24"/>
          <w:szCs w:val="24"/>
        </w:rPr>
        <w:t xml:space="preserve"> съвместната дейност на </w:t>
      </w:r>
      <w:r w:rsidR="00FE7018" w:rsidRPr="00FD4C39">
        <w:rPr>
          <w:rFonts w:ascii="Times New Roman" w:hAnsi="Times New Roman" w:cs="Times New Roman"/>
          <w:sz w:val="24"/>
          <w:szCs w:val="24"/>
        </w:rPr>
        <w:t>КЗЛД</w:t>
      </w:r>
      <w:r w:rsidR="00121447" w:rsidRPr="00FD4C39">
        <w:rPr>
          <w:rFonts w:ascii="Times New Roman" w:hAnsi="Times New Roman" w:cs="Times New Roman"/>
          <w:sz w:val="24"/>
          <w:szCs w:val="24"/>
        </w:rPr>
        <w:t xml:space="preserve"> с Държавна агенция </w:t>
      </w:r>
      <w:r w:rsidR="004931E5" w:rsidRPr="00FD4C39">
        <w:rPr>
          <w:rFonts w:ascii="Times New Roman" w:hAnsi="Times New Roman" w:cs="Times New Roman"/>
          <w:sz w:val="24"/>
          <w:szCs w:val="24"/>
        </w:rPr>
        <w:t>„</w:t>
      </w:r>
      <w:r w:rsidR="00591867">
        <w:rPr>
          <w:rFonts w:ascii="Times New Roman" w:hAnsi="Times New Roman" w:cs="Times New Roman"/>
          <w:sz w:val="24"/>
          <w:szCs w:val="24"/>
        </w:rPr>
        <w:t>Национална сигурност“</w:t>
      </w:r>
      <w:r w:rsidR="00121447" w:rsidRPr="00FD4C39">
        <w:rPr>
          <w:rFonts w:ascii="Times New Roman" w:hAnsi="Times New Roman" w:cs="Times New Roman"/>
          <w:sz w:val="24"/>
          <w:szCs w:val="24"/>
        </w:rPr>
        <w:t xml:space="preserve"> </w:t>
      </w:r>
      <w:r w:rsidR="002E681A" w:rsidRPr="00FD4C39">
        <w:rPr>
          <w:rFonts w:ascii="Times New Roman" w:hAnsi="Times New Roman" w:cs="Times New Roman"/>
          <w:sz w:val="24"/>
          <w:szCs w:val="24"/>
        </w:rPr>
        <w:t xml:space="preserve">(ДАНС) </w:t>
      </w:r>
      <w:r w:rsidR="00121447" w:rsidRPr="00FD4C39">
        <w:rPr>
          <w:rFonts w:ascii="Times New Roman" w:hAnsi="Times New Roman" w:cs="Times New Roman"/>
          <w:sz w:val="24"/>
          <w:szCs w:val="24"/>
        </w:rPr>
        <w:t xml:space="preserve">в рамките на проект </w:t>
      </w:r>
      <w:r w:rsidR="004931E5" w:rsidRPr="00FD4C39">
        <w:rPr>
          <w:rFonts w:ascii="Times New Roman" w:hAnsi="Times New Roman" w:cs="Times New Roman"/>
          <w:sz w:val="24"/>
          <w:szCs w:val="24"/>
        </w:rPr>
        <w:t>„</w:t>
      </w:r>
      <w:r w:rsidR="00121447" w:rsidRPr="00FD4C39">
        <w:rPr>
          <w:rFonts w:ascii="Times New Roman" w:hAnsi="Times New Roman" w:cs="Times New Roman"/>
          <w:sz w:val="24"/>
          <w:szCs w:val="24"/>
        </w:rPr>
        <w:t>Създаване на Национално информационно звено за събиране и обработване на PNR данни в Република България</w:t>
      </w:r>
      <w:r w:rsidR="00591867">
        <w:rPr>
          <w:rFonts w:ascii="Times New Roman" w:hAnsi="Times New Roman" w:cs="Times New Roman"/>
          <w:sz w:val="24"/>
          <w:szCs w:val="24"/>
        </w:rPr>
        <w:t>“</w:t>
      </w:r>
      <w:r w:rsidR="00121447" w:rsidRPr="00FD4C39">
        <w:rPr>
          <w:rStyle w:val="google-src-text1"/>
          <w:rFonts w:ascii="Times New Roman" w:hAnsi="Times New Roman" w:cs="Times New Roman"/>
          <w:bCs/>
          <w:vanish w:val="0"/>
          <w:sz w:val="24"/>
          <w:szCs w:val="24"/>
          <w:specVanish w:val="0"/>
        </w:rPr>
        <w:t>.</w:t>
      </w:r>
      <w:r w:rsidR="00EF3620" w:rsidRPr="00FD4C39">
        <w:rPr>
          <w:rStyle w:val="google-src-text1"/>
          <w:rFonts w:ascii="Times New Roman" w:hAnsi="Times New Roman" w:cs="Times New Roman"/>
          <w:bCs/>
          <w:vanish w:val="0"/>
          <w:sz w:val="24"/>
          <w:szCs w:val="24"/>
          <w:specVanish w:val="0"/>
        </w:rPr>
        <w:t xml:space="preserve"> </w:t>
      </w:r>
      <w:r w:rsidR="00FE7018" w:rsidRPr="00FD4C39">
        <w:rPr>
          <w:rStyle w:val="google-src-text1"/>
          <w:rFonts w:ascii="Times New Roman" w:hAnsi="Times New Roman" w:cs="Times New Roman"/>
          <w:bCs/>
          <w:vanish w:val="0"/>
          <w:sz w:val="24"/>
          <w:szCs w:val="24"/>
          <w:specVanish w:val="0"/>
        </w:rPr>
        <w:t>КЗЛД</w:t>
      </w:r>
      <w:r w:rsidR="00EF3620" w:rsidRPr="00FD4C39">
        <w:rPr>
          <w:rStyle w:val="google-src-text1"/>
          <w:rFonts w:ascii="Times New Roman" w:hAnsi="Times New Roman" w:cs="Times New Roman"/>
          <w:bCs/>
          <w:vanish w:val="0"/>
          <w:sz w:val="24"/>
          <w:szCs w:val="24"/>
          <w:specVanish w:val="0"/>
        </w:rPr>
        <w:t xml:space="preserve"> редовно участва в работните срещи по проекта. Представители на КЗЛД са включени в отделна работна група </w:t>
      </w:r>
      <w:r w:rsidR="00EB4EB6" w:rsidRPr="00FD4C39">
        <w:rPr>
          <w:rStyle w:val="google-src-text1"/>
          <w:rFonts w:ascii="Times New Roman" w:hAnsi="Times New Roman" w:cs="Times New Roman"/>
          <w:bCs/>
          <w:vanish w:val="0"/>
          <w:sz w:val="24"/>
          <w:szCs w:val="24"/>
          <w:specVanish w:val="0"/>
        </w:rPr>
        <w:t xml:space="preserve">към ДАНС за изготвяне на проект на законови изменения с цел създаване на необходимите нормативни предпоставки за създаване на Националното информационно звено за събиране </w:t>
      </w:r>
      <w:r w:rsidR="00EB4EB6" w:rsidRPr="00FD4C39">
        <w:rPr>
          <w:rFonts w:ascii="Times New Roman" w:hAnsi="Times New Roman" w:cs="Times New Roman"/>
          <w:sz w:val="24"/>
          <w:szCs w:val="24"/>
        </w:rPr>
        <w:t xml:space="preserve">и обработване на PNR данни. </w:t>
      </w:r>
      <w:r w:rsidR="00B7274E" w:rsidRPr="00FD4C39">
        <w:rPr>
          <w:rStyle w:val="google-src-text1"/>
          <w:rFonts w:ascii="Times New Roman" w:hAnsi="Times New Roman" w:cs="Times New Roman"/>
          <w:bCs/>
          <w:vanish w:val="0"/>
          <w:sz w:val="24"/>
          <w:szCs w:val="24"/>
          <w:specVanish w:val="0"/>
        </w:rPr>
        <w:t xml:space="preserve">КЗЛД е </w:t>
      </w:r>
      <w:r w:rsidR="00B7274E" w:rsidRPr="00FD4C39">
        <w:rPr>
          <w:rStyle w:val="google-src-text1"/>
          <w:rFonts w:ascii="Times New Roman" w:hAnsi="Times New Roman" w:cs="Times New Roman"/>
          <w:bCs/>
          <w:vanish w:val="0"/>
          <w:sz w:val="24"/>
          <w:szCs w:val="24"/>
          <w:specVanish w:val="0"/>
        </w:rPr>
        <w:lastRenderedPageBreak/>
        <w:t xml:space="preserve">поканена </w:t>
      </w:r>
      <w:r w:rsidR="002D4140" w:rsidRPr="00FD4C39">
        <w:rPr>
          <w:rStyle w:val="google-src-text1"/>
          <w:rFonts w:ascii="Times New Roman" w:hAnsi="Times New Roman" w:cs="Times New Roman"/>
          <w:bCs/>
          <w:vanish w:val="0"/>
          <w:sz w:val="24"/>
          <w:szCs w:val="24"/>
          <w:specVanish w:val="0"/>
        </w:rPr>
        <w:t>на</w:t>
      </w:r>
      <w:r w:rsidR="00010439" w:rsidRPr="00FD4C39">
        <w:rPr>
          <w:rStyle w:val="google-src-text1"/>
          <w:rFonts w:ascii="Times New Roman" w:hAnsi="Times New Roman" w:cs="Times New Roman"/>
          <w:bCs/>
          <w:vanish w:val="0"/>
          <w:sz w:val="24"/>
          <w:szCs w:val="24"/>
          <w:specVanish w:val="0"/>
        </w:rPr>
        <w:t xml:space="preserve"> семинар</w:t>
      </w:r>
      <w:r w:rsidR="008D412F" w:rsidRPr="00FD4C39">
        <w:rPr>
          <w:rStyle w:val="google-src-text1"/>
          <w:rFonts w:ascii="Times New Roman" w:hAnsi="Times New Roman" w:cs="Times New Roman"/>
          <w:bCs/>
          <w:vanish w:val="0"/>
          <w:sz w:val="24"/>
          <w:szCs w:val="24"/>
          <w:specVanish w:val="0"/>
        </w:rPr>
        <w:t>, организиран от ДАНС,</w:t>
      </w:r>
      <w:r w:rsidR="00010439" w:rsidRPr="00FD4C39">
        <w:rPr>
          <w:rStyle w:val="google-src-text1"/>
          <w:rFonts w:ascii="Times New Roman" w:hAnsi="Times New Roman" w:cs="Times New Roman"/>
          <w:bCs/>
          <w:vanish w:val="0"/>
          <w:sz w:val="24"/>
          <w:szCs w:val="24"/>
          <w:specVanish w:val="0"/>
        </w:rPr>
        <w:t xml:space="preserve"> с участието на </w:t>
      </w:r>
      <w:r w:rsidR="002D4140" w:rsidRPr="00FD4C39">
        <w:rPr>
          <w:rStyle w:val="google-src-text1"/>
          <w:rFonts w:ascii="Times New Roman" w:hAnsi="Times New Roman" w:cs="Times New Roman"/>
          <w:bCs/>
          <w:vanish w:val="0"/>
          <w:sz w:val="24"/>
          <w:szCs w:val="24"/>
          <w:specVanish w:val="0"/>
        </w:rPr>
        <w:t xml:space="preserve">наземни оператори и </w:t>
      </w:r>
      <w:proofErr w:type="spellStart"/>
      <w:r w:rsidR="00010439" w:rsidRPr="00FD4C39">
        <w:rPr>
          <w:rStyle w:val="google-src-text1"/>
          <w:rFonts w:ascii="Times New Roman" w:hAnsi="Times New Roman" w:cs="Times New Roman"/>
          <w:bCs/>
          <w:vanish w:val="0"/>
          <w:sz w:val="24"/>
          <w:szCs w:val="24"/>
          <w:specVanish w:val="0"/>
        </w:rPr>
        <w:t>авиопревозвачи</w:t>
      </w:r>
      <w:proofErr w:type="spellEnd"/>
      <w:r w:rsidR="00010439" w:rsidRPr="00FD4C39">
        <w:rPr>
          <w:rStyle w:val="google-src-text1"/>
          <w:rFonts w:ascii="Times New Roman" w:hAnsi="Times New Roman" w:cs="Times New Roman"/>
          <w:bCs/>
          <w:vanish w:val="0"/>
          <w:sz w:val="24"/>
          <w:szCs w:val="24"/>
          <w:specVanish w:val="0"/>
        </w:rPr>
        <w:t>, които оперират на територията на Република България</w:t>
      </w:r>
      <w:r w:rsidR="002D4140" w:rsidRPr="00FD4C39">
        <w:rPr>
          <w:rStyle w:val="google-src-text1"/>
          <w:rFonts w:ascii="Times New Roman" w:hAnsi="Times New Roman" w:cs="Times New Roman"/>
          <w:bCs/>
          <w:vanish w:val="0"/>
          <w:sz w:val="24"/>
          <w:szCs w:val="24"/>
          <w:specVanish w:val="0"/>
        </w:rPr>
        <w:t>.</w:t>
      </w:r>
      <w:r w:rsidR="00E51276" w:rsidRPr="00FD4C39">
        <w:rPr>
          <w:rStyle w:val="google-src-text1"/>
          <w:rFonts w:ascii="Times New Roman" w:hAnsi="Times New Roman" w:cs="Times New Roman"/>
          <w:bCs/>
          <w:vanish w:val="0"/>
          <w:sz w:val="24"/>
          <w:szCs w:val="24"/>
          <w:specVanish w:val="0"/>
        </w:rPr>
        <w:t xml:space="preserve"> </w:t>
      </w:r>
      <w:r w:rsidR="002D4140" w:rsidRPr="00FD4C39">
        <w:rPr>
          <w:rStyle w:val="google-src-text1"/>
          <w:rFonts w:ascii="Times New Roman" w:hAnsi="Times New Roman" w:cs="Times New Roman"/>
          <w:bCs/>
          <w:vanish w:val="0"/>
          <w:sz w:val="24"/>
          <w:szCs w:val="24"/>
          <w:specVanish w:val="0"/>
        </w:rPr>
        <w:t>П</w:t>
      </w:r>
      <w:r w:rsidR="00B7274E" w:rsidRPr="00FD4C39">
        <w:rPr>
          <w:rStyle w:val="google-src-text1"/>
          <w:rFonts w:ascii="Times New Roman" w:hAnsi="Times New Roman" w:cs="Times New Roman"/>
          <w:bCs/>
          <w:vanish w:val="0"/>
          <w:sz w:val="24"/>
          <w:szCs w:val="24"/>
          <w:specVanish w:val="0"/>
        </w:rPr>
        <w:t>о покана на организаторите</w:t>
      </w:r>
      <w:r w:rsidR="00E51276" w:rsidRPr="00FD4C39">
        <w:rPr>
          <w:rStyle w:val="google-src-text1"/>
          <w:rFonts w:ascii="Times New Roman" w:hAnsi="Times New Roman" w:cs="Times New Roman"/>
          <w:bCs/>
          <w:vanish w:val="0"/>
          <w:sz w:val="24"/>
          <w:szCs w:val="24"/>
          <w:specVanish w:val="0"/>
        </w:rPr>
        <w:t xml:space="preserve"> представител на </w:t>
      </w:r>
      <w:r w:rsidR="00B7274E" w:rsidRPr="00FD4C39">
        <w:rPr>
          <w:rStyle w:val="google-src-text1"/>
          <w:rFonts w:ascii="Times New Roman" w:hAnsi="Times New Roman" w:cs="Times New Roman"/>
          <w:bCs/>
          <w:vanish w:val="0"/>
          <w:sz w:val="24"/>
          <w:szCs w:val="24"/>
          <w:specVanish w:val="0"/>
        </w:rPr>
        <w:t>КЗЛД</w:t>
      </w:r>
      <w:r w:rsidR="00E51276" w:rsidRPr="00FD4C39">
        <w:rPr>
          <w:rStyle w:val="google-src-text1"/>
          <w:rFonts w:ascii="Times New Roman" w:hAnsi="Times New Roman" w:cs="Times New Roman"/>
          <w:bCs/>
          <w:vanish w:val="0"/>
          <w:sz w:val="24"/>
          <w:szCs w:val="24"/>
          <w:specVanish w:val="0"/>
        </w:rPr>
        <w:t xml:space="preserve"> изн</w:t>
      </w:r>
      <w:r w:rsidR="00B7274E" w:rsidRPr="00FD4C39">
        <w:rPr>
          <w:rStyle w:val="google-src-text1"/>
          <w:rFonts w:ascii="Times New Roman" w:hAnsi="Times New Roman" w:cs="Times New Roman"/>
          <w:bCs/>
          <w:vanish w:val="0"/>
          <w:sz w:val="24"/>
          <w:szCs w:val="24"/>
          <w:specVanish w:val="0"/>
        </w:rPr>
        <w:t>ася</w:t>
      </w:r>
      <w:r w:rsidR="00E51276" w:rsidRPr="00FD4C39">
        <w:rPr>
          <w:rStyle w:val="google-src-text1"/>
          <w:rFonts w:ascii="Times New Roman" w:hAnsi="Times New Roman" w:cs="Times New Roman"/>
          <w:bCs/>
          <w:vanish w:val="0"/>
          <w:sz w:val="24"/>
          <w:szCs w:val="24"/>
          <w:specVanish w:val="0"/>
        </w:rPr>
        <w:t xml:space="preserve"> лекция на тема „Мерките за защита на личните данни на пътниците при обработката им в </w:t>
      </w:r>
      <w:r w:rsidR="00E51276" w:rsidRPr="00FD4C39">
        <w:rPr>
          <w:rFonts w:ascii="Times New Roman" w:hAnsi="Times New Roman" w:cs="Times New Roman"/>
          <w:sz w:val="24"/>
          <w:szCs w:val="24"/>
        </w:rPr>
        <w:t>PNR</w:t>
      </w:r>
      <w:r w:rsidR="00E51276" w:rsidRPr="00FD4C39">
        <w:rPr>
          <w:rStyle w:val="google-src-text1"/>
          <w:rFonts w:ascii="Times New Roman" w:hAnsi="Times New Roman" w:cs="Times New Roman"/>
          <w:bCs/>
          <w:vanish w:val="0"/>
          <w:sz w:val="24"/>
          <w:szCs w:val="24"/>
          <w:specVanish w:val="0"/>
        </w:rPr>
        <w:t xml:space="preserve"> звеното</w:t>
      </w:r>
      <w:r w:rsidR="00591867">
        <w:rPr>
          <w:rStyle w:val="google-src-text1"/>
          <w:rFonts w:ascii="Times New Roman" w:hAnsi="Times New Roman" w:cs="Times New Roman"/>
          <w:bCs/>
          <w:vanish w:val="0"/>
          <w:sz w:val="24"/>
          <w:szCs w:val="24"/>
          <w:specVanish w:val="0"/>
        </w:rPr>
        <w:t>“</w:t>
      </w:r>
      <w:r w:rsidR="00E51276" w:rsidRPr="00FD4C39">
        <w:rPr>
          <w:rStyle w:val="google-src-text1"/>
          <w:rFonts w:ascii="Times New Roman" w:hAnsi="Times New Roman" w:cs="Times New Roman"/>
          <w:bCs/>
          <w:vanish w:val="0"/>
          <w:sz w:val="24"/>
          <w:szCs w:val="24"/>
          <w:specVanish w:val="0"/>
        </w:rPr>
        <w:t>.</w:t>
      </w:r>
    </w:p>
    <w:p w:rsidR="00742630" w:rsidRPr="00FD4C39" w:rsidRDefault="00742630"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изпълнение на правомощието си да поддържа регистър на </w:t>
      </w:r>
      <w:r w:rsidR="00B94345" w:rsidRPr="00FD4C39">
        <w:rPr>
          <w:rFonts w:ascii="Times New Roman" w:eastAsia="Calibri" w:hAnsi="Times New Roman" w:cs="Times New Roman"/>
          <w:sz w:val="24"/>
          <w:szCs w:val="24"/>
        </w:rPr>
        <w:t>АЛД и</w:t>
      </w:r>
      <w:r w:rsidR="009F558E">
        <w:rPr>
          <w:rFonts w:ascii="Times New Roman" w:eastAsia="Calibri" w:hAnsi="Times New Roman" w:cs="Times New Roman"/>
          <w:sz w:val="24"/>
          <w:szCs w:val="24"/>
        </w:rPr>
        <w:t xml:space="preserve"> на водените от тях регистри</w:t>
      </w:r>
      <w:r w:rsidRPr="00FD4C39">
        <w:rPr>
          <w:rFonts w:ascii="Times New Roman" w:eastAsia="Calibri" w:hAnsi="Times New Roman" w:cs="Times New Roman"/>
          <w:sz w:val="24"/>
          <w:szCs w:val="24"/>
        </w:rPr>
        <w:t xml:space="preserve"> КЗЛД взаимодейства с </w:t>
      </w:r>
      <w:r w:rsidR="00EF364C" w:rsidRPr="00FD4C39">
        <w:rPr>
          <w:rFonts w:ascii="Times New Roman" w:eastAsia="Calibri" w:hAnsi="Times New Roman" w:cs="Times New Roman"/>
          <w:sz w:val="24"/>
          <w:szCs w:val="24"/>
        </w:rPr>
        <w:t xml:space="preserve">Главна дирекция </w:t>
      </w:r>
      <w:r w:rsidR="004931E5" w:rsidRPr="00FD4C39">
        <w:rPr>
          <w:rFonts w:ascii="Times New Roman" w:eastAsia="Calibri" w:hAnsi="Times New Roman" w:cs="Times New Roman"/>
          <w:sz w:val="24"/>
          <w:szCs w:val="24"/>
        </w:rPr>
        <w:t>„</w:t>
      </w:r>
      <w:r w:rsidR="00DC0A8C" w:rsidRPr="00FD4C39">
        <w:rPr>
          <w:rFonts w:ascii="Times New Roman" w:eastAsia="Calibri" w:hAnsi="Times New Roman" w:cs="Times New Roman"/>
          <w:sz w:val="24"/>
          <w:szCs w:val="24"/>
        </w:rPr>
        <w:t>Гражданска регистрация и административно обслужване</w:t>
      </w:r>
      <w:r w:rsidR="00CF0F1F" w:rsidRPr="00FD4C39">
        <w:rPr>
          <w:rFonts w:ascii="Times New Roman" w:eastAsia="Calibri" w:hAnsi="Times New Roman" w:cs="Times New Roman"/>
          <w:sz w:val="24"/>
          <w:szCs w:val="24"/>
        </w:rPr>
        <w:t>“</w:t>
      </w:r>
      <w:r w:rsidR="00DC0A8C" w:rsidRPr="00FD4C39">
        <w:rPr>
          <w:rFonts w:ascii="Times New Roman" w:eastAsia="Calibri" w:hAnsi="Times New Roman" w:cs="Times New Roman"/>
          <w:sz w:val="24"/>
          <w:szCs w:val="24"/>
        </w:rPr>
        <w:t xml:space="preserve"> (ГД ГРАО)</w:t>
      </w:r>
      <w:r w:rsidR="00EF364C" w:rsidRPr="00FD4C39">
        <w:rPr>
          <w:rFonts w:ascii="Times New Roman" w:eastAsia="Calibri" w:hAnsi="Times New Roman" w:cs="Times New Roman"/>
          <w:sz w:val="24"/>
          <w:szCs w:val="24"/>
        </w:rPr>
        <w:t xml:space="preserve"> към Министерството на регионалното развитие по отношение предоставяне на достъп до лични данни от Национална база данни </w:t>
      </w:r>
      <w:r w:rsidR="004931E5" w:rsidRPr="00FD4C39">
        <w:rPr>
          <w:rFonts w:ascii="Times New Roman" w:eastAsia="Calibri" w:hAnsi="Times New Roman" w:cs="Times New Roman"/>
          <w:sz w:val="24"/>
          <w:szCs w:val="24"/>
        </w:rPr>
        <w:t>„</w:t>
      </w:r>
      <w:r w:rsidR="00EF364C" w:rsidRPr="00FD4C39">
        <w:rPr>
          <w:rFonts w:ascii="Times New Roman" w:eastAsia="Calibri" w:hAnsi="Times New Roman" w:cs="Times New Roman"/>
          <w:sz w:val="24"/>
          <w:szCs w:val="24"/>
        </w:rPr>
        <w:t>Населен</w:t>
      </w:r>
      <w:r w:rsidR="008D637F" w:rsidRPr="00FD4C39">
        <w:rPr>
          <w:rFonts w:ascii="Times New Roman" w:eastAsia="Calibri" w:hAnsi="Times New Roman" w:cs="Times New Roman"/>
          <w:sz w:val="24"/>
          <w:szCs w:val="24"/>
        </w:rPr>
        <w:t>ие</w:t>
      </w:r>
      <w:r w:rsidR="00CF0F1F" w:rsidRPr="00FD4C39">
        <w:rPr>
          <w:rFonts w:ascii="Times New Roman" w:eastAsia="Calibri" w:hAnsi="Times New Roman" w:cs="Times New Roman"/>
          <w:sz w:val="24"/>
          <w:szCs w:val="24"/>
        </w:rPr>
        <w:t>“</w:t>
      </w:r>
      <w:r w:rsidR="008D637F" w:rsidRPr="00FD4C39">
        <w:rPr>
          <w:rFonts w:ascii="Times New Roman" w:eastAsia="Calibri" w:hAnsi="Times New Roman" w:cs="Times New Roman"/>
          <w:sz w:val="24"/>
          <w:szCs w:val="24"/>
        </w:rPr>
        <w:t xml:space="preserve"> за конкретно физическо лице, както и </w:t>
      </w:r>
      <w:r w:rsidR="00EF364C" w:rsidRPr="00FD4C39">
        <w:rPr>
          <w:rFonts w:ascii="Times New Roman" w:eastAsia="Calibri" w:hAnsi="Times New Roman" w:cs="Times New Roman"/>
          <w:sz w:val="24"/>
          <w:szCs w:val="24"/>
        </w:rPr>
        <w:t xml:space="preserve">с Агенцията по вписванията към Министерството на правосъдието в частта Регистър БУЛСТАТ и Търговски регистър. От двете институции КЗЛД получава данни за физически или юридически лица, както и за органи на държавната власт или на местното самоуправление в качеството им на </w:t>
      </w:r>
      <w:r w:rsidR="00D21C02" w:rsidRPr="00FD4C39">
        <w:rPr>
          <w:rFonts w:ascii="Times New Roman" w:eastAsia="Calibri" w:hAnsi="Times New Roman" w:cs="Times New Roman"/>
          <w:sz w:val="24"/>
          <w:szCs w:val="24"/>
        </w:rPr>
        <w:t>АЛД</w:t>
      </w:r>
      <w:r w:rsidR="00EF364C" w:rsidRPr="00FD4C39">
        <w:rPr>
          <w:rFonts w:ascii="Times New Roman" w:eastAsia="Calibri" w:hAnsi="Times New Roman" w:cs="Times New Roman"/>
          <w:sz w:val="24"/>
          <w:szCs w:val="24"/>
        </w:rPr>
        <w:t>. Тази информация е необходима за поддържане на регистъра по</w:t>
      </w:r>
      <w:r w:rsidR="00884B97">
        <w:rPr>
          <w:rFonts w:ascii="Times New Roman" w:eastAsia="Calibri" w:hAnsi="Times New Roman" w:cs="Times New Roman"/>
          <w:sz w:val="24"/>
          <w:szCs w:val="24"/>
        </w:rPr>
        <w:t xml:space="preserve"> чл. </w:t>
      </w:r>
      <w:r w:rsidR="00EF364C" w:rsidRPr="00FD4C39">
        <w:rPr>
          <w:rFonts w:ascii="Times New Roman" w:eastAsia="Calibri" w:hAnsi="Times New Roman" w:cs="Times New Roman"/>
          <w:sz w:val="24"/>
          <w:szCs w:val="24"/>
        </w:rPr>
        <w:t>10,</w:t>
      </w:r>
      <w:r w:rsidR="00884B97">
        <w:rPr>
          <w:rFonts w:ascii="Times New Roman" w:eastAsia="Calibri" w:hAnsi="Times New Roman" w:cs="Times New Roman"/>
          <w:sz w:val="24"/>
          <w:szCs w:val="24"/>
        </w:rPr>
        <w:t xml:space="preserve"> ал. </w:t>
      </w:r>
      <w:r w:rsidR="00EF364C" w:rsidRPr="00FD4C39">
        <w:rPr>
          <w:rFonts w:ascii="Times New Roman" w:eastAsia="Calibri" w:hAnsi="Times New Roman" w:cs="Times New Roman"/>
          <w:sz w:val="24"/>
          <w:szCs w:val="24"/>
        </w:rPr>
        <w:t>1,</w:t>
      </w:r>
      <w:r w:rsidR="00884B97">
        <w:rPr>
          <w:rFonts w:ascii="Times New Roman" w:eastAsia="Calibri" w:hAnsi="Times New Roman" w:cs="Times New Roman"/>
          <w:sz w:val="24"/>
          <w:szCs w:val="24"/>
        </w:rPr>
        <w:t xml:space="preserve"> т. </w:t>
      </w:r>
      <w:r w:rsidR="00EF364C" w:rsidRPr="00FD4C39">
        <w:rPr>
          <w:rFonts w:ascii="Times New Roman" w:eastAsia="Calibri" w:hAnsi="Times New Roman" w:cs="Times New Roman"/>
          <w:sz w:val="24"/>
          <w:szCs w:val="24"/>
        </w:rPr>
        <w:t>2 от ЗЗЛД.</w:t>
      </w:r>
    </w:p>
    <w:p w:rsidR="00742630"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КЗЛД предоставя информация</w:t>
      </w:r>
      <w:r w:rsidR="00A32D71"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при поискване на структури на МВР и на тези от</w:t>
      </w:r>
      <w:r w:rsidR="00742630" w:rsidRPr="00FD4C39">
        <w:rPr>
          <w:rFonts w:ascii="Times New Roman" w:eastAsia="Calibri" w:hAnsi="Times New Roman" w:cs="Times New Roman"/>
          <w:sz w:val="24"/>
          <w:szCs w:val="24"/>
        </w:rPr>
        <w:t xml:space="preserve"> съдебната власт</w:t>
      </w:r>
      <w:r w:rsidR="00A32D71" w:rsidRPr="00FD4C39">
        <w:rPr>
          <w:rFonts w:ascii="Times New Roman" w:eastAsia="Calibri" w:hAnsi="Times New Roman" w:cs="Times New Roman"/>
          <w:sz w:val="24"/>
          <w:szCs w:val="24"/>
        </w:rPr>
        <w:t>,</w:t>
      </w:r>
      <w:r w:rsidR="00742630" w:rsidRPr="00FD4C39">
        <w:rPr>
          <w:rFonts w:ascii="Times New Roman" w:eastAsia="Calibri" w:hAnsi="Times New Roman" w:cs="Times New Roman"/>
          <w:sz w:val="24"/>
          <w:szCs w:val="24"/>
        </w:rPr>
        <w:t xml:space="preserve"> за състоянието на регистрацията на конкретни </w:t>
      </w:r>
      <w:r w:rsidR="00D21C02" w:rsidRPr="00FD4C39">
        <w:rPr>
          <w:rFonts w:ascii="Times New Roman" w:eastAsia="Calibri" w:hAnsi="Times New Roman" w:cs="Times New Roman"/>
          <w:sz w:val="24"/>
          <w:szCs w:val="24"/>
        </w:rPr>
        <w:t>АЛД</w:t>
      </w:r>
      <w:r w:rsidR="00742630" w:rsidRPr="00FD4C39">
        <w:rPr>
          <w:rFonts w:ascii="Times New Roman" w:eastAsia="Calibri" w:hAnsi="Times New Roman" w:cs="Times New Roman"/>
          <w:sz w:val="24"/>
          <w:szCs w:val="24"/>
        </w:rPr>
        <w:t>.</w:t>
      </w:r>
    </w:p>
    <w:p w:rsidR="00E04B41"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2014 година </w:t>
      </w:r>
      <w:r w:rsidR="00FE7018" w:rsidRPr="00FD4C39">
        <w:rPr>
          <w:rFonts w:ascii="Times New Roman" w:eastAsia="Calibri" w:hAnsi="Times New Roman" w:cs="Times New Roman"/>
          <w:sz w:val="24"/>
          <w:szCs w:val="24"/>
        </w:rPr>
        <w:t>КЗЛД</w:t>
      </w:r>
      <w:r w:rsidR="0068621A" w:rsidRPr="00FD4C39">
        <w:rPr>
          <w:rFonts w:ascii="Times New Roman" w:eastAsia="Calibri" w:hAnsi="Times New Roman" w:cs="Times New Roman"/>
          <w:sz w:val="24"/>
          <w:szCs w:val="24"/>
        </w:rPr>
        <w:t xml:space="preserve"> </w:t>
      </w:r>
      <w:r w:rsidR="00FC4DD4" w:rsidRPr="00FD4C39">
        <w:rPr>
          <w:rFonts w:ascii="Times New Roman" w:eastAsia="Calibri" w:hAnsi="Times New Roman" w:cs="Times New Roman"/>
          <w:sz w:val="24"/>
          <w:szCs w:val="24"/>
        </w:rPr>
        <w:t>продълж</w:t>
      </w:r>
      <w:r w:rsidR="00703280">
        <w:rPr>
          <w:rFonts w:ascii="Times New Roman" w:eastAsia="Calibri" w:hAnsi="Times New Roman" w:cs="Times New Roman"/>
          <w:sz w:val="24"/>
          <w:szCs w:val="24"/>
        </w:rPr>
        <w:t>ава</w:t>
      </w:r>
      <w:r w:rsidRPr="00FD4C39">
        <w:rPr>
          <w:rFonts w:ascii="Times New Roman" w:eastAsia="Calibri" w:hAnsi="Times New Roman" w:cs="Times New Roman"/>
          <w:sz w:val="24"/>
          <w:szCs w:val="24"/>
        </w:rPr>
        <w:t xml:space="preserve"> своята последователна политика на прозрачност и откритост при осъществяването на дейнос</w:t>
      </w:r>
      <w:r w:rsidR="00FC4DD4" w:rsidRPr="00FD4C39">
        <w:rPr>
          <w:rFonts w:ascii="Times New Roman" w:eastAsia="Calibri" w:hAnsi="Times New Roman" w:cs="Times New Roman"/>
          <w:sz w:val="24"/>
          <w:szCs w:val="24"/>
        </w:rPr>
        <w:t>тта си,</w:t>
      </w:r>
      <w:r w:rsidRPr="00FD4C39">
        <w:rPr>
          <w:rFonts w:ascii="Times New Roman" w:eastAsia="Calibri" w:hAnsi="Times New Roman" w:cs="Times New Roman"/>
          <w:sz w:val="24"/>
          <w:szCs w:val="24"/>
        </w:rPr>
        <w:t xml:space="preserve"> на ползотворно партньорство и взаимодействие с други държавни органи, с представители на гражданското общество и със средствата за масова комуникация.</w:t>
      </w:r>
    </w:p>
    <w:p w:rsidR="002D4140"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Следвайки утвърдената традиция, КЗЛД ежегодно отбелязва Деня за защита на личните данни</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28 януари, като организира и реализира различни по вид и мащаб събития и инициативи. О</w:t>
      </w:r>
      <w:r w:rsidR="005925B7">
        <w:rPr>
          <w:rFonts w:ascii="Times New Roman" w:eastAsia="Calibri" w:hAnsi="Times New Roman" w:cs="Times New Roman"/>
          <w:sz w:val="24"/>
          <w:szCs w:val="24"/>
        </w:rPr>
        <w:t xml:space="preserve">рганизираните мероприятия на този ден </w:t>
      </w:r>
      <w:r w:rsidRPr="00FD4C39">
        <w:rPr>
          <w:rFonts w:ascii="Times New Roman" w:eastAsia="Calibri" w:hAnsi="Times New Roman" w:cs="Times New Roman"/>
          <w:sz w:val="24"/>
          <w:szCs w:val="24"/>
        </w:rPr>
        <w:t xml:space="preserve">целят не само да популяризират значимата дата, но и </w:t>
      </w:r>
      <w:r w:rsidR="002506B0" w:rsidRPr="00FD4C39">
        <w:rPr>
          <w:rFonts w:ascii="Times New Roman" w:eastAsia="Calibri" w:hAnsi="Times New Roman" w:cs="Times New Roman"/>
          <w:sz w:val="24"/>
          <w:szCs w:val="24"/>
        </w:rPr>
        <w:t>са насочени към повишаване на</w:t>
      </w:r>
      <w:r w:rsidRPr="00FD4C39">
        <w:rPr>
          <w:rFonts w:ascii="Times New Roman" w:eastAsia="Calibri" w:hAnsi="Times New Roman" w:cs="Times New Roman"/>
          <w:sz w:val="24"/>
          <w:szCs w:val="24"/>
        </w:rPr>
        <w:t xml:space="preserve"> обществената информираност по темата за опазването на личните данни като основен елемент на сигур</w:t>
      </w:r>
      <w:r w:rsidR="00EC5A0A" w:rsidRPr="00FD4C39">
        <w:rPr>
          <w:rFonts w:ascii="Times New Roman" w:eastAsia="Calibri" w:hAnsi="Times New Roman" w:cs="Times New Roman"/>
          <w:sz w:val="24"/>
          <w:szCs w:val="24"/>
        </w:rPr>
        <w:t xml:space="preserve">ността в съвременното общество. </w:t>
      </w:r>
    </w:p>
    <w:p w:rsidR="00A3642C" w:rsidRPr="00FD4C39" w:rsidRDefault="002506B0"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По повод деня за защита на данните през </w:t>
      </w:r>
      <w:r w:rsidR="00E04B41" w:rsidRPr="00FD4C39">
        <w:rPr>
          <w:rFonts w:ascii="Times New Roman" w:eastAsia="Calibri" w:hAnsi="Times New Roman" w:cs="Times New Roman"/>
          <w:sz w:val="24"/>
          <w:szCs w:val="24"/>
        </w:rPr>
        <w:t>2014 година КЗЛД за първи път организира и прове</w:t>
      </w:r>
      <w:r w:rsidR="002D4140" w:rsidRPr="00FD4C39">
        <w:rPr>
          <w:rFonts w:ascii="Times New Roman" w:eastAsia="Calibri" w:hAnsi="Times New Roman" w:cs="Times New Roman"/>
          <w:sz w:val="24"/>
          <w:szCs w:val="24"/>
        </w:rPr>
        <w:t>жда</w:t>
      </w:r>
      <w:r w:rsidR="00E04B41" w:rsidRPr="00FD4C39">
        <w:rPr>
          <w:rFonts w:ascii="Times New Roman" w:eastAsia="Calibri" w:hAnsi="Times New Roman" w:cs="Times New Roman"/>
          <w:sz w:val="24"/>
          <w:szCs w:val="24"/>
        </w:rPr>
        <w:t xml:space="preserve"> общо обучение на </w:t>
      </w:r>
      <w:r w:rsidR="0068621A" w:rsidRPr="00FD4C39">
        <w:rPr>
          <w:rFonts w:ascii="Times New Roman" w:eastAsia="Calibri" w:hAnsi="Times New Roman" w:cs="Times New Roman"/>
          <w:sz w:val="24"/>
          <w:szCs w:val="24"/>
        </w:rPr>
        <w:t>АЛД</w:t>
      </w:r>
      <w:r w:rsidRPr="00FD4C39">
        <w:rPr>
          <w:rFonts w:ascii="Times New Roman" w:eastAsia="Calibri" w:hAnsi="Times New Roman" w:cs="Times New Roman"/>
          <w:sz w:val="24"/>
          <w:szCs w:val="24"/>
        </w:rPr>
        <w:t xml:space="preserve"> (</w:t>
      </w:r>
      <w:r w:rsidR="00E04B41" w:rsidRPr="00FD4C39">
        <w:rPr>
          <w:rFonts w:ascii="Times New Roman" w:eastAsia="Calibri" w:hAnsi="Times New Roman" w:cs="Times New Roman"/>
          <w:sz w:val="24"/>
          <w:szCs w:val="24"/>
        </w:rPr>
        <w:t>институции и браншови организации</w:t>
      </w:r>
      <w:r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в сектора на здравеопазването. За участие в обучението </w:t>
      </w:r>
      <w:r w:rsidR="005925B7">
        <w:rPr>
          <w:rFonts w:ascii="Times New Roman" w:eastAsia="Calibri" w:hAnsi="Times New Roman" w:cs="Times New Roman"/>
          <w:sz w:val="24"/>
          <w:szCs w:val="24"/>
        </w:rPr>
        <w:t>се поканват</w:t>
      </w:r>
      <w:r w:rsidR="00E04B41" w:rsidRPr="00FD4C39">
        <w:rPr>
          <w:rFonts w:ascii="Times New Roman" w:eastAsia="Calibri" w:hAnsi="Times New Roman" w:cs="Times New Roman"/>
          <w:sz w:val="24"/>
          <w:szCs w:val="24"/>
        </w:rPr>
        <w:t xml:space="preserve"> представители на Министерство на здравеопазването, Национална здравноосигурителна каса, Център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Фонд за лечение на деца</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Национален център по наркомании, Български лекарски съюз, Български фармацевтичен съюз, Център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Фонд за </w:t>
      </w:r>
      <w:proofErr w:type="spellStart"/>
      <w:r w:rsidR="00E04B41" w:rsidRPr="00FD4C39">
        <w:rPr>
          <w:rFonts w:ascii="Times New Roman" w:eastAsia="Calibri" w:hAnsi="Times New Roman" w:cs="Times New Roman"/>
          <w:sz w:val="24"/>
          <w:szCs w:val="24"/>
        </w:rPr>
        <w:t>асистирана</w:t>
      </w:r>
      <w:proofErr w:type="spellEnd"/>
      <w:r w:rsidR="00E04B41" w:rsidRPr="00FD4C39">
        <w:rPr>
          <w:rFonts w:ascii="Times New Roman" w:eastAsia="Calibri" w:hAnsi="Times New Roman" w:cs="Times New Roman"/>
          <w:sz w:val="24"/>
          <w:szCs w:val="24"/>
        </w:rPr>
        <w:t xml:space="preserve"> репродукция</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Сдружение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Конфедерация защита на здравето</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и Сдружение с нестопанска цел </w:t>
      </w:r>
      <w:r w:rsidR="004931E5" w:rsidRPr="00FD4C39">
        <w:rPr>
          <w:rFonts w:ascii="Times New Roman" w:eastAsia="Calibri" w:hAnsi="Times New Roman" w:cs="Times New Roman"/>
          <w:sz w:val="24"/>
          <w:szCs w:val="24"/>
        </w:rPr>
        <w:lastRenderedPageBreak/>
        <w:t>„</w:t>
      </w:r>
      <w:r w:rsidR="00A3642C" w:rsidRPr="00FD4C39">
        <w:rPr>
          <w:rFonts w:ascii="Times New Roman" w:eastAsia="Calibri" w:hAnsi="Times New Roman" w:cs="Times New Roman"/>
          <w:sz w:val="24"/>
          <w:szCs w:val="24"/>
        </w:rPr>
        <w:t xml:space="preserve">Българска </w:t>
      </w:r>
      <w:r w:rsidR="00E04B41" w:rsidRPr="00FD4C39">
        <w:rPr>
          <w:rFonts w:ascii="Times New Roman" w:eastAsia="Calibri" w:hAnsi="Times New Roman" w:cs="Times New Roman"/>
          <w:sz w:val="24"/>
          <w:szCs w:val="24"/>
        </w:rPr>
        <w:t>асоциация за закрила на пациентите</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w:t>
      </w:r>
      <w:r w:rsidR="0068621A" w:rsidRPr="00FD4C39">
        <w:rPr>
          <w:rFonts w:ascii="Times New Roman" w:eastAsia="Calibri" w:hAnsi="Times New Roman" w:cs="Times New Roman"/>
          <w:sz w:val="24"/>
          <w:szCs w:val="24"/>
        </w:rPr>
        <w:t>С</w:t>
      </w:r>
      <w:r w:rsidR="00E04B41" w:rsidRPr="00FD4C39">
        <w:rPr>
          <w:rFonts w:ascii="Times New Roman" w:eastAsia="Calibri" w:hAnsi="Times New Roman" w:cs="Times New Roman"/>
          <w:sz w:val="24"/>
          <w:szCs w:val="24"/>
        </w:rPr>
        <w:t xml:space="preserve">ъбитието </w:t>
      </w:r>
      <w:r w:rsidR="003445C8">
        <w:rPr>
          <w:rFonts w:ascii="Times New Roman" w:eastAsia="Calibri" w:hAnsi="Times New Roman" w:cs="Times New Roman"/>
          <w:sz w:val="24"/>
          <w:szCs w:val="24"/>
        </w:rPr>
        <w:t xml:space="preserve">се </w:t>
      </w:r>
      <w:r w:rsidR="0068621A" w:rsidRPr="00FD4C39">
        <w:rPr>
          <w:rFonts w:ascii="Times New Roman" w:eastAsia="Calibri" w:hAnsi="Times New Roman" w:cs="Times New Roman"/>
          <w:sz w:val="24"/>
          <w:szCs w:val="24"/>
        </w:rPr>
        <w:t>посе</w:t>
      </w:r>
      <w:r w:rsidR="003445C8">
        <w:rPr>
          <w:rFonts w:ascii="Times New Roman" w:eastAsia="Calibri" w:hAnsi="Times New Roman" w:cs="Times New Roman"/>
          <w:sz w:val="24"/>
          <w:szCs w:val="24"/>
        </w:rPr>
        <w:t>щава</w:t>
      </w:r>
      <w:r w:rsidR="0068621A" w:rsidRPr="00FD4C39">
        <w:rPr>
          <w:rFonts w:ascii="Times New Roman" w:eastAsia="Calibri" w:hAnsi="Times New Roman" w:cs="Times New Roman"/>
          <w:sz w:val="24"/>
          <w:szCs w:val="24"/>
        </w:rPr>
        <w:t xml:space="preserve"> и отраз</w:t>
      </w:r>
      <w:r w:rsidR="003445C8">
        <w:rPr>
          <w:rFonts w:ascii="Times New Roman" w:eastAsia="Calibri" w:hAnsi="Times New Roman" w:cs="Times New Roman"/>
          <w:sz w:val="24"/>
          <w:szCs w:val="24"/>
        </w:rPr>
        <w:t>ява</w:t>
      </w:r>
      <w:r w:rsidR="0068621A" w:rsidRPr="00FD4C39">
        <w:rPr>
          <w:rFonts w:ascii="Times New Roman" w:eastAsia="Calibri" w:hAnsi="Times New Roman" w:cs="Times New Roman"/>
          <w:sz w:val="24"/>
          <w:szCs w:val="24"/>
        </w:rPr>
        <w:t xml:space="preserve"> от </w:t>
      </w:r>
      <w:r w:rsidR="00E04B41" w:rsidRPr="00FD4C39">
        <w:rPr>
          <w:rFonts w:ascii="Times New Roman" w:eastAsia="Calibri" w:hAnsi="Times New Roman" w:cs="Times New Roman"/>
          <w:sz w:val="24"/>
          <w:szCs w:val="24"/>
        </w:rPr>
        <w:t xml:space="preserve">представители на националните медии.  </w:t>
      </w:r>
    </w:p>
    <w:p w:rsidR="002506B0"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програмата на обучението </w:t>
      </w:r>
      <w:r w:rsidR="00AE16B5">
        <w:rPr>
          <w:rFonts w:ascii="Times New Roman" w:eastAsia="Calibri" w:hAnsi="Times New Roman" w:cs="Times New Roman"/>
          <w:sz w:val="24"/>
          <w:szCs w:val="24"/>
        </w:rPr>
        <w:t xml:space="preserve">се </w:t>
      </w:r>
      <w:r w:rsidRPr="00FD4C39">
        <w:rPr>
          <w:rFonts w:ascii="Times New Roman" w:eastAsia="Calibri" w:hAnsi="Times New Roman" w:cs="Times New Roman"/>
          <w:sz w:val="24"/>
          <w:szCs w:val="24"/>
        </w:rPr>
        <w:t>застъп</w:t>
      </w:r>
      <w:r w:rsidR="00AE16B5">
        <w:rPr>
          <w:rFonts w:ascii="Times New Roman" w:eastAsia="Calibri" w:hAnsi="Times New Roman" w:cs="Times New Roman"/>
          <w:sz w:val="24"/>
          <w:szCs w:val="24"/>
        </w:rPr>
        <w:t>ват</w:t>
      </w:r>
      <w:r w:rsidRPr="00FD4C39">
        <w:rPr>
          <w:rFonts w:ascii="Times New Roman" w:eastAsia="Calibri" w:hAnsi="Times New Roman" w:cs="Times New Roman"/>
          <w:sz w:val="24"/>
          <w:szCs w:val="24"/>
        </w:rPr>
        <w:t xml:space="preserve"> теми относно задълженията на </w:t>
      </w:r>
      <w:r w:rsidR="0068621A" w:rsidRPr="00FD4C39">
        <w:rPr>
          <w:rFonts w:ascii="Times New Roman" w:eastAsia="Calibri" w:hAnsi="Times New Roman" w:cs="Times New Roman"/>
          <w:sz w:val="24"/>
          <w:szCs w:val="24"/>
        </w:rPr>
        <w:t>АЛД</w:t>
      </w:r>
      <w:r w:rsidR="00A3642C"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обработващи лични данни, правата на физическите лица, както и обработването на чувствителни лични данни в сферата на здравеопазването. Специално внимание </w:t>
      </w:r>
      <w:r w:rsidR="00112AF4">
        <w:rPr>
          <w:rFonts w:ascii="Times New Roman" w:eastAsia="Calibri" w:hAnsi="Times New Roman" w:cs="Times New Roman"/>
          <w:sz w:val="24"/>
          <w:szCs w:val="24"/>
        </w:rPr>
        <w:t xml:space="preserve">се </w:t>
      </w:r>
      <w:r w:rsidRPr="00FD4C39">
        <w:rPr>
          <w:rFonts w:ascii="Times New Roman" w:eastAsia="Calibri" w:hAnsi="Times New Roman" w:cs="Times New Roman"/>
          <w:sz w:val="24"/>
          <w:szCs w:val="24"/>
        </w:rPr>
        <w:t>об</w:t>
      </w:r>
      <w:r w:rsidR="00112AF4">
        <w:rPr>
          <w:rFonts w:ascii="Times New Roman" w:eastAsia="Calibri" w:hAnsi="Times New Roman" w:cs="Times New Roman"/>
          <w:sz w:val="24"/>
          <w:szCs w:val="24"/>
        </w:rPr>
        <w:t>ръща</w:t>
      </w:r>
      <w:r w:rsidRPr="00FD4C39">
        <w:rPr>
          <w:rFonts w:ascii="Times New Roman" w:eastAsia="Calibri" w:hAnsi="Times New Roman" w:cs="Times New Roman"/>
          <w:sz w:val="24"/>
          <w:szCs w:val="24"/>
        </w:rPr>
        <w:t xml:space="preserve"> на мерките за защита и тенденциите за развитие в обл</w:t>
      </w:r>
      <w:r w:rsidR="00E82C6A" w:rsidRPr="00FD4C39">
        <w:rPr>
          <w:rFonts w:ascii="Times New Roman" w:eastAsia="Calibri" w:hAnsi="Times New Roman" w:cs="Times New Roman"/>
          <w:sz w:val="24"/>
          <w:szCs w:val="24"/>
        </w:rPr>
        <w:t>астта на здравеопазването. П</w:t>
      </w:r>
      <w:r w:rsidR="00112AF4">
        <w:rPr>
          <w:rFonts w:ascii="Times New Roman" w:eastAsia="Calibri" w:hAnsi="Times New Roman" w:cs="Times New Roman"/>
          <w:sz w:val="24"/>
          <w:szCs w:val="24"/>
        </w:rPr>
        <w:t>редставят се</w:t>
      </w:r>
      <w:r w:rsidR="00E82C6A"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конкретни примери и казуси от практиката на КЗЛД, свързани със задълженията на администраторите и нарушенията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w:t>
      </w:r>
    </w:p>
    <w:p w:rsidR="00E04B41" w:rsidRPr="00FD4C39" w:rsidRDefault="002506B0"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 същия ден</w:t>
      </w:r>
      <w:r w:rsidR="0068621A"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в </w:t>
      </w:r>
      <w:r w:rsidR="00E04B41" w:rsidRPr="00FD4C39">
        <w:rPr>
          <w:rFonts w:ascii="Times New Roman" w:eastAsia="Calibri" w:hAnsi="Times New Roman" w:cs="Times New Roman"/>
          <w:sz w:val="24"/>
          <w:szCs w:val="24"/>
        </w:rPr>
        <w:t>открита приемна</w:t>
      </w:r>
      <w:r w:rsidR="00B62CE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E04B41" w:rsidRPr="00FD4C39">
        <w:rPr>
          <w:rFonts w:ascii="Times New Roman" w:eastAsia="Calibri" w:hAnsi="Times New Roman" w:cs="Times New Roman"/>
          <w:sz w:val="24"/>
          <w:szCs w:val="24"/>
        </w:rPr>
        <w:t xml:space="preserve"> предостав</w:t>
      </w:r>
      <w:r w:rsidR="002D4140" w:rsidRPr="00FD4C39">
        <w:rPr>
          <w:rFonts w:ascii="Times New Roman" w:eastAsia="Calibri" w:hAnsi="Times New Roman" w:cs="Times New Roman"/>
          <w:sz w:val="24"/>
          <w:szCs w:val="24"/>
        </w:rPr>
        <w:t>я</w:t>
      </w:r>
      <w:r w:rsidR="00E04B41" w:rsidRPr="00FD4C39">
        <w:rPr>
          <w:rFonts w:ascii="Times New Roman" w:eastAsia="Calibri" w:hAnsi="Times New Roman" w:cs="Times New Roman"/>
          <w:sz w:val="24"/>
          <w:szCs w:val="24"/>
        </w:rPr>
        <w:t xml:space="preserve"> възможност на заинтересовани граждани, </w:t>
      </w:r>
      <w:r w:rsidR="00B94345" w:rsidRPr="00FD4C39">
        <w:rPr>
          <w:rFonts w:ascii="Times New Roman" w:eastAsia="Calibri" w:hAnsi="Times New Roman" w:cs="Times New Roman"/>
          <w:sz w:val="24"/>
          <w:szCs w:val="24"/>
        </w:rPr>
        <w:t>АЛД и</w:t>
      </w:r>
      <w:r w:rsidR="00E04B41" w:rsidRPr="00FD4C39">
        <w:rPr>
          <w:rFonts w:ascii="Times New Roman" w:eastAsia="Calibri" w:hAnsi="Times New Roman" w:cs="Times New Roman"/>
          <w:sz w:val="24"/>
          <w:szCs w:val="24"/>
        </w:rPr>
        <w:t xml:space="preserve"> представители на медиите да получат консултации и правна помощ по конкретни казуси</w:t>
      </w:r>
      <w:r w:rsidR="00F938A1" w:rsidRPr="00FD4C39">
        <w:rPr>
          <w:rFonts w:ascii="Times New Roman" w:eastAsia="Calibri" w:hAnsi="Times New Roman" w:cs="Times New Roman"/>
          <w:sz w:val="24"/>
          <w:szCs w:val="24"/>
        </w:rPr>
        <w:t>,</w:t>
      </w:r>
      <w:r w:rsidR="00895A83" w:rsidRPr="00FD4C39">
        <w:rPr>
          <w:rFonts w:ascii="Times New Roman" w:eastAsia="Calibri" w:hAnsi="Times New Roman" w:cs="Times New Roman"/>
          <w:sz w:val="24"/>
          <w:szCs w:val="24"/>
        </w:rPr>
        <w:t xml:space="preserve"> отнасящи се до прилагането на </w:t>
      </w:r>
      <w:r w:rsidR="00FE7018" w:rsidRPr="00FD4C39">
        <w:rPr>
          <w:rFonts w:ascii="Times New Roman" w:eastAsia="Calibri" w:hAnsi="Times New Roman" w:cs="Times New Roman"/>
          <w:sz w:val="24"/>
          <w:szCs w:val="24"/>
        </w:rPr>
        <w:t>ЗЗЛД</w:t>
      </w:r>
      <w:r w:rsidR="00E04B41" w:rsidRPr="00FD4C39">
        <w:rPr>
          <w:rFonts w:ascii="Times New Roman" w:eastAsia="Calibri" w:hAnsi="Times New Roman" w:cs="Times New Roman"/>
          <w:sz w:val="24"/>
          <w:szCs w:val="24"/>
        </w:rPr>
        <w:t xml:space="preserve">. Представители от всички специализирани дирекции на </w:t>
      </w:r>
      <w:r w:rsidR="005D452A" w:rsidRPr="00FD4C39">
        <w:rPr>
          <w:rFonts w:ascii="Times New Roman" w:eastAsia="Calibri" w:hAnsi="Times New Roman" w:cs="Times New Roman"/>
          <w:sz w:val="24"/>
          <w:szCs w:val="24"/>
        </w:rPr>
        <w:t xml:space="preserve">институцията </w:t>
      </w:r>
      <w:r w:rsidR="00C9797B" w:rsidRPr="00FD4C39">
        <w:rPr>
          <w:rFonts w:ascii="Times New Roman" w:eastAsia="Calibri" w:hAnsi="Times New Roman" w:cs="Times New Roman"/>
          <w:sz w:val="24"/>
          <w:szCs w:val="24"/>
        </w:rPr>
        <w:t>отгов</w:t>
      </w:r>
      <w:r w:rsidR="002D4140" w:rsidRPr="00FD4C39">
        <w:rPr>
          <w:rFonts w:ascii="Times New Roman" w:eastAsia="Calibri" w:hAnsi="Times New Roman" w:cs="Times New Roman"/>
          <w:sz w:val="24"/>
          <w:szCs w:val="24"/>
        </w:rPr>
        <w:t>арят</w:t>
      </w:r>
      <w:r w:rsidR="00E04B41" w:rsidRPr="00FD4C39">
        <w:rPr>
          <w:rFonts w:ascii="Times New Roman" w:eastAsia="Calibri" w:hAnsi="Times New Roman" w:cs="Times New Roman"/>
          <w:sz w:val="24"/>
          <w:szCs w:val="24"/>
        </w:rPr>
        <w:t xml:space="preserve"> на поставени въпроси относно европейското и международно</w:t>
      </w:r>
      <w:r w:rsidR="0087361F" w:rsidRPr="00FD4C39">
        <w:rPr>
          <w:rFonts w:ascii="Times New Roman" w:eastAsia="Calibri" w:hAnsi="Times New Roman" w:cs="Times New Roman"/>
          <w:sz w:val="24"/>
          <w:szCs w:val="24"/>
        </w:rPr>
        <w:t>то</w:t>
      </w:r>
      <w:r w:rsidR="00E04B41" w:rsidRPr="00FD4C39">
        <w:rPr>
          <w:rFonts w:ascii="Times New Roman" w:eastAsia="Calibri" w:hAnsi="Times New Roman" w:cs="Times New Roman"/>
          <w:sz w:val="24"/>
          <w:szCs w:val="24"/>
        </w:rPr>
        <w:t xml:space="preserve"> законодателство в сферата на опазването на личните данни, Шенгенската информационна система и др. Не на последно място</w:t>
      </w:r>
      <w:r w:rsidR="00E60F33">
        <w:rPr>
          <w:rFonts w:ascii="Times New Roman" w:eastAsia="Calibri" w:hAnsi="Times New Roman" w:cs="Times New Roman"/>
          <w:sz w:val="24"/>
          <w:szCs w:val="24"/>
        </w:rPr>
        <w:t xml:space="preserve"> се</w:t>
      </w:r>
      <w:r w:rsidR="002D4140" w:rsidRPr="00FD4C39">
        <w:rPr>
          <w:rFonts w:ascii="Times New Roman" w:eastAsia="Calibri" w:hAnsi="Times New Roman" w:cs="Times New Roman"/>
          <w:sz w:val="24"/>
          <w:szCs w:val="24"/>
        </w:rPr>
        <w:t xml:space="preserve"> разясн</w:t>
      </w:r>
      <w:r w:rsidR="00E60F33">
        <w:rPr>
          <w:rFonts w:ascii="Times New Roman" w:eastAsia="Calibri" w:hAnsi="Times New Roman" w:cs="Times New Roman"/>
          <w:sz w:val="24"/>
          <w:szCs w:val="24"/>
        </w:rPr>
        <w:t>ява</w:t>
      </w:r>
      <w:r w:rsidR="00E04B41" w:rsidRPr="00FD4C39">
        <w:rPr>
          <w:rFonts w:ascii="Times New Roman" w:eastAsia="Calibri" w:hAnsi="Times New Roman" w:cs="Times New Roman"/>
          <w:sz w:val="24"/>
          <w:szCs w:val="24"/>
        </w:rPr>
        <w:t xml:space="preserve"> ред</w:t>
      </w:r>
      <w:r w:rsidR="00E60F33">
        <w:rPr>
          <w:rFonts w:ascii="Times New Roman" w:eastAsia="Calibri" w:hAnsi="Times New Roman" w:cs="Times New Roman"/>
          <w:sz w:val="24"/>
          <w:szCs w:val="24"/>
        </w:rPr>
        <w:t>ът</w:t>
      </w:r>
      <w:r w:rsidR="00E04B41" w:rsidRPr="00FD4C39">
        <w:rPr>
          <w:rFonts w:ascii="Times New Roman" w:eastAsia="Calibri" w:hAnsi="Times New Roman" w:cs="Times New Roman"/>
          <w:sz w:val="24"/>
          <w:szCs w:val="24"/>
        </w:rPr>
        <w:t xml:space="preserve"> за регистрация на </w:t>
      </w:r>
      <w:r w:rsidR="00B94345" w:rsidRPr="00FD4C39">
        <w:rPr>
          <w:rFonts w:ascii="Times New Roman" w:eastAsia="Calibri" w:hAnsi="Times New Roman" w:cs="Times New Roman"/>
          <w:sz w:val="24"/>
          <w:szCs w:val="24"/>
        </w:rPr>
        <w:t>АЛД и</w:t>
      </w:r>
      <w:r w:rsidR="00E04B41" w:rsidRPr="00FD4C39">
        <w:rPr>
          <w:rFonts w:ascii="Times New Roman" w:eastAsia="Calibri" w:hAnsi="Times New Roman" w:cs="Times New Roman"/>
          <w:sz w:val="24"/>
          <w:szCs w:val="24"/>
        </w:rPr>
        <w:t xml:space="preserve"> </w:t>
      </w:r>
      <w:r w:rsidR="005D452A" w:rsidRPr="00FD4C39">
        <w:rPr>
          <w:rFonts w:ascii="Times New Roman" w:eastAsia="Calibri" w:hAnsi="Times New Roman" w:cs="Times New Roman"/>
          <w:sz w:val="24"/>
          <w:szCs w:val="24"/>
        </w:rPr>
        <w:t xml:space="preserve">поддържания от КЗЛД регистър </w:t>
      </w:r>
      <w:proofErr w:type="spellStart"/>
      <w:r w:rsidR="00183E84" w:rsidRPr="00FD4C39">
        <w:rPr>
          <w:rFonts w:ascii="Times New Roman" w:eastAsia="Calibri" w:hAnsi="Times New Roman" w:cs="Times New Roman"/>
          <w:sz w:val="24"/>
          <w:szCs w:val="24"/>
        </w:rPr>
        <w:t>е</w:t>
      </w:r>
      <w:r w:rsidR="00E04B41" w:rsidRPr="00FD4C39">
        <w:rPr>
          <w:rFonts w:ascii="Times New Roman" w:eastAsia="Calibri" w:hAnsi="Times New Roman" w:cs="Times New Roman"/>
          <w:sz w:val="24"/>
          <w:szCs w:val="24"/>
        </w:rPr>
        <w:t>РАЛД</w:t>
      </w:r>
      <w:proofErr w:type="spellEnd"/>
      <w:r w:rsidR="00E04B41" w:rsidRPr="00FD4C39">
        <w:rPr>
          <w:rFonts w:ascii="Times New Roman" w:eastAsia="Calibri" w:hAnsi="Times New Roman" w:cs="Times New Roman"/>
          <w:sz w:val="24"/>
          <w:szCs w:val="24"/>
        </w:rPr>
        <w:t>.</w:t>
      </w:r>
    </w:p>
    <w:p w:rsidR="00E04B41"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w:t>
      </w:r>
      <w:r w:rsidR="00895A83" w:rsidRPr="00FD4C39">
        <w:rPr>
          <w:rFonts w:ascii="Times New Roman" w:eastAsia="Calibri" w:hAnsi="Times New Roman" w:cs="Times New Roman"/>
          <w:sz w:val="24"/>
          <w:szCs w:val="24"/>
        </w:rPr>
        <w:t>отчетния период</w:t>
      </w:r>
      <w:r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68621A" w:rsidRPr="00FD4C39">
        <w:rPr>
          <w:rFonts w:ascii="Times New Roman" w:eastAsia="Calibri" w:hAnsi="Times New Roman" w:cs="Times New Roman"/>
          <w:sz w:val="24"/>
          <w:szCs w:val="24"/>
        </w:rPr>
        <w:t xml:space="preserve"> продълж</w:t>
      </w:r>
      <w:r w:rsidR="002D4140" w:rsidRPr="00FD4C39">
        <w:rPr>
          <w:rFonts w:ascii="Times New Roman" w:eastAsia="Calibri" w:hAnsi="Times New Roman" w:cs="Times New Roman"/>
          <w:sz w:val="24"/>
          <w:szCs w:val="24"/>
        </w:rPr>
        <w:t>ава</w:t>
      </w:r>
      <w:r w:rsidRPr="00FD4C39">
        <w:rPr>
          <w:rFonts w:ascii="Times New Roman" w:eastAsia="Calibri" w:hAnsi="Times New Roman" w:cs="Times New Roman"/>
          <w:sz w:val="24"/>
          <w:szCs w:val="24"/>
        </w:rPr>
        <w:t xml:space="preserve"> осъществяването на комуникацията с други държавни органи, неправителствени организации, какт</w:t>
      </w:r>
      <w:r w:rsidR="00895A83" w:rsidRPr="00FD4C39">
        <w:rPr>
          <w:rFonts w:ascii="Times New Roman" w:eastAsia="Calibri" w:hAnsi="Times New Roman" w:cs="Times New Roman"/>
          <w:sz w:val="24"/>
          <w:szCs w:val="24"/>
        </w:rPr>
        <w:t>о и с медиите в България. Това</w:t>
      </w:r>
      <w:r w:rsidRPr="00FD4C39">
        <w:rPr>
          <w:rFonts w:ascii="Times New Roman" w:eastAsia="Calibri" w:hAnsi="Times New Roman" w:cs="Times New Roman"/>
          <w:sz w:val="24"/>
          <w:szCs w:val="24"/>
        </w:rPr>
        <w:t xml:space="preserve"> ползотворно сътрудничество и добра координация с институциите </w:t>
      </w:r>
      <w:r w:rsidR="00FE7018" w:rsidRPr="00FD4C39">
        <w:rPr>
          <w:rFonts w:ascii="Times New Roman" w:eastAsia="Calibri" w:hAnsi="Times New Roman" w:cs="Times New Roman"/>
          <w:sz w:val="24"/>
          <w:szCs w:val="24"/>
        </w:rPr>
        <w:t>КЗЛД</w:t>
      </w:r>
      <w:r w:rsidR="00895A83" w:rsidRPr="00FD4C39">
        <w:rPr>
          <w:rFonts w:ascii="Times New Roman" w:eastAsia="Calibri" w:hAnsi="Times New Roman" w:cs="Times New Roman"/>
          <w:sz w:val="24"/>
          <w:szCs w:val="24"/>
        </w:rPr>
        <w:t xml:space="preserve"> приема като </w:t>
      </w:r>
      <w:r w:rsidRPr="00FD4C39">
        <w:rPr>
          <w:rFonts w:ascii="Times New Roman" w:eastAsia="Calibri" w:hAnsi="Times New Roman" w:cs="Times New Roman"/>
          <w:sz w:val="24"/>
          <w:szCs w:val="24"/>
        </w:rPr>
        <w:t xml:space="preserve">гаранция за постигане целите в областта на защита на личните данни на по-високо ниво. </w:t>
      </w:r>
    </w:p>
    <w:p w:rsidR="00E04B41" w:rsidRPr="00FD4C39" w:rsidRDefault="00266814"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отчетния период </w:t>
      </w:r>
      <w:r w:rsidR="00FE7018" w:rsidRPr="00FD4C39">
        <w:rPr>
          <w:rFonts w:ascii="Times New Roman" w:eastAsia="Calibri" w:hAnsi="Times New Roman" w:cs="Times New Roman"/>
          <w:sz w:val="24"/>
          <w:szCs w:val="24"/>
        </w:rPr>
        <w:t>КЗЛД</w:t>
      </w:r>
      <w:r w:rsidR="0068621A" w:rsidRPr="00FD4C39">
        <w:rPr>
          <w:rFonts w:ascii="Times New Roman" w:eastAsia="Calibri" w:hAnsi="Times New Roman" w:cs="Times New Roman"/>
          <w:sz w:val="24"/>
          <w:szCs w:val="24"/>
        </w:rPr>
        <w:t xml:space="preserve"> </w:t>
      </w:r>
      <w:r w:rsidR="00E04B41" w:rsidRPr="00FD4C39">
        <w:rPr>
          <w:rFonts w:ascii="Times New Roman" w:eastAsia="Calibri" w:hAnsi="Times New Roman" w:cs="Times New Roman"/>
          <w:sz w:val="24"/>
          <w:szCs w:val="24"/>
        </w:rPr>
        <w:t>продълж</w:t>
      </w:r>
      <w:r w:rsidR="002D4140" w:rsidRPr="00FD4C39">
        <w:rPr>
          <w:rFonts w:ascii="Times New Roman" w:eastAsia="Calibri" w:hAnsi="Times New Roman" w:cs="Times New Roman"/>
          <w:sz w:val="24"/>
          <w:szCs w:val="24"/>
        </w:rPr>
        <w:t>ава</w:t>
      </w:r>
      <w:r w:rsidR="00E04B41" w:rsidRPr="00FD4C39">
        <w:rPr>
          <w:rFonts w:ascii="Times New Roman" w:eastAsia="Calibri" w:hAnsi="Times New Roman" w:cs="Times New Roman"/>
          <w:sz w:val="24"/>
          <w:szCs w:val="24"/>
        </w:rPr>
        <w:t xml:space="preserve"> да развива ефективното си сътрудничество и с представители на висшите учебни зав</w:t>
      </w:r>
      <w:r w:rsidR="00957FC1">
        <w:rPr>
          <w:rFonts w:ascii="Times New Roman" w:eastAsia="Calibri" w:hAnsi="Times New Roman" w:cs="Times New Roman"/>
          <w:sz w:val="24"/>
          <w:szCs w:val="24"/>
        </w:rPr>
        <w:t xml:space="preserve">едения. За поредна година КЗЛД </w:t>
      </w:r>
      <w:r w:rsidR="002D4140" w:rsidRPr="00FD4C39">
        <w:rPr>
          <w:rFonts w:ascii="Times New Roman" w:eastAsia="Calibri" w:hAnsi="Times New Roman" w:cs="Times New Roman"/>
          <w:sz w:val="24"/>
          <w:szCs w:val="24"/>
        </w:rPr>
        <w:t>е</w:t>
      </w:r>
      <w:r w:rsidR="00E04B41" w:rsidRPr="00FD4C39">
        <w:rPr>
          <w:rFonts w:ascii="Times New Roman" w:eastAsia="Calibri" w:hAnsi="Times New Roman" w:cs="Times New Roman"/>
          <w:sz w:val="24"/>
          <w:szCs w:val="24"/>
        </w:rPr>
        <w:t xml:space="preserve"> съорганизатор на научна конференция на тема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Новата парадигма за сигурност в </w:t>
      </w:r>
      <w:proofErr w:type="spellStart"/>
      <w:r w:rsidR="00E04B41" w:rsidRPr="00FD4C39">
        <w:rPr>
          <w:rFonts w:ascii="Times New Roman" w:eastAsia="Calibri" w:hAnsi="Times New Roman" w:cs="Times New Roman"/>
          <w:sz w:val="24"/>
          <w:szCs w:val="24"/>
        </w:rPr>
        <w:t>киберпространството</w:t>
      </w:r>
      <w:proofErr w:type="spellEnd"/>
      <w:r w:rsidR="00CF0F1F" w:rsidRPr="00FD4C39">
        <w:rPr>
          <w:rFonts w:ascii="Times New Roman" w:eastAsia="Calibri" w:hAnsi="Times New Roman" w:cs="Times New Roman"/>
          <w:sz w:val="24"/>
          <w:szCs w:val="24"/>
        </w:rPr>
        <w:t>“</w:t>
      </w:r>
      <w:r w:rsidR="0068621A" w:rsidRPr="00FD4C39">
        <w:rPr>
          <w:rFonts w:ascii="Times New Roman" w:eastAsia="Calibri" w:hAnsi="Times New Roman" w:cs="Times New Roman"/>
          <w:sz w:val="24"/>
          <w:szCs w:val="24"/>
        </w:rPr>
        <w:t xml:space="preserve"> </w:t>
      </w:r>
      <w:r w:rsidR="00E04B41" w:rsidRPr="00FD4C39">
        <w:rPr>
          <w:rFonts w:ascii="Times New Roman" w:eastAsia="Calibri" w:hAnsi="Times New Roman" w:cs="Times New Roman"/>
          <w:sz w:val="24"/>
          <w:szCs w:val="24"/>
        </w:rPr>
        <w:t xml:space="preserve">съвместно с Националния военен университет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Васил Левски</w:t>
      </w:r>
      <w:r w:rsidR="00CF0F1F" w:rsidRPr="00FD4C39">
        <w:rPr>
          <w:rFonts w:ascii="Times New Roman" w:eastAsia="Calibri" w:hAnsi="Times New Roman" w:cs="Times New Roman"/>
          <w:sz w:val="24"/>
          <w:szCs w:val="24"/>
        </w:rPr>
        <w:t>“</w:t>
      </w:r>
      <w:r w:rsidR="0068621A" w:rsidRPr="00FD4C39">
        <w:rPr>
          <w:rFonts w:ascii="Times New Roman" w:eastAsia="Calibri" w:hAnsi="Times New Roman" w:cs="Times New Roman"/>
          <w:sz w:val="24"/>
          <w:szCs w:val="24"/>
        </w:rPr>
        <w:t xml:space="preserve"> (ф</w:t>
      </w:r>
      <w:r w:rsidR="00E04B41" w:rsidRPr="00FD4C39">
        <w:rPr>
          <w:rFonts w:ascii="Times New Roman" w:eastAsia="Calibri" w:hAnsi="Times New Roman" w:cs="Times New Roman"/>
          <w:sz w:val="24"/>
          <w:szCs w:val="24"/>
        </w:rPr>
        <w:t xml:space="preserve">акултет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Артилерия, противовъздушна отбрана и комуникационни и информационни системи</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w:t>
      </w:r>
      <w:r w:rsidR="0068621A" w:rsidRPr="00FD4C39">
        <w:rPr>
          <w:rFonts w:ascii="Times New Roman" w:eastAsia="Calibri" w:hAnsi="Times New Roman" w:cs="Times New Roman"/>
          <w:sz w:val="24"/>
          <w:szCs w:val="24"/>
        </w:rPr>
        <w:t>к</w:t>
      </w:r>
      <w:r w:rsidR="00E04B41" w:rsidRPr="00FD4C39">
        <w:rPr>
          <w:rFonts w:ascii="Times New Roman" w:eastAsia="Calibri" w:hAnsi="Times New Roman" w:cs="Times New Roman"/>
          <w:sz w:val="24"/>
          <w:szCs w:val="24"/>
        </w:rPr>
        <w:t xml:space="preserve">атедра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Информационна сигурност</w:t>
      </w:r>
      <w:r w:rsidR="00CF0F1F" w:rsidRPr="00FD4C39">
        <w:rPr>
          <w:rFonts w:ascii="Times New Roman" w:eastAsia="Calibri" w:hAnsi="Times New Roman" w:cs="Times New Roman"/>
          <w:sz w:val="24"/>
          <w:szCs w:val="24"/>
        </w:rPr>
        <w:t>“</w:t>
      </w:r>
      <w:r w:rsidR="0068621A"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Държавна агенция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Национална сигурност</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Държавна комисия п</w:t>
      </w:r>
      <w:r w:rsidR="0068621A" w:rsidRPr="00FD4C39">
        <w:rPr>
          <w:rFonts w:ascii="Times New Roman" w:eastAsia="Calibri" w:hAnsi="Times New Roman" w:cs="Times New Roman"/>
          <w:sz w:val="24"/>
          <w:szCs w:val="24"/>
        </w:rPr>
        <w:t>о сигурността на информацията, д</w:t>
      </w:r>
      <w:r w:rsidR="00E04B41" w:rsidRPr="00FD4C39">
        <w:rPr>
          <w:rFonts w:ascii="Times New Roman" w:eastAsia="Calibri" w:hAnsi="Times New Roman" w:cs="Times New Roman"/>
          <w:sz w:val="24"/>
          <w:szCs w:val="24"/>
        </w:rPr>
        <w:t xml:space="preserve">ирекции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К</w:t>
      </w:r>
      <w:r w:rsidR="007A6DD2" w:rsidRPr="00FD4C39">
        <w:rPr>
          <w:rFonts w:ascii="Times New Roman" w:eastAsia="Calibri" w:hAnsi="Times New Roman" w:cs="Times New Roman"/>
          <w:sz w:val="24"/>
          <w:szCs w:val="24"/>
        </w:rPr>
        <w:t>ом</w:t>
      </w:r>
      <w:r w:rsidR="00957FC1">
        <w:rPr>
          <w:rFonts w:ascii="Times New Roman" w:eastAsia="Calibri" w:hAnsi="Times New Roman" w:cs="Times New Roman"/>
          <w:sz w:val="24"/>
          <w:szCs w:val="24"/>
        </w:rPr>
        <w:t>у</w:t>
      </w:r>
      <w:r w:rsidR="007A6DD2" w:rsidRPr="00FD4C39">
        <w:rPr>
          <w:rFonts w:ascii="Times New Roman" w:eastAsia="Calibri" w:hAnsi="Times New Roman" w:cs="Times New Roman"/>
          <w:sz w:val="24"/>
          <w:szCs w:val="24"/>
        </w:rPr>
        <w:t>никационни и информационни системи</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и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Сигурност на информацията</w:t>
      </w:r>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в Министерство</w:t>
      </w:r>
      <w:r w:rsidR="005F5458">
        <w:rPr>
          <w:rFonts w:ascii="Times New Roman" w:eastAsia="Calibri" w:hAnsi="Times New Roman" w:cs="Times New Roman"/>
          <w:sz w:val="24"/>
          <w:szCs w:val="24"/>
        </w:rPr>
        <w:t>то</w:t>
      </w:r>
      <w:r w:rsidR="00E04B41" w:rsidRPr="00FD4C39">
        <w:rPr>
          <w:rFonts w:ascii="Times New Roman" w:eastAsia="Calibri" w:hAnsi="Times New Roman" w:cs="Times New Roman"/>
          <w:sz w:val="24"/>
          <w:szCs w:val="24"/>
        </w:rPr>
        <w:t xml:space="preserve"> на отбраната и Института по отбрана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Проф. Цветан Лазаров</w:t>
      </w:r>
      <w:r w:rsidR="00CF0F1F" w:rsidRPr="00FD4C39">
        <w:rPr>
          <w:rFonts w:ascii="Times New Roman" w:eastAsia="Calibri" w:hAnsi="Times New Roman" w:cs="Times New Roman"/>
          <w:sz w:val="24"/>
          <w:szCs w:val="24"/>
        </w:rPr>
        <w:t>“</w:t>
      </w:r>
      <w:r w:rsidR="004D42A2">
        <w:rPr>
          <w:rFonts w:ascii="Times New Roman" w:eastAsia="Calibri" w:hAnsi="Times New Roman" w:cs="Times New Roman"/>
          <w:sz w:val="24"/>
          <w:szCs w:val="24"/>
        </w:rPr>
        <w:t xml:space="preserve"> – </w:t>
      </w:r>
      <w:r w:rsidR="00E04B41" w:rsidRPr="00FD4C39">
        <w:rPr>
          <w:rFonts w:ascii="Times New Roman" w:eastAsia="Calibri" w:hAnsi="Times New Roman" w:cs="Times New Roman"/>
          <w:sz w:val="24"/>
          <w:szCs w:val="24"/>
        </w:rPr>
        <w:t>МО. Събитието се прове</w:t>
      </w:r>
      <w:r w:rsidR="005F5458">
        <w:rPr>
          <w:rFonts w:ascii="Times New Roman" w:eastAsia="Calibri" w:hAnsi="Times New Roman" w:cs="Times New Roman"/>
          <w:sz w:val="24"/>
          <w:szCs w:val="24"/>
        </w:rPr>
        <w:t>жда</w:t>
      </w:r>
      <w:r w:rsidR="00E04B41" w:rsidRPr="00FD4C39">
        <w:rPr>
          <w:rFonts w:ascii="Times New Roman" w:eastAsia="Calibri" w:hAnsi="Times New Roman" w:cs="Times New Roman"/>
          <w:sz w:val="24"/>
          <w:szCs w:val="24"/>
        </w:rPr>
        <w:t xml:space="preserve"> на 5 и 6 юни в гр. Шумен. </w:t>
      </w:r>
      <w:r w:rsidR="0068621A" w:rsidRPr="00FD4C39">
        <w:rPr>
          <w:rFonts w:ascii="Times New Roman" w:eastAsia="Calibri" w:hAnsi="Times New Roman" w:cs="Times New Roman"/>
          <w:sz w:val="24"/>
          <w:szCs w:val="24"/>
        </w:rPr>
        <w:t>Е</w:t>
      </w:r>
      <w:r w:rsidR="00E04B41" w:rsidRPr="00FD4C39">
        <w:rPr>
          <w:rFonts w:ascii="Times New Roman" w:eastAsia="Calibri" w:hAnsi="Times New Roman" w:cs="Times New Roman"/>
          <w:sz w:val="24"/>
          <w:szCs w:val="24"/>
        </w:rPr>
        <w:t xml:space="preserve">ксперти </w:t>
      </w:r>
      <w:r w:rsidR="00DB50CE" w:rsidRPr="00FD4C39">
        <w:rPr>
          <w:rFonts w:ascii="Times New Roman" w:eastAsia="Calibri" w:hAnsi="Times New Roman" w:cs="Times New Roman"/>
          <w:sz w:val="24"/>
          <w:szCs w:val="24"/>
        </w:rPr>
        <w:t>от</w:t>
      </w:r>
      <w:r w:rsidR="00E04B41"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68621A" w:rsidRPr="00FD4C39">
        <w:rPr>
          <w:rFonts w:ascii="Times New Roman" w:eastAsia="Calibri" w:hAnsi="Times New Roman" w:cs="Times New Roman"/>
          <w:sz w:val="24"/>
          <w:szCs w:val="24"/>
        </w:rPr>
        <w:t xml:space="preserve"> </w:t>
      </w:r>
      <w:r w:rsidR="00E04B41" w:rsidRPr="00FD4C39">
        <w:rPr>
          <w:rFonts w:ascii="Times New Roman" w:eastAsia="Calibri" w:hAnsi="Times New Roman" w:cs="Times New Roman"/>
          <w:sz w:val="24"/>
          <w:szCs w:val="24"/>
        </w:rPr>
        <w:t>представ</w:t>
      </w:r>
      <w:r w:rsidR="005F5458">
        <w:rPr>
          <w:rFonts w:ascii="Times New Roman" w:eastAsia="Calibri" w:hAnsi="Times New Roman" w:cs="Times New Roman"/>
          <w:sz w:val="24"/>
          <w:szCs w:val="24"/>
        </w:rPr>
        <w:t>ят</w:t>
      </w:r>
      <w:r w:rsidR="00E04B41" w:rsidRPr="00FD4C39">
        <w:rPr>
          <w:rFonts w:ascii="Times New Roman" w:eastAsia="Calibri" w:hAnsi="Times New Roman" w:cs="Times New Roman"/>
          <w:sz w:val="24"/>
          <w:szCs w:val="24"/>
        </w:rPr>
        <w:t xml:space="preserve"> доклад на тема </w:t>
      </w:r>
      <w:r w:rsidR="004931E5"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Защита на личните данни в </w:t>
      </w:r>
      <w:proofErr w:type="spellStart"/>
      <w:r w:rsidR="00E04B41" w:rsidRPr="00FD4C39">
        <w:rPr>
          <w:rFonts w:ascii="Times New Roman" w:eastAsia="Calibri" w:hAnsi="Times New Roman" w:cs="Times New Roman"/>
          <w:sz w:val="24"/>
          <w:szCs w:val="24"/>
        </w:rPr>
        <w:t>киберпространството</w:t>
      </w:r>
      <w:proofErr w:type="spellEnd"/>
      <w:r w:rsidR="00CF0F1F" w:rsidRPr="00FD4C39">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в който посоч</w:t>
      </w:r>
      <w:r w:rsidR="00BF0822" w:rsidRPr="00FD4C39">
        <w:rPr>
          <w:rFonts w:ascii="Times New Roman" w:eastAsia="Calibri" w:hAnsi="Times New Roman" w:cs="Times New Roman"/>
          <w:sz w:val="24"/>
          <w:szCs w:val="24"/>
        </w:rPr>
        <w:t>ват</w:t>
      </w:r>
      <w:r w:rsidR="00E04B41" w:rsidRPr="00FD4C39">
        <w:rPr>
          <w:rFonts w:ascii="Times New Roman" w:eastAsia="Calibri" w:hAnsi="Times New Roman" w:cs="Times New Roman"/>
          <w:sz w:val="24"/>
          <w:szCs w:val="24"/>
        </w:rPr>
        <w:t xml:space="preserve"> основните проблеми пред неприкосновеността с оглед събирането, генерирането и обработването на големи масиви от данни при предоставянето на облачни услуги, и предл</w:t>
      </w:r>
      <w:r w:rsidR="00297FDD" w:rsidRPr="00FD4C39">
        <w:rPr>
          <w:rFonts w:ascii="Times New Roman" w:eastAsia="Calibri" w:hAnsi="Times New Roman" w:cs="Times New Roman"/>
          <w:sz w:val="24"/>
          <w:szCs w:val="24"/>
        </w:rPr>
        <w:t>агат</w:t>
      </w:r>
      <w:r w:rsidR="00E04B41" w:rsidRPr="00FD4C39">
        <w:rPr>
          <w:rFonts w:ascii="Times New Roman" w:eastAsia="Calibri" w:hAnsi="Times New Roman" w:cs="Times New Roman"/>
          <w:sz w:val="24"/>
          <w:szCs w:val="24"/>
        </w:rPr>
        <w:t xml:space="preserve"> </w:t>
      </w:r>
      <w:r w:rsidR="00E04B41" w:rsidRPr="00FD4C39">
        <w:rPr>
          <w:rFonts w:ascii="Times New Roman" w:eastAsia="Calibri" w:hAnsi="Times New Roman" w:cs="Times New Roman"/>
          <w:sz w:val="24"/>
          <w:szCs w:val="24"/>
        </w:rPr>
        <w:lastRenderedPageBreak/>
        <w:t xml:space="preserve">обобщени решения и препоръки за по-ефективно овладяване и регулиране на съществуващите процеси. В доклада </w:t>
      </w:r>
      <w:r w:rsidR="00FE155B">
        <w:rPr>
          <w:rFonts w:ascii="Times New Roman" w:eastAsia="Calibri" w:hAnsi="Times New Roman" w:cs="Times New Roman"/>
          <w:sz w:val="24"/>
          <w:szCs w:val="24"/>
        </w:rPr>
        <w:t>се</w:t>
      </w:r>
      <w:r w:rsidR="00E04B41" w:rsidRPr="00FD4C39">
        <w:rPr>
          <w:rFonts w:ascii="Times New Roman" w:eastAsia="Calibri" w:hAnsi="Times New Roman" w:cs="Times New Roman"/>
          <w:sz w:val="24"/>
          <w:szCs w:val="24"/>
        </w:rPr>
        <w:t xml:space="preserve"> предл</w:t>
      </w:r>
      <w:r w:rsidR="00FE155B">
        <w:rPr>
          <w:rFonts w:ascii="Times New Roman" w:eastAsia="Calibri" w:hAnsi="Times New Roman" w:cs="Times New Roman"/>
          <w:sz w:val="24"/>
          <w:szCs w:val="24"/>
        </w:rPr>
        <w:t>агат</w:t>
      </w:r>
      <w:r w:rsidR="00E04B41" w:rsidRPr="00FD4C39">
        <w:rPr>
          <w:rFonts w:ascii="Times New Roman" w:eastAsia="Calibri" w:hAnsi="Times New Roman" w:cs="Times New Roman"/>
          <w:sz w:val="24"/>
          <w:szCs w:val="24"/>
        </w:rPr>
        <w:t xml:space="preserve"> механ</w:t>
      </w:r>
      <w:r w:rsidR="00484CD8" w:rsidRPr="00FD4C39">
        <w:rPr>
          <w:rFonts w:ascii="Times New Roman" w:eastAsia="Calibri" w:hAnsi="Times New Roman" w:cs="Times New Roman"/>
          <w:sz w:val="24"/>
          <w:szCs w:val="24"/>
        </w:rPr>
        <w:t xml:space="preserve">изми за реакция, базиращи се </w:t>
      </w:r>
      <w:r w:rsidR="00E04B41" w:rsidRPr="00FD4C39">
        <w:rPr>
          <w:rFonts w:ascii="Times New Roman" w:eastAsia="Calibri" w:hAnsi="Times New Roman" w:cs="Times New Roman"/>
          <w:sz w:val="24"/>
          <w:szCs w:val="24"/>
        </w:rPr>
        <w:t>на националната и международна</w:t>
      </w:r>
      <w:r w:rsidR="00B46D9A" w:rsidRPr="00FD4C39">
        <w:rPr>
          <w:rFonts w:ascii="Times New Roman" w:eastAsia="Calibri" w:hAnsi="Times New Roman" w:cs="Times New Roman"/>
          <w:sz w:val="24"/>
          <w:szCs w:val="24"/>
        </w:rPr>
        <w:t>та</w:t>
      </w:r>
      <w:r w:rsidR="00E04B41" w:rsidRPr="00FD4C39">
        <w:rPr>
          <w:rFonts w:ascii="Times New Roman" w:eastAsia="Calibri" w:hAnsi="Times New Roman" w:cs="Times New Roman"/>
          <w:sz w:val="24"/>
          <w:szCs w:val="24"/>
        </w:rPr>
        <w:t xml:space="preserve"> практика на органи</w:t>
      </w:r>
      <w:r w:rsidR="00FD5B8E" w:rsidRPr="00FD4C39">
        <w:rPr>
          <w:rFonts w:ascii="Times New Roman" w:eastAsia="Calibri" w:hAnsi="Times New Roman" w:cs="Times New Roman"/>
          <w:sz w:val="24"/>
          <w:szCs w:val="24"/>
        </w:rPr>
        <w:t>те</w:t>
      </w:r>
      <w:r w:rsidR="00E04B41" w:rsidRPr="00FD4C39">
        <w:rPr>
          <w:rFonts w:ascii="Times New Roman" w:eastAsia="Calibri" w:hAnsi="Times New Roman" w:cs="Times New Roman"/>
          <w:sz w:val="24"/>
          <w:szCs w:val="24"/>
        </w:rPr>
        <w:t xml:space="preserve"> по защита на данните. Също така </w:t>
      </w:r>
      <w:r w:rsidR="00FE155B">
        <w:rPr>
          <w:rFonts w:ascii="Times New Roman" w:eastAsia="Calibri" w:hAnsi="Times New Roman" w:cs="Times New Roman"/>
          <w:sz w:val="24"/>
          <w:szCs w:val="24"/>
        </w:rPr>
        <w:t>се посочват</w:t>
      </w:r>
      <w:r w:rsidR="00E04B41" w:rsidRPr="00FD4C39">
        <w:rPr>
          <w:rFonts w:ascii="Times New Roman" w:eastAsia="Calibri" w:hAnsi="Times New Roman" w:cs="Times New Roman"/>
          <w:sz w:val="24"/>
          <w:szCs w:val="24"/>
        </w:rPr>
        <w:t xml:space="preserve"> насоките за подобряване и развитие на защитата на данните, чрез провеждане на обучение на всички нива, провеждане на дискусии, засилване на взаимодействието между специалистите</w:t>
      </w:r>
      <w:r w:rsidR="004D42A2">
        <w:rPr>
          <w:rFonts w:ascii="Times New Roman" w:eastAsia="Calibri" w:hAnsi="Times New Roman" w:cs="Times New Roman"/>
          <w:sz w:val="24"/>
          <w:szCs w:val="24"/>
        </w:rPr>
        <w:t xml:space="preserve"> – </w:t>
      </w:r>
      <w:r w:rsidR="00E04B41" w:rsidRPr="00FD4C39">
        <w:rPr>
          <w:rFonts w:ascii="Times New Roman" w:eastAsia="Calibri" w:hAnsi="Times New Roman" w:cs="Times New Roman"/>
          <w:sz w:val="24"/>
          <w:szCs w:val="24"/>
        </w:rPr>
        <w:t xml:space="preserve">юристи и информатици, както и осъществяване на добро взаимодействие между всички заинтересовани страни на национално и наднационално равнище. </w:t>
      </w:r>
    </w:p>
    <w:p w:rsidR="00CE7420" w:rsidRPr="00FD4C39" w:rsidRDefault="00CE7420" w:rsidP="007B189E">
      <w:pPr>
        <w:spacing w:after="0" w:line="360" w:lineRule="auto"/>
        <w:ind w:firstLine="709"/>
        <w:jc w:val="both"/>
        <w:rPr>
          <w:rFonts w:ascii="Times New Roman" w:eastAsia="Calibri" w:hAnsi="Times New Roman" w:cs="Times New Roman"/>
          <w:b/>
          <w:sz w:val="24"/>
          <w:szCs w:val="24"/>
        </w:rPr>
      </w:pPr>
    </w:p>
    <w:p w:rsidR="00E04B41" w:rsidRPr="00FD4C39" w:rsidRDefault="00E04B41"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Връзки с обществеността и инфор</w:t>
      </w:r>
      <w:r w:rsidR="000D4DB8" w:rsidRPr="00FD4C39">
        <w:rPr>
          <w:rFonts w:ascii="Times New Roman" w:eastAsia="Calibri" w:hAnsi="Times New Roman" w:cs="Times New Roman"/>
          <w:b/>
          <w:sz w:val="24"/>
          <w:szCs w:val="24"/>
        </w:rPr>
        <w:t>мационно осигуряване на медиите</w:t>
      </w:r>
    </w:p>
    <w:p w:rsidR="00E04B41"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В своята практиката при осъществяване на ежедневната си дейност и при осъществяване на дейности по дългосрочните си проекти, </w:t>
      </w:r>
      <w:r w:rsidR="00FE7018" w:rsidRPr="00FD4C39">
        <w:rPr>
          <w:rFonts w:ascii="Times New Roman" w:eastAsia="Calibri" w:hAnsi="Times New Roman" w:cs="Times New Roman"/>
          <w:sz w:val="24"/>
          <w:szCs w:val="24"/>
        </w:rPr>
        <w:t>КЗЛД</w:t>
      </w:r>
      <w:r w:rsidR="00FE155B">
        <w:rPr>
          <w:rFonts w:ascii="Times New Roman" w:eastAsia="Calibri" w:hAnsi="Times New Roman" w:cs="Times New Roman"/>
          <w:sz w:val="24"/>
          <w:szCs w:val="24"/>
        </w:rPr>
        <w:t xml:space="preserve"> винаги се стреми</w:t>
      </w:r>
      <w:r w:rsidRPr="00FD4C39">
        <w:rPr>
          <w:rFonts w:ascii="Times New Roman" w:eastAsia="Calibri" w:hAnsi="Times New Roman" w:cs="Times New Roman"/>
          <w:sz w:val="24"/>
          <w:szCs w:val="24"/>
        </w:rPr>
        <w:t xml:space="preserve"> да осигурява максимално висока степен на информираност и прозрачност.</w:t>
      </w:r>
    </w:p>
    <w:p w:rsidR="00E04B41"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 16 април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на специална пресконференция, при сериозен интерес от страна на националните печатни и електронни медии</w:t>
      </w:r>
      <w:r w:rsidR="00FE155B">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w:t>
      </w:r>
      <w:r w:rsidR="00FE155B">
        <w:rPr>
          <w:rFonts w:ascii="Times New Roman" w:eastAsia="Calibri" w:hAnsi="Times New Roman" w:cs="Times New Roman"/>
          <w:sz w:val="24"/>
          <w:szCs w:val="24"/>
        </w:rPr>
        <w:t>се</w:t>
      </w:r>
      <w:r w:rsidRPr="00FD4C39">
        <w:rPr>
          <w:rFonts w:ascii="Times New Roman" w:eastAsia="Calibri" w:hAnsi="Times New Roman" w:cs="Times New Roman"/>
          <w:sz w:val="24"/>
          <w:szCs w:val="24"/>
        </w:rPr>
        <w:t xml:space="preserve"> представ</w:t>
      </w:r>
      <w:r w:rsidR="00FE155B">
        <w:rPr>
          <w:rFonts w:ascii="Times New Roman" w:eastAsia="Calibri" w:hAnsi="Times New Roman" w:cs="Times New Roman"/>
          <w:sz w:val="24"/>
          <w:szCs w:val="24"/>
        </w:rPr>
        <w:t>я</w:t>
      </w:r>
      <w:r w:rsidRPr="00FD4C39">
        <w:rPr>
          <w:rFonts w:ascii="Times New Roman" w:eastAsia="Calibri" w:hAnsi="Times New Roman" w:cs="Times New Roman"/>
          <w:sz w:val="24"/>
          <w:szCs w:val="24"/>
        </w:rPr>
        <w:t xml:space="preserve"> новият състав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за защита на личните данни. На първата си пресконфере</w:t>
      </w:r>
      <w:r w:rsidR="00F45CC1" w:rsidRPr="00FD4C39">
        <w:rPr>
          <w:rFonts w:ascii="Times New Roman" w:eastAsia="Calibri" w:hAnsi="Times New Roman" w:cs="Times New Roman"/>
          <w:sz w:val="24"/>
          <w:szCs w:val="24"/>
        </w:rPr>
        <w:t>нция председателят на КЗЛД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Венцислав Караджов, представ</w:t>
      </w:r>
      <w:r w:rsidR="00FE155B">
        <w:rPr>
          <w:rFonts w:ascii="Times New Roman" w:eastAsia="Calibri" w:hAnsi="Times New Roman" w:cs="Times New Roman"/>
          <w:sz w:val="24"/>
          <w:szCs w:val="24"/>
        </w:rPr>
        <w:t>я</w:t>
      </w:r>
      <w:r w:rsidRPr="00FD4C39">
        <w:rPr>
          <w:rFonts w:ascii="Times New Roman" w:eastAsia="Calibri" w:hAnsi="Times New Roman" w:cs="Times New Roman"/>
          <w:sz w:val="24"/>
          <w:szCs w:val="24"/>
        </w:rPr>
        <w:t xml:space="preserve"> членовете на надзорния орган и очерта</w:t>
      </w:r>
      <w:r w:rsidR="00FE155B">
        <w:rPr>
          <w:rFonts w:ascii="Times New Roman" w:eastAsia="Calibri" w:hAnsi="Times New Roman" w:cs="Times New Roman"/>
          <w:sz w:val="24"/>
          <w:szCs w:val="24"/>
        </w:rPr>
        <w:t>ва</w:t>
      </w:r>
      <w:r w:rsidRPr="00FD4C39">
        <w:rPr>
          <w:rFonts w:ascii="Times New Roman" w:eastAsia="Calibri" w:hAnsi="Times New Roman" w:cs="Times New Roman"/>
          <w:sz w:val="24"/>
          <w:szCs w:val="24"/>
        </w:rPr>
        <w:t xml:space="preserve"> приоритетите в работата на новия </w:t>
      </w:r>
      <w:r w:rsidR="002D6103" w:rsidRPr="00FD4C39">
        <w:rPr>
          <w:rFonts w:ascii="Times New Roman" w:eastAsia="Calibri" w:hAnsi="Times New Roman" w:cs="Times New Roman"/>
          <w:sz w:val="24"/>
          <w:szCs w:val="24"/>
        </w:rPr>
        <w:t>състав</w:t>
      </w:r>
      <w:r w:rsidRPr="00FD4C39">
        <w:rPr>
          <w:rFonts w:ascii="Times New Roman" w:eastAsia="Calibri" w:hAnsi="Times New Roman" w:cs="Times New Roman"/>
          <w:sz w:val="24"/>
          <w:szCs w:val="24"/>
        </w:rPr>
        <w:t xml:space="preserve"> на инст</w:t>
      </w:r>
      <w:r w:rsidR="0026559C" w:rsidRPr="00FD4C39">
        <w:rPr>
          <w:rFonts w:ascii="Times New Roman" w:eastAsia="Calibri" w:hAnsi="Times New Roman" w:cs="Times New Roman"/>
          <w:sz w:val="24"/>
          <w:szCs w:val="24"/>
        </w:rPr>
        <w:t>ит</w:t>
      </w:r>
      <w:r w:rsidR="00FE155B">
        <w:rPr>
          <w:rFonts w:ascii="Times New Roman" w:eastAsia="Calibri" w:hAnsi="Times New Roman" w:cs="Times New Roman"/>
          <w:sz w:val="24"/>
          <w:szCs w:val="24"/>
        </w:rPr>
        <w:t>уцията. На събитието присъстват</w:t>
      </w:r>
      <w:r w:rsidRPr="00FD4C39">
        <w:rPr>
          <w:rFonts w:ascii="Times New Roman" w:eastAsia="Calibri" w:hAnsi="Times New Roman" w:cs="Times New Roman"/>
          <w:sz w:val="24"/>
          <w:szCs w:val="24"/>
        </w:rPr>
        <w:t xml:space="preserve"> досегашният председател на КЗЛД</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Венета Шопова, както и членовете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Красимир Димитров и Валентин Енев. </w:t>
      </w:r>
    </w:p>
    <w:p w:rsidR="00E04B41" w:rsidRPr="00FD4C39" w:rsidRDefault="00A770F8"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месец юли 2014</w:t>
      </w:r>
      <w:r w:rsidR="004D42A2">
        <w:rPr>
          <w:rFonts w:ascii="Times New Roman" w:eastAsia="Calibri" w:hAnsi="Times New Roman" w:cs="Times New Roman"/>
          <w:sz w:val="24"/>
          <w:szCs w:val="24"/>
        </w:rPr>
        <w:t> г.</w:t>
      </w:r>
      <w:r w:rsidR="00E04B41" w:rsidRPr="00FD4C39">
        <w:rPr>
          <w:rFonts w:ascii="Times New Roman" w:eastAsia="Calibri" w:hAnsi="Times New Roman" w:cs="Times New Roman"/>
          <w:sz w:val="24"/>
          <w:szCs w:val="24"/>
        </w:rPr>
        <w:t xml:space="preserve"> </w:t>
      </w:r>
      <w:r w:rsidR="006840D6" w:rsidRPr="00FD4C39">
        <w:rPr>
          <w:rFonts w:ascii="Times New Roman" w:eastAsia="Calibri" w:hAnsi="Times New Roman" w:cs="Times New Roman"/>
          <w:sz w:val="24"/>
          <w:szCs w:val="24"/>
        </w:rPr>
        <w:t>на</w:t>
      </w:r>
      <w:r w:rsidR="00E04B41" w:rsidRPr="00FD4C39">
        <w:rPr>
          <w:rFonts w:ascii="Times New Roman" w:eastAsia="Calibri" w:hAnsi="Times New Roman" w:cs="Times New Roman"/>
          <w:sz w:val="24"/>
          <w:szCs w:val="24"/>
        </w:rPr>
        <w:t xml:space="preserve"> специална пресконференция, която се прове</w:t>
      </w:r>
      <w:r w:rsidR="00C92936">
        <w:rPr>
          <w:rFonts w:ascii="Times New Roman" w:eastAsia="Calibri" w:hAnsi="Times New Roman" w:cs="Times New Roman"/>
          <w:sz w:val="24"/>
          <w:szCs w:val="24"/>
        </w:rPr>
        <w:t>жда</w:t>
      </w:r>
      <w:r w:rsidR="00E04B41" w:rsidRPr="00FD4C39">
        <w:rPr>
          <w:rFonts w:ascii="Times New Roman" w:eastAsia="Calibri" w:hAnsi="Times New Roman" w:cs="Times New Roman"/>
          <w:sz w:val="24"/>
          <w:szCs w:val="24"/>
        </w:rPr>
        <w:t xml:space="preserve"> в зала </w:t>
      </w:r>
      <w:r w:rsidR="004931E5" w:rsidRPr="00FD4C39">
        <w:rPr>
          <w:rFonts w:ascii="Times New Roman" w:eastAsia="Calibri" w:hAnsi="Times New Roman" w:cs="Times New Roman"/>
          <w:sz w:val="24"/>
          <w:szCs w:val="24"/>
        </w:rPr>
        <w:t>„</w:t>
      </w:r>
      <w:r w:rsidR="00C92936">
        <w:rPr>
          <w:rFonts w:ascii="Times New Roman" w:eastAsia="Calibri" w:hAnsi="Times New Roman" w:cs="Times New Roman"/>
          <w:sz w:val="24"/>
          <w:szCs w:val="24"/>
        </w:rPr>
        <w:t>Тържествена“</w:t>
      </w:r>
      <w:r w:rsidR="006840D6" w:rsidRPr="00FD4C39">
        <w:rPr>
          <w:rFonts w:ascii="Times New Roman" w:eastAsia="Calibri" w:hAnsi="Times New Roman" w:cs="Times New Roman"/>
          <w:sz w:val="24"/>
          <w:szCs w:val="24"/>
        </w:rPr>
        <w:t xml:space="preserve"> в Централния военен клуб,</w:t>
      </w:r>
      <w:r w:rsidR="00E04B41"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с</w:t>
      </w:r>
      <w:r w:rsidR="00F90803" w:rsidRPr="00FD4C39">
        <w:rPr>
          <w:rFonts w:ascii="Times New Roman" w:eastAsia="Calibri" w:hAnsi="Times New Roman" w:cs="Times New Roman"/>
          <w:sz w:val="24"/>
          <w:szCs w:val="24"/>
        </w:rPr>
        <w:t>е</w:t>
      </w:r>
      <w:r w:rsidR="00E04B41" w:rsidRPr="00FD4C39">
        <w:rPr>
          <w:rFonts w:ascii="Times New Roman" w:eastAsia="Calibri" w:hAnsi="Times New Roman" w:cs="Times New Roman"/>
          <w:sz w:val="24"/>
          <w:szCs w:val="24"/>
        </w:rPr>
        <w:t xml:space="preserve"> представ</w:t>
      </w:r>
      <w:r w:rsidR="00E737CA">
        <w:rPr>
          <w:rFonts w:ascii="Times New Roman" w:eastAsia="Calibri" w:hAnsi="Times New Roman" w:cs="Times New Roman"/>
          <w:sz w:val="24"/>
          <w:szCs w:val="24"/>
        </w:rPr>
        <w:t>ят</w:t>
      </w:r>
      <w:r w:rsidR="00E04B41" w:rsidRPr="00FD4C39">
        <w:rPr>
          <w:rFonts w:ascii="Times New Roman" w:eastAsia="Calibri" w:hAnsi="Times New Roman" w:cs="Times New Roman"/>
          <w:sz w:val="24"/>
          <w:szCs w:val="24"/>
        </w:rPr>
        <w:t xml:space="preserve"> официално резултатите от извършените проверки на политическите партии, коалиции и инициативни комитети, подали документи за регистрация за участие в изборите за депутати в Европейския парламент. Стотици граждани </w:t>
      </w:r>
      <w:r w:rsidR="006840D6" w:rsidRPr="00FD4C39">
        <w:rPr>
          <w:rFonts w:ascii="Times New Roman" w:eastAsia="Calibri" w:hAnsi="Times New Roman" w:cs="Times New Roman"/>
          <w:sz w:val="24"/>
          <w:szCs w:val="24"/>
        </w:rPr>
        <w:t>са</w:t>
      </w:r>
      <w:r w:rsidR="00E04B41" w:rsidRPr="00FD4C39">
        <w:rPr>
          <w:rFonts w:ascii="Times New Roman" w:eastAsia="Calibri" w:hAnsi="Times New Roman" w:cs="Times New Roman"/>
          <w:sz w:val="24"/>
          <w:szCs w:val="24"/>
        </w:rPr>
        <w:t xml:space="preserve"> засегнати от злоупотреба с техните лични данни, което </w:t>
      </w:r>
      <w:r w:rsidR="00E737CA">
        <w:rPr>
          <w:rFonts w:ascii="Times New Roman" w:eastAsia="Calibri" w:hAnsi="Times New Roman" w:cs="Times New Roman"/>
          <w:sz w:val="24"/>
          <w:szCs w:val="24"/>
        </w:rPr>
        <w:t>се</w:t>
      </w:r>
      <w:r w:rsidR="00E04B41" w:rsidRPr="00FD4C39">
        <w:rPr>
          <w:rFonts w:ascii="Times New Roman" w:eastAsia="Calibri" w:hAnsi="Times New Roman" w:cs="Times New Roman"/>
          <w:sz w:val="24"/>
          <w:szCs w:val="24"/>
        </w:rPr>
        <w:t xml:space="preserve"> установ</w:t>
      </w:r>
      <w:r w:rsidR="00E737CA">
        <w:rPr>
          <w:rFonts w:ascii="Times New Roman" w:eastAsia="Calibri" w:hAnsi="Times New Roman" w:cs="Times New Roman"/>
          <w:sz w:val="24"/>
          <w:szCs w:val="24"/>
        </w:rPr>
        <w:t>ява</w:t>
      </w:r>
      <w:r w:rsidR="00E04B41" w:rsidRPr="00FD4C39">
        <w:rPr>
          <w:rFonts w:ascii="Times New Roman" w:eastAsia="Calibri" w:hAnsi="Times New Roman" w:cs="Times New Roman"/>
          <w:sz w:val="24"/>
          <w:szCs w:val="24"/>
        </w:rPr>
        <w:t xml:space="preserve"> в процеса на регистрация на политическите субекти в изборите за членове на Европейския парламент от Република България на 25 май 2014 година. На срещата КЗЛД обяв</w:t>
      </w:r>
      <w:r w:rsidR="00035A48">
        <w:rPr>
          <w:rFonts w:ascii="Times New Roman" w:eastAsia="Calibri" w:hAnsi="Times New Roman" w:cs="Times New Roman"/>
          <w:sz w:val="24"/>
          <w:szCs w:val="24"/>
        </w:rPr>
        <w:t>ява</w:t>
      </w:r>
      <w:r w:rsidR="00E04B41" w:rsidRPr="00FD4C39">
        <w:rPr>
          <w:rFonts w:ascii="Times New Roman" w:eastAsia="Calibri" w:hAnsi="Times New Roman" w:cs="Times New Roman"/>
          <w:sz w:val="24"/>
          <w:szCs w:val="24"/>
        </w:rPr>
        <w:t xml:space="preserve"> официалните констатации от извършените проверки на </w:t>
      </w:r>
      <w:r w:rsidR="0064532C" w:rsidRPr="00FD4C39">
        <w:rPr>
          <w:rFonts w:ascii="Times New Roman" w:eastAsia="Calibri" w:hAnsi="Times New Roman" w:cs="Times New Roman"/>
          <w:sz w:val="24"/>
          <w:szCs w:val="24"/>
        </w:rPr>
        <w:t>ПП</w:t>
      </w:r>
      <w:r w:rsidR="00E04B41" w:rsidRPr="00FD4C39">
        <w:rPr>
          <w:rFonts w:ascii="Times New Roman" w:eastAsia="Calibri" w:hAnsi="Times New Roman" w:cs="Times New Roman"/>
          <w:sz w:val="24"/>
          <w:szCs w:val="24"/>
        </w:rPr>
        <w:t xml:space="preserve">, </w:t>
      </w:r>
      <w:r w:rsidR="0064532C" w:rsidRPr="00FD4C39">
        <w:rPr>
          <w:rFonts w:ascii="Times New Roman" w:eastAsia="Calibri" w:hAnsi="Times New Roman" w:cs="Times New Roman"/>
          <w:sz w:val="24"/>
          <w:szCs w:val="24"/>
        </w:rPr>
        <w:t>КП</w:t>
      </w:r>
      <w:r w:rsidR="00E04B41" w:rsidRPr="00FD4C39">
        <w:rPr>
          <w:rFonts w:ascii="Times New Roman" w:eastAsia="Calibri" w:hAnsi="Times New Roman" w:cs="Times New Roman"/>
          <w:sz w:val="24"/>
          <w:szCs w:val="24"/>
        </w:rPr>
        <w:t xml:space="preserve"> и инициативни комитети, подали документи за регистрация за участие в изборите за депутати в Европейския парламент, както и препоръките към тях като </w:t>
      </w:r>
      <w:r w:rsidR="00FE7018" w:rsidRPr="00FD4C39">
        <w:rPr>
          <w:rFonts w:ascii="Times New Roman" w:eastAsia="Calibri" w:hAnsi="Times New Roman" w:cs="Times New Roman"/>
          <w:sz w:val="24"/>
          <w:szCs w:val="24"/>
        </w:rPr>
        <w:t>АЛД</w:t>
      </w:r>
      <w:r w:rsidR="00A227D6" w:rsidRPr="00FD4C39">
        <w:rPr>
          <w:rFonts w:ascii="Times New Roman" w:eastAsia="Calibri" w:hAnsi="Times New Roman" w:cs="Times New Roman"/>
          <w:sz w:val="24"/>
          <w:szCs w:val="24"/>
        </w:rPr>
        <w:t xml:space="preserve"> </w:t>
      </w:r>
      <w:r w:rsidR="00E04B41" w:rsidRPr="00FD4C39">
        <w:rPr>
          <w:rFonts w:ascii="Times New Roman" w:eastAsia="Calibri" w:hAnsi="Times New Roman" w:cs="Times New Roman"/>
          <w:sz w:val="24"/>
          <w:szCs w:val="24"/>
        </w:rPr>
        <w:t xml:space="preserve">с цел съхраняване на данните. Едновременно </w:t>
      </w:r>
      <w:r w:rsidR="00035A48">
        <w:rPr>
          <w:rFonts w:ascii="Times New Roman" w:eastAsia="Calibri" w:hAnsi="Times New Roman" w:cs="Times New Roman"/>
          <w:sz w:val="24"/>
          <w:szCs w:val="24"/>
        </w:rPr>
        <w:t>се отправят</w:t>
      </w:r>
      <w:r w:rsidR="00E04B41" w:rsidRPr="00FD4C39">
        <w:rPr>
          <w:rFonts w:ascii="Times New Roman" w:eastAsia="Calibri" w:hAnsi="Times New Roman" w:cs="Times New Roman"/>
          <w:sz w:val="24"/>
          <w:szCs w:val="24"/>
        </w:rPr>
        <w:t xml:space="preserve"> и препоръки към гражданите за по-голяма отговорност при предоставянето на личните данни.  </w:t>
      </w:r>
    </w:p>
    <w:p w:rsidR="00E04B41"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На събитието присъства</w:t>
      </w:r>
      <w:r w:rsidR="00035A48">
        <w:rPr>
          <w:rFonts w:ascii="Times New Roman" w:eastAsia="Calibri" w:hAnsi="Times New Roman" w:cs="Times New Roman"/>
          <w:sz w:val="24"/>
          <w:szCs w:val="24"/>
        </w:rPr>
        <w:t>т</w:t>
      </w:r>
      <w:r w:rsidRPr="00FD4C39">
        <w:rPr>
          <w:rFonts w:ascii="Times New Roman" w:eastAsia="Calibri" w:hAnsi="Times New Roman" w:cs="Times New Roman"/>
          <w:sz w:val="24"/>
          <w:szCs w:val="24"/>
        </w:rPr>
        <w:t xml:space="preserve"> представители на кабинета на вицепрезидента Маргарита Попова, на </w:t>
      </w:r>
      <w:r w:rsidR="0064532C" w:rsidRPr="00FD4C39">
        <w:rPr>
          <w:rFonts w:ascii="Times New Roman" w:eastAsia="Calibri" w:hAnsi="Times New Roman" w:cs="Times New Roman"/>
          <w:sz w:val="24"/>
          <w:szCs w:val="24"/>
        </w:rPr>
        <w:t>ЦИК</w:t>
      </w:r>
      <w:r w:rsidRPr="00FD4C39">
        <w:rPr>
          <w:rFonts w:ascii="Times New Roman" w:eastAsia="Calibri" w:hAnsi="Times New Roman" w:cs="Times New Roman"/>
          <w:sz w:val="24"/>
          <w:szCs w:val="24"/>
        </w:rPr>
        <w:t xml:space="preserve">, неправителствени организации, участвали в качеството си </w:t>
      </w:r>
      <w:r w:rsidRPr="00FD4C39">
        <w:rPr>
          <w:rFonts w:ascii="Times New Roman" w:eastAsia="Calibri" w:hAnsi="Times New Roman" w:cs="Times New Roman"/>
          <w:sz w:val="24"/>
          <w:szCs w:val="24"/>
        </w:rPr>
        <w:lastRenderedPageBreak/>
        <w:t xml:space="preserve">на наблюдатели на проведените от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проверки, както и представители на 45 политически субекта</w:t>
      </w:r>
      <w:r w:rsidR="004D42A2">
        <w:rPr>
          <w:rFonts w:ascii="Times New Roman" w:eastAsia="Calibri" w:hAnsi="Times New Roman" w:cs="Times New Roman"/>
          <w:sz w:val="24"/>
          <w:szCs w:val="24"/>
        </w:rPr>
        <w:t xml:space="preserve"> – </w:t>
      </w:r>
      <w:r w:rsidR="0064532C" w:rsidRPr="00FD4C39">
        <w:rPr>
          <w:rFonts w:ascii="Times New Roman" w:eastAsia="Calibri" w:hAnsi="Times New Roman" w:cs="Times New Roman"/>
          <w:sz w:val="24"/>
          <w:szCs w:val="24"/>
        </w:rPr>
        <w:t>ПП</w:t>
      </w:r>
      <w:r w:rsidRPr="00FD4C39">
        <w:rPr>
          <w:rFonts w:ascii="Times New Roman" w:eastAsia="Calibri" w:hAnsi="Times New Roman" w:cs="Times New Roman"/>
          <w:sz w:val="24"/>
          <w:szCs w:val="24"/>
        </w:rPr>
        <w:t xml:space="preserve">, </w:t>
      </w:r>
      <w:r w:rsidR="0064532C" w:rsidRPr="00FD4C39">
        <w:rPr>
          <w:rFonts w:ascii="Times New Roman" w:eastAsia="Calibri" w:hAnsi="Times New Roman" w:cs="Times New Roman"/>
          <w:sz w:val="24"/>
          <w:szCs w:val="24"/>
        </w:rPr>
        <w:t>КП</w:t>
      </w:r>
      <w:r w:rsidRPr="00FD4C39">
        <w:rPr>
          <w:rFonts w:ascii="Times New Roman" w:eastAsia="Calibri" w:hAnsi="Times New Roman" w:cs="Times New Roman"/>
          <w:sz w:val="24"/>
          <w:szCs w:val="24"/>
        </w:rPr>
        <w:t xml:space="preserve"> и инициативни комитети, обект на проверките от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Представители на над 30 електронни и печатни медии, в това число и телевизии с национален и местен обхват</w:t>
      </w:r>
      <w:r w:rsidR="00CF6421"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отраз</w:t>
      </w:r>
      <w:r w:rsidR="00035A48">
        <w:rPr>
          <w:rFonts w:ascii="Times New Roman" w:eastAsia="Calibri" w:hAnsi="Times New Roman" w:cs="Times New Roman"/>
          <w:sz w:val="24"/>
          <w:szCs w:val="24"/>
        </w:rPr>
        <w:t>яват</w:t>
      </w:r>
      <w:r w:rsidRPr="00FD4C39">
        <w:rPr>
          <w:rFonts w:ascii="Times New Roman" w:eastAsia="Calibri" w:hAnsi="Times New Roman" w:cs="Times New Roman"/>
          <w:sz w:val="24"/>
          <w:szCs w:val="24"/>
        </w:rPr>
        <w:t xml:space="preserve"> събитието с множество публикации в пресата </w:t>
      </w:r>
      <w:r w:rsidR="00F90803" w:rsidRPr="00FD4C39">
        <w:rPr>
          <w:rFonts w:ascii="Times New Roman" w:eastAsia="Calibri" w:hAnsi="Times New Roman" w:cs="Times New Roman"/>
          <w:sz w:val="24"/>
          <w:szCs w:val="24"/>
        </w:rPr>
        <w:t>и</w:t>
      </w:r>
      <w:r w:rsidRPr="00FD4C39">
        <w:rPr>
          <w:rFonts w:ascii="Times New Roman" w:eastAsia="Calibri" w:hAnsi="Times New Roman" w:cs="Times New Roman"/>
          <w:sz w:val="24"/>
          <w:szCs w:val="24"/>
        </w:rPr>
        <w:t xml:space="preserve"> интервюта на председателя и членовете на КЗЛД.</w:t>
      </w:r>
    </w:p>
    <w:p w:rsidR="00E04B41" w:rsidRPr="00FD4C39" w:rsidRDefault="00A804B7"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Ин</w:t>
      </w:r>
      <w:r w:rsidR="00035A48">
        <w:rPr>
          <w:rFonts w:ascii="Times New Roman" w:eastAsia="Calibri" w:hAnsi="Times New Roman" w:cs="Times New Roman"/>
          <w:sz w:val="24"/>
          <w:szCs w:val="24"/>
        </w:rPr>
        <w:t>тер</w:t>
      </w:r>
      <w:r w:rsidRPr="00FD4C39">
        <w:rPr>
          <w:rFonts w:ascii="Times New Roman" w:eastAsia="Calibri" w:hAnsi="Times New Roman" w:cs="Times New Roman"/>
          <w:sz w:val="24"/>
          <w:szCs w:val="24"/>
        </w:rPr>
        <w:t>нет страницата</w:t>
      </w:r>
      <w:r w:rsidR="00E04B41" w:rsidRPr="00FD4C39">
        <w:rPr>
          <w:rFonts w:ascii="Times New Roman" w:eastAsia="Calibri" w:hAnsi="Times New Roman" w:cs="Times New Roman"/>
          <w:sz w:val="24"/>
          <w:szCs w:val="24"/>
        </w:rPr>
        <w:t xml:space="preserve"> на КЗЛД е основно средство за информация и контакт с гражданите. В отделните рубрики регулярно се публикуват материали, отразяващи дейността на </w:t>
      </w:r>
      <w:r w:rsidR="00FE7018" w:rsidRPr="00FD4C39">
        <w:rPr>
          <w:rFonts w:ascii="Times New Roman" w:eastAsia="Calibri" w:hAnsi="Times New Roman" w:cs="Times New Roman"/>
          <w:sz w:val="24"/>
          <w:szCs w:val="24"/>
        </w:rPr>
        <w:t>КЗЛД</w:t>
      </w:r>
      <w:r w:rsidR="00607A85">
        <w:rPr>
          <w:rFonts w:ascii="Times New Roman" w:eastAsia="Calibri" w:hAnsi="Times New Roman" w:cs="Times New Roman"/>
          <w:sz w:val="24"/>
          <w:szCs w:val="24"/>
        </w:rPr>
        <w:t>,</w:t>
      </w:r>
      <w:r w:rsidR="00E04B41" w:rsidRPr="00FD4C39">
        <w:rPr>
          <w:rFonts w:ascii="Times New Roman" w:eastAsia="Calibri" w:hAnsi="Times New Roman" w:cs="Times New Roman"/>
          <w:sz w:val="24"/>
          <w:szCs w:val="24"/>
        </w:rPr>
        <w:t xml:space="preserve"> и месечният медиен мониторинг. Непрекъснато се актуализира информацията на електронната страница, което я прави ценно помагало на гражданите</w:t>
      </w:r>
      <w:r w:rsidR="002D6103" w:rsidRPr="00FD4C39">
        <w:rPr>
          <w:rFonts w:ascii="Times New Roman" w:eastAsia="Calibri" w:hAnsi="Times New Roman" w:cs="Times New Roman"/>
          <w:sz w:val="24"/>
          <w:szCs w:val="24"/>
        </w:rPr>
        <w:t xml:space="preserve"> по въпроси, свързани със защитата на личните им данни в различни житейски ситуации</w:t>
      </w:r>
      <w:r w:rsidR="00E04B41" w:rsidRPr="00FD4C39">
        <w:rPr>
          <w:rFonts w:ascii="Times New Roman" w:eastAsia="Calibri" w:hAnsi="Times New Roman" w:cs="Times New Roman"/>
          <w:sz w:val="24"/>
          <w:szCs w:val="24"/>
        </w:rPr>
        <w:t>. Целта е масово запознаване на гражданите с дейността на КЗЛД и пълна прозрачност на дейността й.</w:t>
      </w:r>
    </w:p>
    <w:p w:rsidR="00C60E20"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отчетния период благодарение на вече създадения улеснен и персонализиран контакт между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и представители на медиите </w:t>
      </w:r>
      <w:r w:rsidR="00607A85">
        <w:rPr>
          <w:rFonts w:ascii="Times New Roman" w:eastAsia="Calibri" w:hAnsi="Times New Roman" w:cs="Times New Roman"/>
          <w:sz w:val="24"/>
          <w:szCs w:val="24"/>
        </w:rPr>
        <w:t>се</w:t>
      </w:r>
      <w:r w:rsidRPr="00FD4C39">
        <w:rPr>
          <w:rFonts w:ascii="Times New Roman" w:eastAsia="Calibri" w:hAnsi="Times New Roman" w:cs="Times New Roman"/>
          <w:sz w:val="24"/>
          <w:szCs w:val="24"/>
        </w:rPr>
        <w:t xml:space="preserve"> реализира</w:t>
      </w:r>
      <w:r w:rsidR="00607A85">
        <w:rPr>
          <w:rFonts w:ascii="Times New Roman" w:eastAsia="Calibri" w:hAnsi="Times New Roman" w:cs="Times New Roman"/>
          <w:sz w:val="24"/>
          <w:szCs w:val="24"/>
        </w:rPr>
        <w:t>т</w:t>
      </w:r>
      <w:r w:rsidRPr="00FD4C39">
        <w:rPr>
          <w:rFonts w:ascii="Times New Roman" w:eastAsia="Calibri" w:hAnsi="Times New Roman" w:cs="Times New Roman"/>
          <w:sz w:val="24"/>
          <w:szCs w:val="24"/>
        </w:rPr>
        <w:t xml:space="preserve"> над 150 интервюта и материали с участието на председателя, членовете на КЗЛД и експерти от администрацията </w:t>
      </w:r>
      <w:r w:rsidR="00607A85">
        <w:rPr>
          <w:rFonts w:ascii="Times New Roman" w:eastAsia="Calibri" w:hAnsi="Times New Roman" w:cs="Times New Roman"/>
          <w:sz w:val="24"/>
          <w:szCs w:val="24"/>
        </w:rPr>
        <w:t>й. Дейността на институцията намира</w:t>
      </w:r>
      <w:r w:rsidRPr="00FD4C39">
        <w:rPr>
          <w:rFonts w:ascii="Times New Roman" w:eastAsia="Calibri" w:hAnsi="Times New Roman" w:cs="Times New Roman"/>
          <w:sz w:val="24"/>
          <w:szCs w:val="24"/>
        </w:rPr>
        <w:t xml:space="preserve"> място в множество публикации в централните всекидневници и основните седмичници. Електронните агенции и електронни</w:t>
      </w:r>
      <w:r w:rsidR="00C60E20" w:rsidRPr="00FD4C39">
        <w:rPr>
          <w:rFonts w:ascii="Times New Roman" w:eastAsia="Calibri" w:hAnsi="Times New Roman" w:cs="Times New Roman"/>
          <w:sz w:val="24"/>
          <w:szCs w:val="24"/>
        </w:rPr>
        <w:t>те</w:t>
      </w:r>
      <w:r w:rsidRPr="00FD4C39">
        <w:rPr>
          <w:rFonts w:ascii="Times New Roman" w:eastAsia="Calibri" w:hAnsi="Times New Roman" w:cs="Times New Roman"/>
          <w:sz w:val="24"/>
          <w:szCs w:val="24"/>
        </w:rPr>
        <w:t xml:space="preserve"> медии също отразяват редовно дейността на </w:t>
      </w:r>
      <w:r w:rsidR="00FE7018" w:rsidRPr="00FD4C39">
        <w:rPr>
          <w:rFonts w:ascii="Times New Roman" w:eastAsia="Calibri" w:hAnsi="Times New Roman" w:cs="Times New Roman"/>
          <w:sz w:val="24"/>
          <w:szCs w:val="24"/>
        </w:rPr>
        <w:t>КЗЛД</w:t>
      </w:r>
      <w:r w:rsidR="00607A85">
        <w:rPr>
          <w:rFonts w:ascii="Times New Roman" w:eastAsia="Calibri" w:hAnsi="Times New Roman" w:cs="Times New Roman"/>
          <w:sz w:val="24"/>
          <w:szCs w:val="24"/>
        </w:rPr>
        <w:t>. КЗЛД отговаря</w:t>
      </w:r>
      <w:r w:rsidRPr="00FD4C39">
        <w:rPr>
          <w:rFonts w:ascii="Times New Roman" w:eastAsia="Calibri" w:hAnsi="Times New Roman" w:cs="Times New Roman"/>
          <w:sz w:val="24"/>
          <w:szCs w:val="24"/>
        </w:rPr>
        <w:t xml:space="preserve"> на актуални</w:t>
      </w:r>
      <w:r w:rsidR="00607A85">
        <w:rPr>
          <w:rFonts w:ascii="Times New Roman" w:eastAsia="Calibri" w:hAnsi="Times New Roman" w:cs="Times New Roman"/>
          <w:sz w:val="24"/>
          <w:szCs w:val="24"/>
        </w:rPr>
        <w:t xml:space="preserve"> обществени въпроси и интервюта</w:t>
      </w:r>
      <w:r w:rsidRPr="00FD4C39">
        <w:rPr>
          <w:rFonts w:ascii="Times New Roman" w:eastAsia="Calibri" w:hAnsi="Times New Roman" w:cs="Times New Roman"/>
          <w:sz w:val="24"/>
          <w:szCs w:val="24"/>
        </w:rPr>
        <w:t xml:space="preserve"> по различни теми през годината, в Българска национална телевизия, </w:t>
      </w:r>
      <w:proofErr w:type="spellStart"/>
      <w:r w:rsidRPr="00FD4C39">
        <w:rPr>
          <w:rFonts w:ascii="Times New Roman" w:eastAsia="Calibri" w:hAnsi="Times New Roman" w:cs="Times New Roman"/>
          <w:sz w:val="24"/>
          <w:szCs w:val="24"/>
        </w:rPr>
        <w:t>телевизия</w:t>
      </w:r>
      <w:proofErr w:type="spellEnd"/>
      <w:r w:rsidRPr="00FD4C39">
        <w:rPr>
          <w:rFonts w:ascii="Times New Roman" w:eastAsia="Calibri" w:hAnsi="Times New Roman" w:cs="Times New Roman"/>
          <w:sz w:val="24"/>
          <w:szCs w:val="24"/>
        </w:rPr>
        <w:t xml:space="preserve"> </w:t>
      </w:r>
      <w:proofErr w:type="spellStart"/>
      <w:r w:rsidR="00607A85">
        <w:rPr>
          <w:rFonts w:ascii="Times New Roman" w:eastAsia="Calibri" w:hAnsi="Times New Roman" w:cs="Times New Roman"/>
          <w:sz w:val="24"/>
          <w:szCs w:val="24"/>
        </w:rPr>
        <w:t>bTV</w:t>
      </w:r>
      <w:proofErr w:type="spellEnd"/>
      <w:r w:rsidR="00607A85">
        <w:rPr>
          <w:rFonts w:ascii="Times New Roman" w:eastAsia="Calibri" w:hAnsi="Times New Roman" w:cs="Times New Roman"/>
          <w:sz w:val="24"/>
          <w:szCs w:val="24"/>
        </w:rPr>
        <w:t>, Нова телевизия,</w:t>
      </w:r>
      <w:r w:rsidRPr="00FD4C39">
        <w:rPr>
          <w:rFonts w:ascii="Times New Roman" w:eastAsia="Calibri" w:hAnsi="Times New Roman" w:cs="Times New Roman"/>
          <w:sz w:val="24"/>
          <w:szCs w:val="24"/>
        </w:rPr>
        <w:t xml:space="preserve"> </w:t>
      </w:r>
      <w:r w:rsidR="00607A85">
        <w:rPr>
          <w:rFonts w:ascii="Times New Roman" w:eastAsia="Calibri" w:hAnsi="Times New Roman" w:cs="Times New Roman"/>
          <w:sz w:val="24"/>
          <w:szCs w:val="24"/>
        </w:rPr>
        <w:t>TV 7</w:t>
      </w:r>
      <w:r w:rsidRPr="00FD4C39">
        <w:rPr>
          <w:rFonts w:ascii="Times New Roman" w:eastAsia="Calibri" w:hAnsi="Times New Roman" w:cs="Times New Roman"/>
          <w:sz w:val="24"/>
          <w:szCs w:val="24"/>
        </w:rPr>
        <w:t xml:space="preserve">, радио </w:t>
      </w:r>
      <w:r w:rsidR="004931E5" w:rsidRPr="00FD4C39">
        <w:rPr>
          <w:rFonts w:ascii="Times New Roman" w:eastAsia="Calibri" w:hAnsi="Times New Roman" w:cs="Times New Roman"/>
          <w:sz w:val="24"/>
          <w:szCs w:val="24"/>
        </w:rPr>
        <w:t>„</w:t>
      </w:r>
      <w:r w:rsidR="00607A85">
        <w:rPr>
          <w:rFonts w:ascii="Times New Roman" w:eastAsia="Calibri" w:hAnsi="Times New Roman" w:cs="Times New Roman"/>
          <w:sz w:val="24"/>
          <w:szCs w:val="24"/>
        </w:rPr>
        <w:t>Хоризонт“</w:t>
      </w:r>
      <w:r w:rsidRPr="00FD4C39">
        <w:rPr>
          <w:rFonts w:ascii="Times New Roman" w:eastAsia="Calibri" w:hAnsi="Times New Roman" w:cs="Times New Roman"/>
          <w:sz w:val="24"/>
          <w:szCs w:val="24"/>
        </w:rPr>
        <w:t xml:space="preserve">, радио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Христо Ботев</w:t>
      </w:r>
      <w:r w:rsidR="00607A85">
        <w:rPr>
          <w:rFonts w:ascii="Times New Roman" w:eastAsia="Calibri" w:hAnsi="Times New Roman" w:cs="Times New Roman"/>
          <w:sz w:val="24"/>
          <w:szCs w:val="24"/>
        </w:rPr>
        <w:t xml:space="preserve">“, </w:t>
      </w:r>
      <w:proofErr w:type="spellStart"/>
      <w:r w:rsidR="00607A85">
        <w:rPr>
          <w:rFonts w:ascii="Times New Roman" w:eastAsia="Calibri" w:hAnsi="Times New Roman" w:cs="Times New Roman"/>
          <w:sz w:val="24"/>
          <w:szCs w:val="24"/>
        </w:rPr>
        <w:t>Дарик</w:t>
      </w:r>
      <w:proofErr w:type="spellEnd"/>
      <w:r w:rsidR="00607A85">
        <w:rPr>
          <w:rFonts w:ascii="Times New Roman" w:eastAsia="Calibri" w:hAnsi="Times New Roman" w:cs="Times New Roman"/>
          <w:sz w:val="24"/>
          <w:szCs w:val="24"/>
        </w:rPr>
        <w:t xml:space="preserve"> р</w:t>
      </w:r>
      <w:r w:rsidRPr="00FD4C39">
        <w:rPr>
          <w:rFonts w:ascii="Times New Roman" w:eastAsia="Calibri" w:hAnsi="Times New Roman" w:cs="Times New Roman"/>
          <w:sz w:val="24"/>
          <w:szCs w:val="24"/>
        </w:rPr>
        <w:t xml:space="preserve">адио, в.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24 часа</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в.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Труд</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в.</w:t>
      </w:r>
      <w:r w:rsidR="00607A85">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Капитал</w:t>
      </w:r>
      <w:r w:rsidR="00607A85">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в. </w:t>
      </w:r>
      <w:r w:rsidR="004931E5" w:rsidRPr="00FD4C39">
        <w:rPr>
          <w:rFonts w:ascii="Times New Roman" w:eastAsia="Calibri" w:hAnsi="Times New Roman" w:cs="Times New Roman"/>
          <w:sz w:val="24"/>
          <w:szCs w:val="24"/>
        </w:rPr>
        <w:t>„</w:t>
      </w:r>
      <w:proofErr w:type="spellStart"/>
      <w:r w:rsidRPr="00FD4C39">
        <w:rPr>
          <w:rFonts w:ascii="Times New Roman" w:eastAsia="Calibri" w:hAnsi="Times New Roman" w:cs="Times New Roman"/>
          <w:sz w:val="24"/>
          <w:szCs w:val="24"/>
        </w:rPr>
        <w:t>Банкерь</w:t>
      </w:r>
      <w:proofErr w:type="spellEnd"/>
      <w:r w:rsidR="00607A85">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в.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Монитор</w:t>
      </w:r>
      <w:r w:rsidR="00CF0F1F"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и др. </w:t>
      </w:r>
    </w:p>
    <w:p w:rsidR="00E04B41" w:rsidRPr="00FD4C39" w:rsidRDefault="00E04B41"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От </w:t>
      </w:r>
      <w:r w:rsidR="00FE7018" w:rsidRPr="00FD4C39">
        <w:rPr>
          <w:rFonts w:ascii="Times New Roman" w:eastAsia="Calibri" w:hAnsi="Times New Roman" w:cs="Times New Roman"/>
          <w:sz w:val="24"/>
          <w:szCs w:val="24"/>
        </w:rPr>
        <w:t>КЗЛД</w:t>
      </w:r>
      <w:r w:rsidR="0064532C"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 xml:space="preserve">се предоставя своевременно информация на журналисти по тяхно писмено или устно искане. Постоянното сътрудничество на институцията с ресорните репортери </w:t>
      </w:r>
      <w:r w:rsidR="00C60E20" w:rsidRPr="00FD4C39">
        <w:rPr>
          <w:rFonts w:ascii="Times New Roman" w:eastAsia="Calibri" w:hAnsi="Times New Roman" w:cs="Times New Roman"/>
          <w:sz w:val="24"/>
          <w:szCs w:val="24"/>
        </w:rPr>
        <w:t>води</w:t>
      </w:r>
      <w:r w:rsidRPr="00FD4C39">
        <w:rPr>
          <w:rFonts w:ascii="Times New Roman" w:eastAsia="Calibri" w:hAnsi="Times New Roman" w:cs="Times New Roman"/>
          <w:sz w:val="24"/>
          <w:szCs w:val="24"/>
        </w:rPr>
        <w:t xml:space="preserve"> до публикуването на значителен брой информационни материали и журналистически разследвания, които засягат разнообразни аспекти на защитата на личните данни. Чрез постоянната комуникация с медиите </w:t>
      </w:r>
      <w:r w:rsidR="00607A85">
        <w:rPr>
          <w:rFonts w:ascii="Times New Roman" w:eastAsia="Calibri" w:hAnsi="Times New Roman" w:cs="Times New Roman"/>
          <w:sz w:val="24"/>
          <w:szCs w:val="24"/>
        </w:rPr>
        <w:t>и множеството реализирани изяви</w:t>
      </w:r>
      <w:r w:rsidRPr="00FD4C39">
        <w:rPr>
          <w:rFonts w:ascii="Times New Roman" w:eastAsia="Calibri" w:hAnsi="Times New Roman" w:cs="Times New Roman"/>
          <w:sz w:val="24"/>
          <w:szCs w:val="24"/>
        </w:rPr>
        <w:t xml:space="preserve"> до населението у нас достига ценна и практична информация, което е част от цялостната политика на КЗЛД към публичност, прозрачност и открит диалог с българското общество.</w:t>
      </w:r>
    </w:p>
    <w:p w:rsidR="00653892" w:rsidRPr="00FD4C39" w:rsidRDefault="00653892">
      <w:pPr>
        <w:rPr>
          <w:rFonts w:ascii="Times New Roman" w:eastAsia="Calibri" w:hAnsi="Times New Roman" w:cs="Times New Roman"/>
          <w:sz w:val="24"/>
          <w:szCs w:val="24"/>
        </w:rPr>
      </w:pPr>
      <w:r w:rsidRPr="00FD4C39">
        <w:rPr>
          <w:rFonts w:ascii="Times New Roman" w:eastAsia="Calibri" w:hAnsi="Times New Roman" w:cs="Times New Roman"/>
          <w:sz w:val="24"/>
          <w:szCs w:val="24"/>
        </w:rPr>
        <w:br w:type="page"/>
      </w:r>
    </w:p>
    <w:p w:rsidR="003B2E80"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XI. Международна дейност. Реформа в областта на защитата на личните данни</w:t>
      </w:r>
      <w:r w:rsidR="0064532C" w:rsidRPr="00FD4C39">
        <w:rPr>
          <w:rFonts w:ascii="Times New Roman" w:eastAsia="Calibri" w:hAnsi="Times New Roman" w:cs="Times New Roman"/>
          <w:b/>
          <w:sz w:val="24"/>
          <w:szCs w:val="24"/>
        </w:rPr>
        <w:t>.</w:t>
      </w:r>
    </w:p>
    <w:p w:rsidR="00CB4C73" w:rsidRPr="00FD4C39" w:rsidRDefault="00CB4C73" w:rsidP="007B189E">
      <w:pPr>
        <w:spacing w:after="0" w:line="360" w:lineRule="auto"/>
        <w:ind w:firstLine="709"/>
        <w:jc w:val="both"/>
        <w:rPr>
          <w:rFonts w:ascii="Times New Roman" w:eastAsia="Calibri" w:hAnsi="Times New Roman" w:cs="Times New Roman"/>
          <w:b/>
          <w:sz w:val="24"/>
          <w:szCs w:val="24"/>
        </w:rPr>
      </w:pP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През 2014 година </w:t>
      </w:r>
      <w:r w:rsidR="00FE7018" w:rsidRPr="00FD4C39">
        <w:rPr>
          <w:rFonts w:ascii="Times New Roman" w:hAnsi="Times New Roman" w:cs="Times New Roman"/>
          <w:sz w:val="24"/>
          <w:szCs w:val="24"/>
        </w:rPr>
        <w:t>КЗЛД</w:t>
      </w:r>
      <w:r w:rsidR="0034018B">
        <w:rPr>
          <w:rFonts w:ascii="Times New Roman" w:hAnsi="Times New Roman" w:cs="Times New Roman"/>
          <w:sz w:val="24"/>
          <w:szCs w:val="24"/>
        </w:rPr>
        <w:t xml:space="preserve"> </w:t>
      </w:r>
      <w:r w:rsidRPr="00FD4C39">
        <w:rPr>
          <w:rFonts w:ascii="Times New Roman" w:hAnsi="Times New Roman" w:cs="Times New Roman"/>
          <w:sz w:val="24"/>
          <w:szCs w:val="24"/>
        </w:rPr>
        <w:t xml:space="preserve">продължава своето активно участие в процеса на прилагане на европейската уредба в областта на защитата на данните и неприкосновеността на личния живот, както и в процеса на обсъждане на предложения от Европейската комисия пакет за реформа в правната уредба на защита на данните. </w:t>
      </w:r>
    </w:p>
    <w:p w:rsidR="00F35BC4" w:rsidRPr="00FD4C39" w:rsidRDefault="00FE7018"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КЗЛД</w:t>
      </w:r>
      <w:r w:rsidR="0034018B">
        <w:rPr>
          <w:rFonts w:ascii="Times New Roman" w:hAnsi="Times New Roman" w:cs="Times New Roman"/>
          <w:sz w:val="24"/>
          <w:szCs w:val="24"/>
        </w:rPr>
        <w:t xml:space="preserve"> заявява</w:t>
      </w:r>
      <w:r w:rsidR="00F35BC4" w:rsidRPr="00FD4C39">
        <w:rPr>
          <w:rFonts w:ascii="Times New Roman" w:hAnsi="Times New Roman" w:cs="Times New Roman"/>
          <w:sz w:val="24"/>
          <w:szCs w:val="24"/>
        </w:rPr>
        <w:t xml:space="preserve"> готовност за по-ангажирано участие в работата на органите по защита на данните в Европейския съюз със заемане на ръководни позиции в Работната група по</w:t>
      </w:r>
      <w:r w:rsidR="00884B97">
        <w:rPr>
          <w:rFonts w:ascii="Times New Roman" w:hAnsi="Times New Roman" w:cs="Times New Roman"/>
          <w:sz w:val="24"/>
          <w:szCs w:val="24"/>
        </w:rPr>
        <w:t xml:space="preserve"> чл. </w:t>
      </w:r>
      <w:r w:rsidR="00F35BC4" w:rsidRPr="00FD4C39">
        <w:rPr>
          <w:rFonts w:ascii="Times New Roman" w:hAnsi="Times New Roman" w:cs="Times New Roman"/>
          <w:sz w:val="24"/>
          <w:szCs w:val="24"/>
        </w:rPr>
        <w:t xml:space="preserve">29 на Директива 95/46/ЕО и Съвместния надзорен орган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Митници</w:t>
      </w:r>
      <w:r w:rsidR="0034018B">
        <w:rPr>
          <w:rFonts w:ascii="Times New Roman" w:hAnsi="Times New Roman" w:cs="Times New Roman"/>
          <w:sz w:val="24"/>
          <w:szCs w:val="24"/>
        </w:rPr>
        <w:t>“</w:t>
      </w:r>
      <w:r w:rsidR="00F35BC4" w:rsidRPr="00FD4C39">
        <w:rPr>
          <w:rFonts w:ascii="Times New Roman" w:hAnsi="Times New Roman" w:cs="Times New Roman"/>
          <w:sz w:val="24"/>
          <w:szCs w:val="24"/>
        </w:rPr>
        <w:t xml:space="preserve">. След проведено гласуване председателят на </w:t>
      </w:r>
      <w:r w:rsidRPr="00FD4C39">
        <w:rPr>
          <w:rFonts w:ascii="Times New Roman" w:hAnsi="Times New Roman" w:cs="Times New Roman"/>
          <w:sz w:val="24"/>
          <w:szCs w:val="24"/>
        </w:rPr>
        <w:t>КЗЛД</w:t>
      </w:r>
      <w:r w:rsidR="00F35BC4" w:rsidRPr="00FD4C39">
        <w:rPr>
          <w:rFonts w:ascii="Times New Roman" w:hAnsi="Times New Roman" w:cs="Times New Roman"/>
          <w:sz w:val="24"/>
          <w:szCs w:val="24"/>
        </w:rPr>
        <w:t xml:space="preserve"> Венцислав Караджов </w:t>
      </w:r>
      <w:r w:rsidR="0034018B">
        <w:rPr>
          <w:rFonts w:ascii="Times New Roman" w:hAnsi="Times New Roman" w:cs="Times New Roman"/>
          <w:sz w:val="24"/>
          <w:szCs w:val="24"/>
        </w:rPr>
        <w:t>се избира</w:t>
      </w:r>
      <w:r w:rsidR="00F35BC4" w:rsidRPr="00FD4C39">
        <w:rPr>
          <w:rFonts w:ascii="Times New Roman" w:hAnsi="Times New Roman" w:cs="Times New Roman"/>
          <w:sz w:val="24"/>
          <w:szCs w:val="24"/>
        </w:rPr>
        <w:t xml:space="preserve"> за заместник-председател на Работна група по</w:t>
      </w:r>
      <w:r w:rsidR="00884B97">
        <w:rPr>
          <w:rFonts w:ascii="Times New Roman" w:hAnsi="Times New Roman" w:cs="Times New Roman"/>
          <w:sz w:val="24"/>
          <w:szCs w:val="24"/>
        </w:rPr>
        <w:t xml:space="preserve"> чл. </w:t>
      </w:r>
      <w:r w:rsidR="00F35BC4" w:rsidRPr="00FD4C39">
        <w:rPr>
          <w:rFonts w:ascii="Times New Roman" w:hAnsi="Times New Roman" w:cs="Times New Roman"/>
          <w:sz w:val="24"/>
          <w:szCs w:val="24"/>
        </w:rPr>
        <w:t xml:space="preserve">29, а Цветелин </w:t>
      </w:r>
      <w:proofErr w:type="spellStart"/>
      <w:r w:rsidR="00F35BC4" w:rsidRPr="00FD4C39">
        <w:rPr>
          <w:rFonts w:ascii="Times New Roman" w:hAnsi="Times New Roman" w:cs="Times New Roman"/>
          <w:sz w:val="24"/>
          <w:szCs w:val="24"/>
        </w:rPr>
        <w:t>Софрониев</w:t>
      </w:r>
      <w:proofErr w:type="spellEnd"/>
      <w:r w:rsidR="004D42A2">
        <w:rPr>
          <w:rFonts w:ascii="Times New Roman" w:hAnsi="Times New Roman" w:cs="Times New Roman"/>
          <w:sz w:val="24"/>
          <w:szCs w:val="24"/>
        </w:rPr>
        <w:t xml:space="preserve"> – </w:t>
      </w:r>
      <w:r w:rsidR="00F35BC4" w:rsidRPr="00FD4C39">
        <w:rPr>
          <w:rFonts w:ascii="Times New Roman" w:hAnsi="Times New Roman" w:cs="Times New Roman"/>
          <w:sz w:val="24"/>
          <w:szCs w:val="24"/>
        </w:rPr>
        <w:t xml:space="preserve">член на </w:t>
      </w:r>
      <w:r w:rsidRPr="00FD4C39">
        <w:rPr>
          <w:rFonts w:ascii="Times New Roman" w:hAnsi="Times New Roman" w:cs="Times New Roman"/>
          <w:sz w:val="24"/>
          <w:szCs w:val="24"/>
        </w:rPr>
        <w:t>КЗЛД</w:t>
      </w:r>
      <w:r w:rsidR="00F35BC4" w:rsidRPr="00FD4C39">
        <w:rPr>
          <w:rFonts w:ascii="Times New Roman" w:hAnsi="Times New Roman" w:cs="Times New Roman"/>
          <w:sz w:val="24"/>
          <w:szCs w:val="24"/>
        </w:rPr>
        <w:t xml:space="preserve">, за заместник-председател на Съвместния надзорен орган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Митници</w:t>
      </w:r>
      <w:r w:rsidR="0034018B">
        <w:rPr>
          <w:rFonts w:ascii="Times New Roman" w:hAnsi="Times New Roman" w:cs="Times New Roman"/>
          <w:sz w:val="24"/>
          <w:szCs w:val="24"/>
        </w:rPr>
        <w:t>“</w:t>
      </w:r>
      <w:r w:rsidR="00F35BC4" w:rsidRPr="00FD4C39">
        <w:rPr>
          <w:rFonts w:ascii="Times New Roman" w:hAnsi="Times New Roman" w:cs="Times New Roman"/>
          <w:sz w:val="24"/>
          <w:szCs w:val="24"/>
        </w:rPr>
        <w:t xml:space="preserve">. </w:t>
      </w:r>
    </w:p>
    <w:p w:rsidR="000D4DB8"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Защитата на личните данни е един от приоритетите на българското ротационно председателство на Конвенцията за полицейско сътрудничество в Югоизточна Европа (юли</w:t>
      </w:r>
      <w:r w:rsidR="00CE3E34">
        <w:rPr>
          <w:rFonts w:ascii="Times New Roman" w:hAnsi="Times New Roman" w:cs="Times New Roman"/>
          <w:sz w:val="24"/>
          <w:szCs w:val="24"/>
        </w:rPr>
        <w:t>–</w:t>
      </w:r>
      <w:r w:rsidRPr="00FD4C39">
        <w:rPr>
          <w:rFonts w:ascii="Times New Roman" w:hAnsi="Times New Roman" w:cs="Times New Roman"/>
          <w:sz w:val="24"/>
          <w:szCs w:val="24"/>
        </w:rPr>
        <w:t>декември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с водеща роля на </w:t>
      </w:r>
      <w:r w:rsidR="00FE7018" w:rsidRPr="00FD4C39">
        <w:rPr>
          <w:rFonts w:ascii="Times New Roman" w:hAnsi="Times New Roman" w:cs="Times New Roman"/>
          <w:sz w:val="24"/>
          <w:szCs w:val="24"/>
        </w:rPr>
        <w:t>КЗЛД</w:t>
      </w:r>
      <w:r w:rsidR="0064532C" w:rsidRPr="00FD4C39">
        <w:rPr>
          <w:rFonts w:ascii="Times New Roman" w:hAnsi="Times New Roman" w:cs="Times New Roman"/>
          <w:sz w:val="24"/>
          <w:szCs w:val="24"/>
        </w:rPr>
        <w:t xml:space="preserve"> </w:t>
      </w:r>
      <w:r w:rsidRPr="00FD4C39">
        <w:rPr>
          <w:rFonts w:ascii="Times New Roman" w:hAnsi="Times New Roman" w:cs="Times New Roman"/>
          <w:sz w:val="24"/>
          <w:szCs w:val="24"/>
        </w:rPr>
        <w:t xml:space="preserve">при неговото реализиране. Предоставената възможност </w:t>
      </w:r>
      <w:r w:rsidR="00CE3E34">
        <w:rPr>
          <w:rFonts w:ascii="Times New Roman" w:hAnsi="Times New Roman" w:cs="Times New Roman"/>
          <w:sz w:val="24"/>
          <w:szCs w:val="24"/>
        </w:rPr>
        <w:t>позволява</w:t>
      </w:r>
      <w:r w:rsidRPr="00FD4C39">
        <w:rPr>
          <w:rFonts w:ascii="Times New Roman" w:hAnsi="Times New Roman" w:cs="Times New Roman"/>
          <w:sz w:val="24"/>
          <w:szCs w:val="24"/>
        </w:rPr>
        <w:t xml:space="preserve"> на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xml:space="preserve"> да адресира ключов етап по отношение на защитата на личните данни в рамките на Конвенцията. През 2014</w:t>
      </w:r>
      <w:r w:rsidR="004D42A2">
        <w:rPr>
          <w:rFonts w:ascii="Times New Roman" w:hAnsi="Times New Roman" w:cs="Times New Roman"/>
          <w:sz w:val="24"/>
          <w:szCs w:val="24"/>
        </w:rPr>
        <w:t> г.</w:t>
      </w:r>
      <w:r w:rsidR="00CE3E34">
        <w:rPr>
          <w:rFonts w:ascii="Times New Roman" w:hAnsi="Times New Roman" w:cs="Times New Roman"/>
          <w:sz w:val="24"/>
          <w:szCs w:val="24"/>
        </w:rPr>
        <w:t xml:space="preserve"> успешно завършва</w:t>
      </w:r>
      <w:r w:rsidRPr="00FD4C39">
        <w:rPr>
          <w:rFonts w:ascii="Times New Roman" w:hAnsi="Times New Roman" w:cs="Times New Roman"/>
          <w:sz w:val="24"/>
          <w:szCs w:val="24"/>
        </w:rPr>
        <w:t xml:space="preserve"> процесът по оценка на нивото на защита на личните данни на Договарящите държави. Съгла</w:t>
      </w:r>
      <w:r w:rsidR="00CE3E34">
        <w:rPr>
          <w:rFonts w:ascii="Times New Roman" w:hAnsi="Times New Roman" w:cs="Times New Roman"/>
          <w:sz w:val="24"/>
          <w:szCs w:val="24"/>
        </w:rPr>
        <w:t>сно изискванията на Конвенцията</w:t>
      </w:r>
      <w:r w:rsidRPr="00FD4C39">
        <w:rPr>
          <w:rFonts w:ascii="Times New Roman" w:hAnsi="Times New Roman" w:cs="Times New Roman"/>
          <w:sz w:val="24"/>
          <w:szCs w:val="24"/>
        </w:rPr>
        <w:t xml:space="preserve"> положителната оценка в областта на защитата на личните данни е едно от условията за осъществяване на обмен на информация, включваща лични данни. Процесът на взаимна оценка стартира през 2009</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със създаването на специализирана </w:t>
      </w:r>
      <w:proofErr w:type="spellStart"/>
      <w:r w:rsidRPr="00FD4C39">
        <w:rPr>
          <w:rFonts w:ascii="Times New Roman" w:hAnsi="Times New Roman" w:cs="Times New Roman"/>
          <w:sz w:val="24"/>
          <w:szCs w:val="24"/>
        </w:rPr>
        <w:t>Ad-hoc</w:t>
      </w:r>
      <w:proofErr w:type="spellEnd"/>
      <w:r w:rsidRPr="00FD4C39">
        <w:rPr>
          <w:rFonts w:ascii="Times New Roman" w:hAnsi="Times New Roman" w:cs="Times New Roman"/>
          <w:sz w:val="24"/>
          <w:szCs w:val="24"/>
        </w:rPr>
        <w:t xml:space="preserve"> Работна група по защита на данните и приключи през 2014</w:t>
      </w:r>
      <w:r w:rsidR="004D42A2">
        <w:rPr>
          <w:rFonts w:ascii="Times New Roman" w:hAnsi="Times New Roman" w:cs="Times New Roman"/>
          <w:sz w:val="24"/>
          <w:szCs w:val="24"/>
        </w:rPr>
        <w:t> г.</w:t>
      </w:r>
      <w:r w:rsidR="00CE3E34">
        <w:rPr>
          <w:rFonts w:ascii="Times New Roman" w:hAnsi="Times New Roman" w:cs="Times New Roman"/>
          <w:sz w:val="24"/>
          <w:szCs w:val="24"/>
        </w:rPr>
        <w:t xml:space="preserve"> Това е поводът</w:t>
      </w:r>
      <w:r w:rsidRPr="00FD4C39">
        <w:rPr>
          <w:rFonts w:ascii="Times New Roman" w:hAnsi="Times New Roman" w:cs="Times New Roman"/>
          <w:sz w:val="24"/>
          <w:szCs w:val="24"/>
        </w:rPr>
        <w:t xml:space="preserve"> в рамките на проведеното на 2</w:t>
      </w:r>
      <w:r w:rsidR="00CE3E34">
        <w:rPr>
          <w:rFonts w:ascii="Times New Roman" w:hAnsi="Times New Roman" w:cs="Times New Roman"/>
          <w:sz w:val="24"/>
          <w:szCs w:val="24"/>
        </w:rPr>
        <w:t>–</w:t>
      </w:r>
      <w:r w:rsidRPr="00FD4C39">
        <w:rPr>
          <w:rFonts w:ascii="Times New Roman" w:hAnsi="Times New Roman" w:cs="Times New Roman"/>
          <w:sz w:val="24"/>
          <w:szCs w:val="24"/>
        </w:rPr>
        <w:t xml:space="preserve">3 декември в Словения двудневно заседание по защита на данните, част от календара на Българското ротационно председателство на Конвенцията, </w:t>
      </w:r>
      <w:r w:rsidR="00FE7018" w:rsidRPr="00FD4C39">
        <w:rPr>
          <w:rFonts w:ascii="Times New Roman" w:hAnsi="Times New Roman" w:cs="Times New Roman"/>
          <w:sz w:val="24"/>
          <w:szCs w:val="24"/>
        </w:rPr>
        <w:t>КЗЛД</w:t>
      </w:r>
      <w:r w:rsidR="004D3755" w:rsidRPr="00FD4C39">
        <w:rPr>
          <w:rFonts w:ascii="Times New Roman" w:hAnsi="Times New Roman" w:cs="Times New Roman"/>
          <w:sz w:val="24"/>
          <w:szCs w:val="24"/>
        </w:rPr>
        <w:t xml:space="preserve"> </w:t>
      </w:r>
      <w:r w:rsidRPr="00FD4C39">
        <w:rPr>
          <w:rFonts w:ascii="Times New Roman" w:hAnsi="Times New Roman" w:cs="Times New Roman"/>
          <w:sz w:val="24"/>
          <w:szCs w:val="24"/>
        </w:rPr>
        <w:t xml:space="preserve">да предложи преосмисляне на мисията на </w:t>
      </w:r>
      <w:proofErr w:type="spellStart"/>
      <w:r w:rsidRPr="00FD4C39">
        <w:rPr>
          <w:rFonts w:ascii="Times New Roman" w:hAnsi="Times New Roman" w:cs="Times New Roman"/>
          <w:sz w:val="24"/>
          <w:szCs w:val="24"/>
        </w:rPr>
        <w:t>Ad-hoc</w:t>
      </w:r>
      <w:proofErr w:type="spellEnd"/>
      <w:r w:rsidRPr="00FD4C39">
        <w:rPr>
          <w:rFonts w:ascii="Times New Roman" w:hAnsi="Times New Roman" w:cs="Times New Roman"/>
          <w:sz w:val="24"/>
          <w:szCs w:val="24"/>
        </w:rPr>
        <w:t xml:space="preserve"> Работната група по защита на данните, така че да се даде навременен отговор на успешните оценки в областта на защитата </w:t>
      </w:r>
      <w:r w:rsidR="00CE3E34">
        <w:rPr>
          <w:rFonts w:ascii="Times New Roman" w:hAnsi="Times New Roman" w:cs="Times New Roman"/>
          <w:sz w:val="24"/>
          <w:szCs w:val="24"/>
        </w:rPr>
        <w:t>на личните данни във всички 11 д</w:t>
      </w:r>
      <w:r w:rsidRPr="00FD4C39">
        <w:rPr>
          <w:rFonts w:ascii="Times New Roman" w:hAnsi="Times New Roman" w:cs="Times New Roman"/>
          <w:sz w:val="24"/>
          <w:szCs w:val="24"/>
        </w:rPr>
        <w:t xml:space="preserve">оговарящи страни и да се осигури последователност по отношение на съблюдаването на дефинираните в Конвенцията разпоредби за защита на личните данни.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При изготвяне на документите, които да послужат за основа на дискусията на проведеното в Словения заседание, </w:t>
      </w:r>
      <w:r w:rsidR="00FE7018" w:rsidRPr="00FD4C39">
        <w:rPr>
          <w:rFonts w:ascii="Times New Roman" w:hAnsi="Times New Roman" w:cs="Times New Roman"/>
          <w:sz w:val="24"/>
          <w:szCs w:val="24"/>
        </w:rPr>
        <w:t>КЗЛД</w:t>
      </w:r>
      <w:r w:rsidR="004D3755" w:rsidRPr="00FD4C39">
        <w:rPr>
          <w:rFonts w:ascii="Times New Roman" w:hAnsi="Times New Roman" w:cs="Times New Roman"/>
          <w:sz w:val="24"/>
          <w:szCs w:val="24"/>
        </w:rPr>
        <w:t xml:space="preserve"> </w:t>
      </w:r>
      <w:r w:rsidR="00CE3E34">
        <w:rPr>
          <w:rFonts w:ascii="Times New Roman" w:hAnsi="Times New Roman" w:cs="Times New Roman"/>
          <w:sz w:val="24"/>
          <w:szCs w:val="24"/>
        </w:rPr>
        <w:t>отчита</w:t>
      </w:r>
      <w:r w:rsidRPr="00FD4C39">
        <w:rPr>
          <w:rFonts w:ascii="Times New Roman" w:hAnsi="Times New Roman" w:cs="Times New Roman"/>
          <w:sz w:val="24"/>
          <w:szCs w:val="24"/>
        </w:rPr>
        <w:t xml:space="preserve"> важността на </w:t>
      </w:r>
      <w:proofErr w:type="spellStart"/>
      <w:r w:rsidRPr="00FD4C39">
        <w:rPr>
          <w:rFonts w:ascii="Times New Roman" w:hAnsi="Times New Roman" w:cs="Times New Roman"/>
          <w:sz w:val="24"/>
          <w:szCs w:val="24"/>
        </w:rPr>
        <w:t>Ad-hoc</w:t>
      </w:r>
      <w:proofErr w:type="spellEnd"/>
      <w:r w:rsidRPr="00FD4C39">
        <w:rPr>
          <w:rFonts w:ascii="Times New Roman" w:hAnsi="Times New Roman" w:cs="Times New Roman"/>
          <w:sz w:val="24"/>
          <w:szCs w:val="24"/>
        </w:rPr>
        <w:t xml:space="preserve"> Работната група като основен инструмент за осъществяване на мониторинг при обмена на лични данни </w:t>
      </w:r>
      <w:r w:rsidRPr="00FD4C39">
        <w:rPr>
          <w:rFonts w:ascii="Times New Roman" w:hAnsi="Times New Roman" w:cs="Times New Roman"/>
          <w:sz w:val="24"/>
          <w:szCs w:val="24"/>
        </w:rPr>
        <w:lastRenderedPageBreak/>
        <w:t xml:space="preserve">за целите на Конвенцията и необходимостта от постигане на по-висока степен на съгласуваност на действията на Договарящите държави. По-тясно взаимодействие следва да се търси не само по отношение съблюдаване прилагането на разпоредбите на Конвенцията, но също и в посока засилване на </w:t>
      </w:r>
      <w:proofErr w:type="spellStart"/>
      <w:r w:rsidRPr="00FD4C39">
        <w:rPr>
          <w:rFonts w:ascii="Times New Roman" w:hAnsi="Times New Roman" w:cs="Times New Roman"/>
          <w:sz w:val="24"/>
          <w:szCs w:val="24"/>
        </w:rPr>
        <w:t>разпознаваемостта</w:t>
      </w:r>
      <w:proofErr w:type="spellEnd"/>
      <w:r w:rsidRPr="00FD4C39">
        <w:rPr>
          <w:rFonts w:ascii="Times New Roman" w:hAnsi="Times New Roman" w:cs="Times New Roman"/>
          <w:sz w:val="24"/>
          <w:szCs w:val="24"/>
        </w:rPr>
        <w:t xml:space="preserve"> сред обществ</w:t>
      </w:r>
      <w:r w:rsidR="00CE3E34">
        <w:rPr>
          <w:rFonts w:ascii="Times New Roman" w:hAnsi="Times New Roman" w:cs="Times New Roman"/>
          <w:sz w:val="24"/>
          <w:szCs w:val="24"/>
        </w:rPr>
        <w:t xml:space="preserve">ото на </w:t>
      </w:r>
      <w:proofErr w:type="spellStart"/>
      <w:r w:rsidR="00CE3E34">
        <w:rPr>
          <w:rFonts w:ascii="Times New Roman" w:hAnsi="Times New Roman" w:cs="Times New Roman"/>
          <w:sz w:val="24"/>
          <w:szCs w:val="24"/>
        </w:rPr>
        <w:t>Ad-hoc</w:t>
      </w:r>
      <w:proofErr w:type="spellEnd"/>
      <w:r w:rsidR="00CE3E34">
        <w:rPr>
          <w:rFonts w:ascii="Times New Roman" w:hAnsi="Times New Roman" w:cs="Times New Roman"/>
          <w:sz w:val="24"/>
          <w:szCs w:val="24"/>
        </w:rPr>
        <w:t xml:space="preserve"> Р</w:t>
      </w:r>
      <w:r w:rsidRPr="00FD4C39">
        <w:rPr>
          <w:rFonts w:ascii="Times New Roman" w:hAnsi="Times New Roman" w:cs="Times New Roman"/>
          <w:sz w:val="24"/>
          <w:szCs w:val="24"/>
        </w:rPr>
        <w:t>аботната група по защита на данните и подобряване на комуникацията при възникване на конкретни национални въпроси, свързани със защитата на личните данни, включително обмен на добри практики при разглежда</w:t>
      </w:r>
      <w:r w:rsidR="00EC5A0A" w:rsidRPr="00FD4C39">
        <w:rPr>
          <w:rFonts w:ascii="Times New Roman" w:hAnsi="Times New Roman" w:cs="Times New Roman"/>
          <w:sz w:val="24"/>
          <w:szCs w:val="24"/>
        </w:rPr>
        <w:t>не на жалби на физически лица.</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В резултат на проведеното заседание и целите, които </w:t>
      </w:r>
      <w:r w:rsidR="00FE7018" w:rsidRPr="00FD4C39">
        <w:rPr>
          <w:rFonts w:ascii="Times New Roman" w:hAnsi="Times New Roman" w:cs="Times New Roman"/>
          <w:sz w:val="24"/>
          <w:szCs w:val="24"/>
        </w:rPr>
        <w:t>КЗЛД</w:t>
      </w:r>
      <w:r w:rsidR="004D3755" w:rsidRPr="00FD4C39">
        <w:rPr>
          <w:rFonts w:ascii="Times New Roman" w:hAnsi="Times New Roman" w:cs="Times New Roman"/>
          <w:sz w:val="24"/>
          <w:szCs w:val="24"/>
        </w:rPr>
        <w:t xml:space="preserve"> си е </w:t>
      </w:r>
      <w:r w:rsidRPr="00FD4C39">
        <w:rPr>
          <w:rFonts w:ascii="Times New Roman" w:hAnsi="Times New Roman" w:cs="Times New Roman"/>
          <w:sz w:val="24"/>
          <w:szCs w:val="24"/>
        </w:rPr>
        <w:t xml:space="preserve">поставила, </w:t>
      </w:r>
      <w:r w:rsidR="00CE3E34">
        <w:rPr>
          <w:rFonts w:ascii="Times New Roman" w:hAnsi="Times New Roman" w:cs="Times New Roman"/>
          <w:sz w:val="24"/>
          <w:szCs w:val="24"/>
        </w:rPr>
        <w:t>се</w:t>
      </w:r>
      <w:r w:rsidRPr="00FD4C39">
        <w:rPr>
          <w:rFonts w:ascii="Times New Roman" w:hAnsi="Times New Roman" w:cs="Times New Roman"/>
          <w:sz w:val="24"/>
          <w:szCs w:val="24"/>
        </w:rPr>
        <w:t xml:space="preserve"> постиг</w:t>
      </w:r>
      <w:r w:rsidR="00CE3E34">
        <w:rPr>
          <w:rFonts w:ascii="Times New Roman" w:hAnsi="Times New Roman" w:cs="Times New Roman"/>
          <w:sz w:val="24"/>
          <w:szCs w:val="24"/>
        </w:rPr>
        <w:t>а</w:t>
      </w:r>
      <w:r w:rsidRPr="00FD4C39">
        <w:rPr>
          <w:rFonts w:ascii="Times New Roman" w:hAnsi="Times New Roman" w:cs="Times New Roman"/>
          <w:sz w:val="24"/>
          <w:szCs w:val="24"/>
        </w:rPr>
        <w:t xml:space="preserve"> съгласие относно необходимостта от промени в мандата на </w:t>
      </w:r>
      <w:proofErr w:type="spellStart"/>
      <w:r w:rsidRPr="00FD4C39">
        <w:rPr>
          <w:rFonts w:ascii="Times New Roman" w:hAnsi="Times New Roman" w:cs="Times New Roman"/>
          <w:sz w:val="24"/>
          <w:szCs w:val="24"/>
        </w:rPr>
        <w:t>Ad-hoc</w:t>
      </w:r>
      <w:proofErr w:type="spellEnd"/>
      <w:r w:rsidRPr="00FD4C39">
        <w:rPr>
          <w:rFonts w:ascii="Times New Roman" w:hAnsi="Times New Roman" w:cs="Times New Roman"/>
          <w:sz w:val="24"/>
          <w:szCs w:val="24"/>
        </w:rPr>
        <w:t xml:space="preserve"> Работната група по защита на данните.</w:t>
      </w:r>
      <w:r w:rsidR="004D3755" w:rsidRPr="00FD4C39">
        <w:rPr>
          <w:rFonts w:ascii="Times New Roman" w:hAnsi="Times New Roman" w:cs="Times New Roman"/>
          <w:sz w:val="24"/>
          <w:szCs w:val="24"/>
        </w:rPr>
        <w:t xml:space="preserve"> </w:t>
      </w:r>
      <w:r w:rsidRPr="00FD4C39">
        <w:rPr>
          <w:rFonts w:ascii="Times New Roman" w:hAnsi="Times New Roman" w:cs="Times New Roman"/>
          <w:sz w:val="24"/>
          <w:szCs w:val="24"/>
        </w:rPr>
        <w:t xml:space="preserve">Акценти в предложените нови функции са консултативните правомощия на Работната група и правото да дава препоръки и становища по въпроси, свързани със защита на личните данни в рамките на Конвенцията, изискването за обмен на информация относно извършване на проверки от страна на националните надзорни органи по защита на данните на оперативните звена по Конвенцията и създаването на единна практика за проверки, обмен на практика по жалби на физически лица, създаването на каталог с добри практики, както и стартиране на дейности за повишаване на осведомеността на обществото.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С оглед постоянното естество на задачите, предложени в новия мандат, </w:t>
      </w:r>
      <w:r w:rsidR="00806B5B">
        <w:rPr>
          <w:rFonts w:ascii="Times New Roman" w:hAnsi="Times New Roman" w:cs="Times New Roman"/>
          <w:sz w:val="24"/>
          <w:szCs w:val="24"/>
        </w:rPr>
        <w:t>се постига</w:t>
      </w:r>
      <w:r w:rsidRPr="00FD4C39">
        <w:rPr>
          <w:rFonts w:ascii="Times New Roman" w:hAnsi="Times New Roman" w:cs="Times New Roman"/>
          <w:sz w:val="24"/>
          <w:szCs w:val="24"/>
        </w:rPr>
        <w:t xml:space="preserve"> съгласие за промяна на статута на Работната група за защита на данните чрез премахване на действащия към момента врем</w:t>
      </w:r>
      <w:r w:rsidR="00806B5B">
        <w:rPr>
          <w:rFonts w:ascii="Times New Roman" w:hAnsi="Times New Roman" w:cs="Times New Roman"/>
          <w:sz w:val="24"/>
          <w:szCs w:val="24"/>
        </w:rPr>
        <w:t>енен (</w:t>
      </w:r>
      <w:proofErr w:type="spellStart"/>
      <w:r w:rsidR="00806B5B">
        <w:rPr>
          <w:rFonts w:ascii="Times New Roman" w:hAnsi="Times New Roman" w:cs="Times New Roman"/>
          <w:sz w:val="24"/>
          <w:szCs w:val="24"/>
        </w:rPr>
        <w:t>ad-hoc</w:t>
      </w:r>
      <w:proofErr w:type="spellEnd"/>
      <w:r w:rsidR="00806B5B">
        <w:rPr>
          <w:rFonts w:ascii="Times New Roman" w:hAnsi="Times New Roman" w:cs="Times New Roman"/>
          <w:sz w:val="24"/>
          <w:szCs w:val="24"/>
        </w:rPr>
        <w:t>) характер. Изготвя</w:t>
      </w:r>
      <w:r w:rsidRPr="00FD4C39">
        <w:rPr>
          <w:rFonts w:ascii="Times New Roman" w:hAnsi="Times New Roman" w:cs="Times New Roman"/>
          <w:sz w:val="24"/>
          <w:szCs w:val="24"/>
        </w:rPr>
        <w:t xml:space="preserve"> </w:t>
      </w:r>
      <w:r w:rsidR="00806B5B">
        <w:rPr>
          <w:rFonts w:ascii="Times New Roman" w:hAnsi="Times New Roman" w:cs="Times New Roman"/>
          <w:sz w:val="24"/>
          <w:szCs w:val="24"/>
        </w:rPr>
        <w:t>с</w:t>
      </w:r>
      <w:r w:rsidRPr="00FD4C39">
        <w:rPr>
          <w:rFonts w:ascii="Times New Roman" w:hAnsi="Times New Roman" w:cs="Times New Roman"/>
          <w:sz w:val="24"/>
          <w:szCs w:val="24"/>
        </w:rPr>
        <w:t>е проект на Решение на Комитета на министрите на Конвенцията за изменение на Процедурните правила за оценки в областта на защитата на личните данни, който следва да бъде разгледан в рамките на Унгарското председателство на Конвенцията за полицейско сътрудничество в Югоизточна Европа</w:t>
      </w:r>
      <w:r w:rsidR="000D4DB8" w:rsidRPr="00FD4C39">
        <w:rPr>
          <w:rFonts w:ascii="Times New Roman" w:hAnsi="Times New Roman" w:cs="Times New Roman"/>
          <w:sz w:val="24"/>
          <w:szCs w:val="24"/>
        </w:rPr>
        <w:t xml:space="preserve"> през 2015</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2014 година е етап на подготовка за реализиране и на задълженията, произтичащи от Регламент 611/2013 на Европейската комисия относно мерките, приложими за съобщаването на нарушения на сиг</w:t>
      </w:r>
      <w:r w:rsidR="00EC5A0A" w:rsidRPr="00FD4C39">
        <w:rPr>
          <w:rFonts w:ascii="Times New Roman" w:hAnsi="Times New Roman" w:cs="Times New Roman"/>
          <w:sz w:val="24"/>
          <w:szCs w:val="24"/>
        </w:rPr>
        <w:t>урността на личните данни.</w:t>
      </w:r>
    </w:p>
    <w:p w:rsidR="00F35BC4" w:rsidRPr="00806B5B"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През отчетната година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xml:space="preserve"> изпълнява</w:t>
      </w:r>
      <w:r w:rsidR="004D3755" w:rsidRPr="00FD4C39">
        <w:rPr>
          <w:rFonts w:ascii="Times New Roman" w:hAnsi="Times New Roman" w:cs="Times New Roman"/>
          <w:sz w:val="24"/>
          <w:szCs w:val="24"/>
        </w:rPr>
        <w:t xml:space="preserve"> </w:t>
      </w:r>
      <w:r w:rsidRPr="00FD4C39">
        <w:rPr>
          <w:rFonts w:ascii="Times New Roman" w:hAnsi="Times New Roman" w:cs="Times New Roman"/>
          <w:sz w:val="24"/>
          <w:szCs w:val="24"/>
        </w:rPr>
        <w:t>своите задължения за сътрудничество и взаимодействие с националните надзорни органи на държавите</w:t>
      </w:r>
      <w:r w:rsidR="00806B5B">
        <w:rPr>
          <w:rFonts w:ascii="Times New Roman" w:hAnsi="Times New Roman" w:cs="Times New Roman"/>
          <w:sz w:val="24"/>
          <w:szCs w:val="24"/>
        </w:rPr>
        <w:t xml:space="preserve"> </w:t>
      </w:r>
      <w:r w:rsidRPr="00FD4C39">
        <w:rPr>
          <w:rFonts w:ascii="Times New Roman" w:hAnsi="Times New Roman" w:cs="Times New Roman"/>
          <w:sz w:val="24"/>
          <w:szCs w:val="24"/>
        </w:rPr>
        <w:t xml:space="preserve">членки и органите на Европейския съюз чрез обмен на информация и опит по запитвания, свързани с правомощията на КЗЛД </w:t>
      </w:r>
      <w:r w:rsidR="00806B5B">
        <w:rPr>
          <w:rFonts w:ascii="Times New Roman" w:hAnsi="Times New Roman" w:cs="Times New Roman"/>
          <w:sz w:val="24"/>
          <w:szCs w:val="24"/>
        </w:rPr>
        <w:t>и тяхното изпълнение. Разглеждат</w:t>
      </w:r>
      <w:r w:rsidRPr="00FD4C39">
        <w:rPr>
          <w:rFonts w:ascii="Times New Roman" w:hAnsi="Times New Roman" w:cs="Times New Roman"/>
          <w:sz w:val="24"/>
          <w:szCs w:val="24"/>
        </w:rPr>
        <w:t xml:space="preserve"> с</w:t>
      </w:r>
      <w:r w:rsidR="00806B5B">
        <w:rPr>
          <w:rFonts w:ascii="Times New Roman" w:hAnsi="Times New Roman" w:cs="Times New Roman"/>
          <w:sz w:val="24"/>
          <w:szCs w:val="24"/>
        </w:rPr>
        <w:t>е</w:t>
      </w:r>
      <w:r w:rsidRPr="00FD4C39">
        <w:rPr>
          <w:rFonts w:ascii="Times New Roman" w:hAnsi="Times New Roman" w:cs="Times New Roman"/>
          <w:sz w:val="24"/>
          <w:szCs w:val="24"/>
        </w:rPr>
        <w:t xml:space="preserve"> 75 международни запитвания,</w:t>
      </w:r>
      <w:r w:rsidR="00806B5B">
        <w:rPr>
          <w:rFonts w:ascii="Times New Roman" w:hAnsi="Times New Roman" w:cs="Times New Roman"/>
          <w:sz w:val="24"/>
          <w:szCs w:val="24"/>
        </w:rPr>
        <w:t xml:space="preserve"> като по-голямата част от тях идват</w:t>
      </w:r>
      <w:r w:rsidRPr="00FD4C39">
        <w:rPr>
          <w:rFonts w:ascii="Times New Roman" w:hAnsi="Times New Roman" w:cs="Times New Roman"/>
          <w:sz w:val="24"/>
          <w:szCs w:val="24"/>
        </w:rPr>
        <w:t xml:space="preserve"> от сродни органи з</w:t>
      </w:r>
      <w:r w:rsidR="00806B5B">
        <w:rPr>
          <w:rFonts w:ascii="Times New Roman" w:hAnsi="Times New Roman" w:cs="Times New Roman"/>
          <w:sz w:val="24"/>
          <w:szCs w:val="24"/>
        </w:rPr>
        <w:t>а защита на данните. Отговори се</w:t>
      </w:r>
      <w:r w:rsidRPr="00FD4C39">
        <w:rPr>
          <w:rFonts w:ascii="Times New Roman" w:hAnsi="Times New Roman" w:cs="Times New Roman"/>
          <w:sz w:val="24"/>
          <w:szCs w:val="24"/>
        </w:rPr>
        <w:t xml:space="preserve"> предостав</w:t>
      </w:r>
      <w:r w:rsidR="00806B5B">
        <w:rPr>
          <w:rFonts w:ascii="Times New Roman" w:hAnsi="Times New Roman" w:cs="Times New Roman"/>
          <w:sz w:val="24"/>
          <w:szCs w:val="24"/>
        </w:rPr>
        <w:t>ят</w:t>
      </w:r>
      <w:r w:rsidRPr="00FD4C39">
        <w:rPr>
          <w:rFonts w:ascii="Times New Roman" w:hAnsi="Times New Roman" w:cs="Times New Roman"/>
          <w:sz w:val="24"/>
          <w:szCs w:val="24"/>
        </w:rPr>
        <w:t xml:space="preserve"> и по запитвания на други организации, научни институти и </w:t>
      </w:r>
      <w:r w:rsidRPr="00FD4C39">
        <w:rPr>
          <w:rFonts w:ascii="Times New Roman" w:hAnsi="Times New Roman" w:cs="Times New Roman"/>
          <w:sz w:val="24"/>
          <w:szCs w:val="24"/>
        </w:rPr>
        <w:lastRenderedPageBreak/>
        <w:t xml:space="preserve">консултантски </w:t>
      </w:r>
      <w:r w:rsidR="000D4DB8" w:rsidRPr="00FD4C39">
        <w:rPr>
          <w:rFonts w:ascii="Times New Roman" w:hAnsi="Times New Roman" w:cs="Times New Roman"/>
          <w:sz w:val="24"/>
          <w:szCs w:val="24"/>
        </w:rPr>
        <w:t>компании</w:t>
      </w:r>
      <w:r w:rsidRPr="00FD4C39">
        <w:rPr>
          <w:rFonts w:ascii="Times New Roman" w:hAnsi="Times New Roman" w:cs="Times New Roman"/>
          <w:sz w:val="24"/>
          <w:szCs w:val="24"/>
        </w:rPr>
        <w:t>, занимаващи се с въпросите на неприкосновеността и защита на данните.</w:t>
      </w:r>
      <w:r w:rsidRPr="00FD4C39">
        <w:rPr>
          <w:rFonts w:ascii="Times New Roman" w:hAnsi="Times New Roman" w:cs="Times New Roman"/>
          <w:color w:val="FF0000"/>
          <w:sz w:val="24"/>
          <w:szCs w:val="24"/>
        </w:rPr>
        <w:t xml:space="preserve"> </w:t>
      </w:r>
      <w:r w:rsidRPr="00FD4C39">
        <w:rPr>
          <w:rFonts w:ascii="Times New Roman" w:hAnsi="Times New Roman" w:cs="Times New Roman"/>
          <w:sz w:val="24"/>
          <w:szCs w:val="24"/>
        </w:rPr>
        <w:t xml:space="preserve">Областите на взаимодействие обхващат контролната дейност, налагането на административни </w:t>
      </w:r>
      <w:r w:rsidR="000D4DB8" w:rsidRPr="00FD4C39">
        <w:rPr>
          <w:rFonts w:ascii="Times New Roman" w:hAnsi="Times New Roman" w:cs="Times New Roman"/>
          <w:sz w:val="24"/>
          <w:szCs w:val="24"/>
        </w:rPr>
        <w:t>наказания</w:t>
      </w:r>
      <w:r w:rsidRPr="00FD4C39">
        <w:rPr>
          <w:rFonts w:ascii="Times New Roman" w:hAnsi="Times New Roman" w:cs="Times New Roman"/>
          <w:sz w:val="24"/>
          <w:szCs w:val="24"/>
        </w:rPr>
        <w:t xml:space="preserve">, регистрацията на </w:t>
      </w:r>
      <w:r w:rsidR="00D21C02" w:rsidRPr="00FD4C39">
        <w:rPr>
          <w:rFonts w:ascii="Times New Roman" w:hAnsi="Times New Roman" w:cs="Times New Roman"/>
          <w:sz w:val="24"/>
          <w:szCs w:val="24"/>
        </w:rPr>
        <w:t>АЛД</w:t>
      </w:r>
      <w:r w:rsidRPr="00FD4C39">
        <w:rPr>
          <w:rFonts w:ascii="Times New Roman" w:hAnsi="Times New Roman" w:cs="Times New Roman"/>
          <w:sz w:val="24"/>
          <w:szCs w:val="24"/>
        </w:rPr>
        <w:t xml:space="preserve">, разрешаване предоставянето на лични данни в трети страни, дигиталното образование, правото на достъп на физическите лица до техни данни, вкл. в Шенгенската информационна система, директния маркетинг, обработването на лични данни в интернет (приемане на </w:t>
      </w:r>
      <w:proofErr w:type="spellStart"/>
      <w:r w:rsidRPr="00FD4C39">
        <w:rPr>
          <w:rFonts w:ascii="Times New Roman" w:hAnsi="Times New Roman" w:cs="Times New Roman"/>
          <w:sz w:val="24"/>
          <w:szCs w:val="24"/>
        </w:rPr>
        <w:t>бисквитки</w:t>
      </w:r>
      <w:proofErr w:type="spellEnd"/>
      <w:r w:rsidRPr="00FD4C39">
        <w:rPr>
          <w:rFonts w:ascii="Times New Roman" w:hAnsi="Times New Roman" w:cs="Times New Roman"/>
          <w:sz w:val="24"/>
          <w:szCs w:val="24"/>
        </w:rPr>
        <w:t xml:space="preserve"> при ползване на сайтове, използване на зловреден софтуер), правните разпоредби, обработване и защита на лични данни на малолетни, методологията за оценка на въздействието върху неприкосновеността на личния живот и др.</w:t>
      </w:r>
    </w:p>
    <w:p w:rsidR="00F35BC4" w:rsidRPr="00FD4C39" w:rsidRDefault="00FE7018"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КЗЛД</w:t>
      </w:r>
      <w:r w:rsidR="00F35BC4" w:rsidRPr="00FD4C39">
        <w:rPr>
          <w:rFonts w:ascii="Times New Roman" w:hAnsi="Times New Roman" w:cs="Times New Roman"/>
          <w:sz w:val="24"/>
          <w:szCs w:val="24"/>
        </w:rPr>
        <w:t xml:space="preserve"> участва в изготвяне на българската позиция при обсъждане на предложеното законодателно досие за защита на данните в Съвет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Правосъдие и вътрешни работи</w:t>
      </w:r>
      <w:r w:rsidR="00806B5B">
        <w:rPr>
          <w:rFonts w:ascii="Times New Roman" w:hAnsi="Times New Roman" w:cs="Times New Roman"/>
          <w:sz w:val="24"/>
          <w:szCs w:val="24"/>
        </w:rPr>
        <w:t>“</w:t>
      </w:r>
      <w:r w:rsidR="00F35BC4" w:rsidRPr="00FD4C39">
        <w:rPr>
          <w:rFonts w:ascii="Times New Roman" w:hAnsi="Times New Roman" w:cs="Times New Roman"/>
          <w:sz w:val="24"/>
          <w:szCs w:val="24"/>
        </w:rPr>
        <w:t>. Наред с вижданията по разглежданите през годината аспекти от предложението за общ</w:t>
      </w:r>
      <w:r w:rsidR="00806B5B">
        <w:rPr>
          <w:rFonts w:ascii="Times New Roman" w:hAnsi="Times New Roman" w:cs="Times New Roman"/>
          <w:sz w:val="24"/>
          <w:szCs w:val="24"/>
        </w:rPr>
        <w:t xml:space="preserve"> регламент за защита на данните КЗЛД предлага</w:t>
      </w:r>
      <w:r w:rsidR="00F35BC4" w:rsidRPr="00FD4C39">
        <w:rPr>
          <w:rFonts w:ascii="Times New Roman" w:hAnsi="Times New Roman" w:cs="Times New Roman"/>
          <w:sz w:val="24"/>
          <w:szCs w:val="24"/>
        </w:rPr>
        <w:t xml:space="preserve"> като национал</w:t>
      </w:r>
      <w:r w:rsidR="00806B5B">
        <w:rPr>
          <w:rFonts w:ascii="Times New Roman" w:hAnsi="Times New Roman" w:cs="Times New Roman"/>
          <w:sz w:val="24"/>
          <w:szCs w:val="24"/>
        </w:rPr>
        <w:t xml:space="preserve">на позиция призив към държавите </w:t>
      </w:r>
      <w:r w:rsidR="00F35BC4" w:rsidRPr="00FD4C39">
        <w:rPr>
          <w:rFonts w:ascii="Times New Roman" w:hAnsi="Times New Roman" w:cs="Times New Roman"/>
          <w:sz w:val="24"/>
          <w:szCs w:val="24"/>
        </w:rPr>
        <w:t xml:space="preserve">членки за постигане на разумни компромисни решения с цел постигане на реален напредък по досието.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КЗЛД </w:t>
      </w:r>
      <w:r w:rsidR="00806B5B">
        <w:rPr>
          <w:rFonts w:ascii="Times New Roman" w:hAnsi="Times New Roman" w:cs="Times New Roman"/>
          <w:sz w:val="24"/>
          <w:szCs w:val="24"/>
        </w:rPr>
        <w:t xml:space="preserve">дава </w:t>
      </w:r>
      <w:r w:rsidRPr="00FD4C39">
        <w:rPr>
          <w:rFonts w:ascii="Times New Roman" w:hAnsi="Times New Roman" w:cs="Times New Roman"/>
          <w:sz w:val="24"/>
          <w:szCs w:val="24"/>
        </w:rPr>
        <w:t xml:space="preserve">своя принос при формирането на общ подход на Съвета на ЕС по предложението за нов Регламент за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w:t>
      </w:r>
      <w:r w:rsidRPr="00FD4C39">
        <w:rPr>
          <w:rFonts w:ascii="Times New Roman" w:hAnsi="Times New Roman" w:cs="Times New Roman"/>
          <w:color w:val="FF0000"/>
          <w:sz w:val="24"/>
          <w:szCs w:val="24"/>
        </w:rPr>
        <w:t xml:space="preserve"> </w:t>
      </w:r>
      <w:r w:rsidRPr="00FD4C39">
        <w:rPr>
          <w:rFonts w:ascii="Times New Roman" w:hAnsi="Times New Roman" w:cs="Times New Roman"/>
          <w:sz w:val="24"/>
          <w:szCs w:val="24"/>
        </w:rPr>
        <w:t xml:space="preserve">което цели създаването на по-ефективен механизъм за надзор. Позицията на КЗЛД е за запазване силната роля на националните надзорни органи за защита на данните по отношение на надзора на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w:t>
      </w:r>
      <w:r w:rsidRPr="00FD4C39">
        <w:rPr>
          <w:rFonts w:ascii="Times New Roman" w:hAnsi="Times New Roman" w:cs="Times New Roman"/>
          <w:color w:val="FF0000"/>
          <w:sz w:val="24"/>
          <w:szCs w:val="24"/>
        </w:rPr>
        <w:t xml:space="preserve">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w:t>
      </w:r>
      <w:r w:rsidR="00FE7018" w:rsidRPr="00FD4C39">
        <w:rPr>
          <w:rFonts w:ascii="Times New Roman" w:hAnsi="Times New Roman" w:cs="Times New Roman"/>
          <w:sz w:val="24"/>
          <w:szCs w:val="24"/>
        </w:rPr>
        <w:t>КЗЛД</w:t>
      </w:r>
      <w:r w:rsidR="00806B5B">
        <w:rPr>
          <w:rFonts w:ascii="Times New Roman" w:hAnsi="Times New Roman" w:cs="Times New Roman"/>
          <w:sz w:val="24"/>
          <w:szCs w:val="24"/>
        </w:rPr>
        <w:t xml:space="preserve"> допринася и за </w:t>
      </w:r>
      <w:r w:rsidRPr="00FD4C39">
        <w:rPr>
          <w:rFonts w:ascii="Times New Roman" w:hAnsi="Times New Roman" w:cs="Times New Roman"/>
          <w:sz w:val="24"/>
          <w:szCs w:val="24"/>
        </w:rPr>
        <w:t xml:space="preserve">реализирането на европейски инициативи като проекта на Институт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Отворено Общество</w:t>
      </w:r>
      <w:r w:rsidR="00806B5B">
        <w:rPr>
          <w:rFonts w:ascii="Times New Roman" w:hAnsi="Times New Roman" w:cs="Times New Roman"/>
          <w:sz w:val="24"/>
          <w:szCs w:val="24"/>
        </w:rPr>
        <w:t>“</w:t>
      </w:r>
      <w:r w:rsidRPr="00FD4C39">
        <w:rPr>
          <w:rFonts w:ascii="Times New Roman" w:hAnsi="Times New Roman" w:cs="Times New Roman"/>
          <w:sz w:val="24"/>
          <w:szCs w:val="24"/>
        </w:rPr>
        <w:t xml:space="preserve"> относно значението на личните данни за насърчаване на равенството и прилагането на Директива 2002/58/ЕО относно обработването и защитата на личните данни в сектора на електронните комуникации.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35BC4"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1. Участие на представители на КЗЛД в международни работни групи и подгрупи в областта на защитата на личните данни и в работата на съвместните надзорни органи</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продължава участието на представители на </w:t>
      </w:r>
      <w:r w:rsidR="00FE7018" w:rsidRPr="00FD4C39">
        <w:rPr>
          <w:rFonts w:ascii="Times New Roman" w:hAnsi="Times New Roman" w:cs="Times New Roman"/>
          <w:sz w:val="24"/>
          <w:szCs w:val="24"/>
        </w:rPr>
        <w:t>КЗЛД</w:t>
      </w:r>
      <w:r w:rsidR="00A227D6" w:rsidRPr="00FD4C39">
        <w:rPr>
          <w:rFonts w:ascii="Times New Roman" w:hAnsi="Times New Roman" w:cs="Times New Roman"/>
          <w:sz w:val="24"/>
          <w:szCs w:val="24"/>
        </w:rPr>
        <w:t xml:space="preserve"> </w:t>
      </w:r>
      <w:r w:rsidRPr="00FD4C39">
        <w:rPr>
          <w:rFonts w:ascii="Times New Roman" w:hAnsi="Times New Roman" w:cs="Times New Roman"/>
          <w:sz w:val="24"/>
          <w:szCs w:val="24"/>
        </w:rPr>
        <w:t xml:space="preserve">в международни работни групи и надзорни органи. </w:t>
      </w:r>
    </w:p>
    <w:p w:rsidR="00131BC2" w:rsidRPr="00FD4C39" w:rsidRDefault="00131BC2" w:rsidP="007B189E">
      <w:pPr>
        <w:pStyle w:val="ListParagraph"/>
        <w:spacing w:after="0" w:line="360" w:lineRule="auto"/>
        <w:ind w:left="0" w:firstLine="709"/>
        <w:jc w:val="both"/>
        <w:rPr>
          <w:rFonts w:ascii="Times New Roman" w:hAnsi="Times New Roman" w:cs="Times New Roman"/>
          <w:b/>
          <w:sz w:val="24"/>
          <w:szCs w:val="24"/>
        </w:rPr>
      </w:pPr>
    </w:p>
    <w:p w:rsidR="00F35BC4" w:rsidRPr="00FD4C39" w:rsidRDefault="00F35BC4"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1.</w:t>
      </w:r>
      <w:proofErr w:type="spellStart"/>
      <w:r w:rsidRPr="00FD4C39">
        <w:rPr>
          <w:rFonts w:ascii="Times New Roman" w:hAnsi="Times New Roman" w:cs="Times New Roman"/>
          <w:b/>
          <w:sz w:val="24"/>
          <w:szCs w:val="24"/>
        </w:rPr>
        <w:t>1</w:t>
      </w:r>
      <w:proofErr w:type="spellEnd"/>
      <w:r w:rsidRPr="00FD4C39">
        <w:rPr>
          <w:rFonts w:ascii="Times New Roman" w:hAnsi="Times New Roman" w:cs="Times New Roman"/>
          <w:b/>
          <w:sz w:val="24"/>
          <w:szCs w:val="24"/>
        </w:rPr>
        <w:t>. Участие в редовните заседания на Работнат</w:t>
      </w:r>
      <w:r w:rsidR="00EC5A0A" w:rsidRPr="00FD4C39">
        <w:rPr>
          <w:rFonts w:ascii="Times New Roman" w:hAnsi="Times New Roman" w:cs="Times New Roman"/>
          <w:b/>
          <w:sz w:val="24"/>
          <w:szCs w:val="24"/>
        </w:rPr>
        <w:t>а група по член 29 от Директива </w:t>
      </w:r>
      <w:r w:rsidRPr="00FD4C39">
        <w:rPr>
          <w:rFonts w:ascii="Times New Roman" w:hAnsi="Times New Roman" w:cs="Times New Roman"/>
          <w:b/>
          <w:sz w:val="24"/>
          <w:szCs w:val="24"/>
        </w:rPr>
        <w:t>95/46/ЕО</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отчетния период продължава участието на представителите на КЗЛД в Работната група по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 xml:space="preserve">29 от Директива 95/46/ЕО за защита на физическите лица при </w:t>
      </w:r>
      <w:r w:rsidRPr="00FD4C39">
        <w:rPr>
          <w:rFonts w:ascii="Times New Roman" w:hAnsi="Times New Roman" w:cs="Times New Roman"/>
          <w:sz w:val="24"/>
          <w:szCs w:val="24"/>
        </w:rPr>
        <w:lastRenderedPageBreak/>
        <w:t xml:space="preserve">обработване на лични данни и за свободното движение на тези данни. Основни теми, които са обсъдени в рамките на проведените заседания са последствията от програмите за масово наблюдение, използвани от службите за сигурност и създаването на системи за обработване на </w:t>
      </w:r>
      <w:proofErr w:type="spellStart"/>
      <w:r w:rsidRPr="00FD4C39">
        <w:rPr>
          <w:rFonts w:ascii="Times New Roman" w:hAnsi="Times New Roman" w:cs="Times New Roman"/>
          <w:sz w:val="24"/>
          <w:szCs w:val="24"/>
        </w:rPr>
        <w:t>резервационни</w:t>
      </w:r>
      <w:proofErr w:type="spellEnd"/>
      <w:r w:rsidRPr="00FD4C39">
        <w:rPr>
          <w:rFonts w:ascii="Times New Roman" w:hAnsi="Times New Roman" w:cs="Times New Roman"/>
          <w:sz w:val="24"/>
          <w:szCs w:val="24"/>
        </w:rPr>
        <w:t xml:space="preserve"> данни на пътниците, практическото сътрудничество между органите за защита на данните, както и състоянието на реформата за защита на данните. Обект на обсъждане е също адекватното ниво на защита в трети страни с акцент върху модернизирането на програмата за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 xml:space="preserve">Сейф </w:t>
      </w:r>
      <w:proofErr w:type="spellStart"/>
      <w:r w:rsidRPr="00FD4C39">
        <w:rPr>
          <w:rFonts w:ascii="Times New Roman" w:hAnsi="Times New Roman" w:cs="Times New Roman"/>
          <w:sz w:val="24"/>
          <w:szCs w:val="24"/>
        </w:rPr>
        <w:t>Харбър</w:t>
      </w:r>
      <w:proofErr w:type="spellEnd"/>
      <w:r w:rsidR="00CF0F1F" w:rsidRPr="00FD4C39">
        <w:rPr>
          <w:rFonts w:ascii="Times New Roman" w:hAnsi="Times New Roman" w:cs="Times New Roman"/>
          <w:sz w:val="24"/>
          <w:szCs w:val="24"/>
        </w:rPr>
        <w:t>“</w:t>
      </w:r>
      <w:r w:rsidR="004F12B9">
        <w:rPr>
          <w:rFonts w:ascii="Times New Roman" w:hAnsi="Times New Roman" w:cs="Times New Roman"/>
          <w:sz w:val="24"/>
          <w:szCs w:val="24"/>
        </w:rPr>
        <w:t>. В технологичен план</w:t>
      </w:r>
      <w:r w:rsidRPr="00FD4C39">
        <w:rPr>
          <w:rFonts w:ascii="Times New Roman" w:hAnsi="Times New Roman" w:cs="Times New Roman"/>
          <w:sz w:val="24"/>
          <w:szCs w:val="24"/>
        </w:rPr>
        <w:t xml:space="preserve"> работата на Работната група по</w:t>
      </w:r>
      <w:r w:rsidR="00884B97">
        <w:rPr>
          <w:rFonts w:ascii="Times New Roman" w:hAnsi="Times New Roman" w:cs="Times New Roman"/>
          <w:sz w:val="24"/>
          <w:szCs w:val="24"/>
        </w:rPr>
        <w:t xml:space="preserve"> чл. </w:t>
      </w:r>
      <w:r w:rsidRPr="00FD4C39">
        <w:rPr>
          <w:rFonts w:ascii="Times New Roman" w:hAnsi="Times New Roman" w:cs="Times New Roman"/>
          <w:sz w:val="24"/>
          <w:szCs w:val="24"/>
        </w:rPr>
        <w:t xml:space="preserve">29 е насочена върху разработване на анализ относно техниките за </w:t>
      </w:r>
      <w:proofErr w:type="spellStart"/>
      <w:r w:rsidRPr="00FD4C39">
        <w:rPr>
          <w:rFonts w:ascii="Times New Roman" w:hAnsi="Times New Roman" w:cs="Times New Roman"/>
          <w:sz w:val="24"/>
          <w:szCs w:val="24"/>
        </w:rPr>
        <w:t>анонимизиране</w:t>
      </w:r>
      <w:proofErr w:type="spellEnd"/>
      <w:r w:rsidRPr="00FD4C39">
        <w:rPr>
          <w:rFonts w:ascii="Times New Roman" w:hAnsi="Times New Roman" w:cs="Times New Roman"/>
          <w:sz w:val="24"/>
          <w:szCs w:val="24"/>
        </w:rPr>
        <w:t xml:space="preserve"> и </w:t>
      </w:r>
      <w:proofErr w:type="spellStart"/>
      <w:r w:rsidRPr="00FD4C39">
        <w:rPr>
          <w:rFonts w:ascii="Times New Roman" w:hAnsi="Times New Roman" w:cs="Times New Roman"/>
          <w:sz w:val="24"/>
          <w:szCs w:val="24"/>
        </w:rPr>
        <w:t>псевдонимизиране</w:t>
      </w:r>
      <w:proofErr w:type="spellEnd"/>
      <w:r w:rsidRPr="00FD4C39">
        <w:rPr>
          <w:rFonts w:ascii="Times New Roman" w:hAnsi="Times New Roman" w:cs="Times New Roman"/>
          <w:sz w:val="24"/>
          <w:szCs w:val="24"/>
        </w:rPr>
        <w:t xml:space="preserve"> на лични данни, рискове и възможности за упражняване на контрол (потребителски и институциона</w:t>
      </w:r>
      <w:r w:rsidR="004F12B9">
        <w:rPr>
          <w:rFonts w:ascii="Times New Roman" w:hAnsi="Times New Roman" w:cs="Times New Roman"/>
          <w:sz w:val="24"/>
          <w:szCs w:val="24"/>
        </w:rPr>
        <w:t xml:space="preserve">лен) при използване на интернет </w:t>
      </w:r>
      <w:r w:rsidRPr="00FD4C39">
        <w:rPr>
          <w:rFonts w:ascii="Times New Roman" w:hAnsi="Times New Roman" w:cs="Times New Roman"/>
          <w:sz w:val="24"/>
          <w:szCs w:val="24"/>
        </w:rPr>
        <w:t xml:space="preserve">свързаните устройства (Internet of </w:t>
      </w:r>
      <w:proofErr w:type="spellStart"/>
      <w:r w:rsidRPr="00FD4C39">
        <w:rPr>
          <w:rFonts w:ascii="Times New Roman" w:hAnsi="Times New Roman" w:cs="Times New Roman"/>
          <w:sz w:val="24"/>
          <w:szCs w:val="24"/>
        </w:rPr>
        <w:t>things</w:t>
      </w:r>
      <w:proofErr w:type="spellEnd"/>
      <w:r w:rsidRPr="00FD4C39">
        <w:rPr>
          <w:rFonts w:ascii="Times New Roman" w:hAnsi="Times New Roman" w:cs="Times New Roman"/>
          <w:sz w:val="24"/>
          <w:szCs w:val="24"/>
        </w:rPr>
        <w:t xml:space="preserve">),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обла</w:t>
      </w:r>
      <w:r w:rsidR="004F12B9">
        <w:rPr>
          <w:rFonts w:ascii="Times New Roman" w:hAnsi="Times New Roman" w:cs="Times New Roman"/>
          <w:sz w:val="24"/>
          <w:szCs w:val="24"/>
        </w:rPr>
        <w:t>чни“</w:t>
      </w:r>
      <w:r w:rsidRPr="00FD4C39">
        <w:rPr>
          <w:rFonts w:ascii="Times New Roman" w:hAnsi="Times New Roman" w:cs="Times New Roman"/>
          <w:sz w:val="24"/>
          <w:szCs w:val="24"/>
        </w:rPr>
        <w:t xml:space="preserve"> услуги и безпилотни </w:t>
      </w:r>
      <w:r w:rsidR="004D3755" w:rsidRPr="00FD4C39">
        <w:rPr>
          <w:rFonts w:ascii="Times New Roman" w:hAnsi="Times New Roman" w:cs="Times New Roman"/>
          <w:sz w:val="24"/>
          <w:szCs w:val="24"/>
        </w:rPr>
        <w:t>летателни устройства</w:t>
      </w:r>
      <w:r w:rsidRPr="00FD4C39">
        <w:rPr>
          <w:rFonts w:ascii="Times New Roman" w:hAnsi="Times New Roman" w:cs="Times New Roman"/>
          <w:sz w:val="24"/>
          <w:szCs w:val="24"/>
        </w:rPr>
        <w:t xml:space="preserve"> (т.нар. </w:t>
      </w:r>
      <w:proofErr w:type="spellStart"/>
      <w:r w:rsidRPr="00FD4C39">
        <w:rPr>
          <w:rFonts w:ascii="Times New Roman" w:hAnsi="Times New Roman" w:cs="Times New Roman"/>
          <w:sz w:val="24"/>
          <w:szCs w:val="24"/>
        </w:rPr>
        <w:t>дронове</w:t>
      </w:r>
      <w:proofErr w:type="spellEnd"/>
      <w:r w:rsidRPr="00FD4C39">
        <w:rPr>
          <w:rFonts w:ascii="Times New Roman" w:hAnsi="Times New Roman" w:cs="Times New Roman"/>
          <w:sz w:val="24"/>
          <w:szCs w:val="24"/>
        </w:rPr>
        <w:t>) за граждански цели. Продължава и активността на Работната група по отношение на политиките по неприкосновеност на социалните мрежи и интернет търсачките. Във връзка с обработването на лични данни в интернет, основна задача в дейността на работната група през годината е регламентиране</w:t>
      </w:r>
      <w:r w:rsidR="00A63F04">
        <w:rPr>
          <w:rFonts w:ascii="Times New Roman" w:hAnsi="Times New Roman" w:cs="Times New Roman"/>
          <w:sz w:val="24"/>
          <w:szCs w:val="24"/>
        </w:rPr>
        <w:t xml:space="preserve">то на отношенията администратор, </w:t>
      </w:r>
      <w:r w:rsidRPr="00FD4C39">
        <w:rPr>
          <w:rFonts w:ascii="Times New Roman" w:hAnsi="Times New Roman" w:cs="Times New Roman"/>
          <w:sz w:val="24"/>
          <w:szCs w:val="24"/>
        </w:rPr>
        <w:t xml:space="preserve">обработващ лични данни. </w:t>
      </w:r>
      <w:r w:rsidR="00A63F04">
        <w:rPr>
          <w:rFonts w:ascii="Times New Roman" w:hAnsi="Times New Roman" w:cs="Times New Roman"/>
          <w:sz w:val="24"/>
          <w:szCs w:val="24"/>
        </w:rPr>
        <w:t>Прави се</w:t>
      </w:r>
      <w:r w:rsidRPr="00FD4C39">
        <w:rPr>
          <w:rFonts w:ascii="Times New Roman" w:hAnsi="Times New Roman" w:cs="Times New Roman"/>
          <w:sz w:val="24"/>
          <w:szCs w:val="24"/>
        </w:rPr>
        <w:t xml:space="preserve"> обстоен анализ на решението на Съда на Европейския съюз по делото </w:t>
      </w:r>
      <w:r w:rsidR="004931E5" w:rsidRPr="00FD4C39">
        <w:rPr>
          <w:rFonts w:ascii="Times New Roman" w:hAnsi="Times New Roman" w:cs="Times New Roman"/>
          <w:sz w:val="24"/>
          <w:szCs w:val="24"/>
        </w:rPr>
        <w:t>„</w:t>
      </w:r>
      <w:proofErr w:type="spellStart"/>
      <w:r w:rsidR="00A63F04">
        <w:rPr>
          <w:rFonts w:ascii="Times New Roman" w:hAnsi="Times New Roman" w:cs="Times New Roman"/>
          <w:sz w:val="24"/>
          <w:szCs w:val="24"/>
        </w:rPr>
        <w:t>Гугъл</w:t>
      </w:r>
      <w:proofErr w:type="spellEnd"/>
      <w:r w:rsidR="00A63F04">
        <w:rPr>
          <w:rFonts w:ascii="Times New Roman" w:hAnsi="Times New Roman" w:cs="Times New Roman"/>
          <w:sz w:val="24"/>
          <w:szCs w:val="24"/>
        </w:rPr>
        <w:t>“</w:t>
      </w:r>
      <w:r w:rsidRPr="00FD4C39">
        <w:rPr>
          <w:rFonts w:ascii="Times New Roman" w:hAnsi="Times New Roman" w:cs="Times New Roman"/>
          <w:sz w:val="24"/>
          <w:szCs w:val="24"/>
        </w:rPr>
        <w:t xml:space="preserve"> и </w:t>
      </w:r>
      <w:r w:rsidR="00A63F04">
        <w:rPr>
          <w:rFonts w:ascii="Times New Roman" w:hAnsi="Times New Roman" w:cs="Times New Roman"/>
          <w:sz w:val="24"/>
          <w:szCs w:val="24"/>
        </w:rPr>
        <w:t>се разработва</w:t>
      </w:r>
      <w:r w:rsidRPr="00FD4C39">
        <w:rPr>
          <w:rFonts w:ascii="Times New Roman" w:hAnsi="Times New Roman" w:cs="Times New Roman"/>
          <w:sz w:val="24"/>
          <w:szCs w:val="24"/>
        </w:rPr>
        <w:t xml:space="preserve"> методология, която да унифицира практиката на надзорните органи при разглеждане на сходни случаи</w:t>
      </w:r>
      <w:r w:rsidR="00A63F04">
        <w:rPr>
          <w:rFonts w:ascii="Times New Roman" w:hAnsi="Times New Roman" w:cs="Times New Roman"/>
          <w:sz w:val="24"/>
          <w:szCs w:val="24"/>
        </w:rPr>
        <w:t xml:space="preserve"> на национално ниво. Отчитат се</w:t>
      </w:r>
      <w:r w:rsidRPr="00FD4C39">
        <w:rPr>
          <w:rFonts w:ascii="Times New Roman" w:hAnsi="Times New Roman" w:cs="Times New Roman"/>
          <w:sz w:val="24"/>
          <w:szCs w:val="24"/>
        </w:rPr>
        <w:t xml:space="preserve"> и последствията от ре</w:t>
      </w:r>
      <w:r w:rsidR="00A63F04">
        <w:rPr>
          <w:rFonts w:ascii="Times New Roman" w:hAnsi="Times New Roman" w:cs="Times New Roman"/>
          <w:sz w:val="24"/>
          <w:szCs w:val="24"/>
        </w:rPr>
        <w:t>шението на Съда на ЕС, с което се</w:t>
      </w:r>
      <w:r w:rsidRPr="00FD4C39">
        <w:rPr>
          <w:rFonts w:ascii="Times New Roman" w:hAnsi="Times New Roman" w:cs="Times New Roman"/>
          <w:sz w:val="24"/>
          <w:szCs w:val="24"/>
        </w:rPr>
        <w:t xml:space="preserve"> обяв</w:t>
      </w:r>
      <w:r w:rsidR="00A63F04">
        <w:rPr>
          <w:rFonts w:ascii="Times New Roman" w:hAnsi="Times New Roman" w:cs="Times New Roman"/>
          <w:sz w:val="24"/>
          <w:szCs w:val="24"/>
        </w:rPr>
        <w:t>ява</w:t>
      </w:r>
      <w:r w:rsidRPr="00FD4C39">
        <w:rPr>
          <w:rFonts w:ascii="Times New Roman" w:hAnsi="Times New Roman" w:cs="Times New Roman"/>
          <w:sz w:val="24"/>
          <w:szCs w:val="24"/>
        </w:rPr>
        <w:t xml:space="preserve"> за недействителна Директива 2006/26/ЕО за запазване на </w:t>
      </w:r>
      <w:proofErr w:type="spellStart"/>
      <w:r w:rsidRPr="00FD4C39">
        <w:rPr>
          <w:rFonts w:ascii="Times New Roman" w:hAnsi="Times New Roman" w:cs="Times New Roman"/>
          <w:sz w:val="24"/>
          <w:szCs w:val="24"/>
        </w:rPr>
        <w:t>трафични</w:t>
      </w:r>
      <w:proofErr w:type="spellEnd"/>
      <w:r w:rsidRPr="00FD4C39">
        <w:rPr>
          <w:rFonts w:ascii="Times New Roman" w:hAnsi="Times New Roman" w:cs="Times New Roman"/>
          <w:sz w:val="24"/>
          <w:szCs w:val="24"/>
        </w:rPr>
        <w:t xml:space="preserve"> данни.  </w:t>
      </w:r>
    </w:p>
    <w:p w:rsidR="00427E89" w:rsidRPr="00FD4C39" w:rsidRDefault="00427E89" w:rsidP="00EC5A0A">
      <w:pPr>
        <w:pStyle w:val="ListParagraph"/>
        <w:spacing w:after="0" w:line="360" w:lineRule="auto"/>
        <w:ind w:left="0" w:firstLine="709"/>
        <w:jc w:val="both"/>
        <w:rPr>
          <w:rFonts w:ascii="Times New Roman" w:hAnsi="Times New Roman" w:cs="Times New Roman"/>
          <w:b/>
          <w:sz w:val="24"/>
          <w:szCs w:val="24"/>
        </w:rPr>
      </w:pPr>
    </w:p>
    <w:p w:rsidR="00F35BC4" w:rsidRPr="00FD4C39" w:rsidRDefault="00F35BC4" w:rsidP="00EC5A0A">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1.2.</w:t>
      </w:r>
      <w:r w:rsidRPr="00FD4C39">
        <w:rPr>
          <w:rFonts w:ascii="Times New Roman" w:hAnsi="Times New Roman" w:cs="Times New Roman"/>
          <w:sz w:val="24"/>
          <w:szCs w:val="24"/>
        </w:rPr>
        <w:t xml:space="preserve"> </w:t>
      </w:r>
      <w:r w:rsidRPr="00FD4C39">
        <w:rPr>
          <w:rFonts w:ascii="Times New Roman" w:hAnsi="Times New Roman" w:cs="Times New Roman"/>
          <w:b/>
          <w:sz w:val="24"/>
          <w:szCs w:val="24"/>
        </w:rPr>
        <w:t xml:space="preserve">Участие в редовните заседания на Съвместните надзорни органи на </w:t>
      </w:r>
      <w:proofErr w:type="spellStart"/>
      <w:r w:rsidRPr="00FD4C39">
        <w:rPr>
          <w:rFonts w:ascii="Times New Roman" w:hAnsi="Times New Roman" w:cs="Times New Roman"/>
          <w:b/>
          <w:sz w:val="24"/>
          <w:szCs w:val="24"/>
        </w:rPr>
        <w:t>Европол</w:t>
      </w:r>
      <w:proofErr w:type="spellEnd"/>
      <w:r w:rsidRPr="00FD4C39">
        <w:rPr>
          <w:rFonts w:ascii="Times New Roman" w:hAnsi="Times New Roman" w:cs="Times New Roman"/>
          <w:b/>
          <w:sz w:val="24"/>
          <w:szCs w:val="24"/>
        </w:rPr>
        <w:t xml:space="preserve"> и</w:t>
      </w:r>
      <w:r w:rsidR="00EC5A0A" w:rsidRPr="00FD4C39">
        <w:rPr>
          <w:rFonts w:ascii="Times New Roman" w:hAnsi="Times New Roman" w:cs="Times New Roman"/>
          <w:b/>
          <w:sz w:val="24"/>
          <w:szCs w:val="24"/>
        </w:rPr>
        <w:t xml:space="preserve"> </w:t>
      </w:r>
      <w:r w:rsidRPr="00FD4C39">
        <w:rPr>
          <w:rFonts w:ascii="Times New Roman" w:hAnsi="Times New Roman" w:cs="Times New Roman"/>
          <w:b/>
          <w:sz w:val="24"/>
          <w:szCs w:val="24"/>
        </w:rPr>
        <w:t>Митници</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продължава участието на представители на КЗЛД в заседанията на Съвместните надзорни органи (СНО) на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 xml:space="preserve"> и Митници.</w:t>
      </w:r>
    </w:p>
    <w:p w:rsidR="00F35BC4" w:rsidRPr="00FD4C39" w:rsidRDefault="00F35BC4" w:rsidP="007B189E">
      <w:pPr>
        <w:spacing w:after="0" w:line="360" w:lineRule="auto"/>
        <w:ind w:firstLine="709"/>
        <w:jc w:val="both"/>
        <w:rPr>
          <w:rFonts w:ascii="Times New Roman" w:hAnsi="Times New Roman" w:cs="Times New Roman"/>
          <w:i/>
          <w:sz w:val="24"/>
          <w:szCs w:val="24"/>
        </w:rPr>
      </w:pPr>
      <w:r w:rsidRPr="00FD4C39">
        <w:rPr>
          <w:rFonts w:ascii="Times New Roman" w:hAnsi="Times New Roman" w:cs="Times New Roman"/>
          <w:sz w:val="24"/>
          <w:szCs w:val="24"/>
        </w:rPr>
        <w:t xml:space="preserve">В рамките на </w:t>
      </w:r>
      <w:r w:rsidRPr="00FD4C39">
        <w:rPr>
          <w:rFonts w:ascii="Times New Roman" w:hAnsi="Times New Roman" w:cs="Times New Roman"/>
          <w:b/>
          <w:sz w:val="24"/>
          <w:szCs w:val="24"/>
        </w:rPr>
        <w:t xml:space="preserve">Съвместния надзорен орган на </w:t>
      </w:r>
      <w:proofErr w:type="spellStart"/>
      <w:r w:rsidRPr="00FD4C39">
        <w:rPr>
          <w:rFonts w:ascii="Times New Roman" w:hAnsi="Times New Roman" w:cs="Times New Roman"/>
          <w:b/>
          <w:sz w:val="24"/>
          <w:szCs w:val="24"/>
        </w:rPr>
        <w:t>Европол</w:t>
      </w:r>
      <w:proofErr w:type="spellEnd"/>
      <w:r w:rsidRPr="00FD4C39">
        <w:rPr>
          <w:rFonts w:ascii="Times New Roman" w:hAnsi="Times New Roman" w:cs="Times New Roman"/>
          <w:sz w:val="24"/>
          <w:szCs w:val="24"/>
        </w:rPr>
        <w:t xml:space="preserve"> (СНО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 с</w:t>
      </w:r>
      <w:r w:rsidR="00A63F04">
        <w:rPr>
          <w:rFonts w:ascii="Times New Roman" w:hAnsi="Times New Roman" w:cs="Times New Roman"/>
          <w:sz w:val="24"/>
          <w:szCs w:val="24"/>
        </w:rPr>
        <w:t>е разглеждат и обсъждат</w:t>
      </w:r>
      <w:r w:rsidRPr="00FD4C39">
        <w:rPr>
          <w:rFonts w:ascii="Times New Roman" w:hAnsi="Times New Roman" w:cs="Times New Roman"/>
          <w:sz w:val="24"/>
          <w:szCs w:val="24"/>
        </w:rPr>
        <w:t xml:space="preserve"> въпроси, свързани с правомощията и компетенциите на надзорния орган и взаимоотношенията му с други</w:t>
      </w:r>
      <w:r w:rsidRPr="00FD4C39">
        <w:rPr>
          <w:rFonts w:ascii="Times New Roman" w:hAnsi="Times New Roman" w:cs="Times New Roman"/>
          <w:i/>
          <w:sz w:val="24"/>
          <w:szCs w:val="24"/>
        </w:rPr>
        <w:t xml:space="preserve"> </w:t>
      </w:r>
      <w:r w:rsidRPr="00FD4C39">
        <w:rPr>
          <w:rFonts w:ascii="Times New Roman" w:hAnsi="Times New Roman" w:cs="Times New Roman"/>
          <w:sz w:val="24"/>
          <w:szCs w:val="24"/>
        </w:rPr>
        <w:t xml:space="preserve">надзорни органи и по-специално Европейския надзорен орган за защита на данните, както и защитата на личните данни, произтичаща от разпоредбите в предложението за нов регламент на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 xml:space="preserve">. Предмет на обсъждане е и базата за обмен на оперативна и стратегическа информация и разузнавателни данни, както и работата на Центъра за реакция на </w:t>
      </w:r>
      <w:proofErr w:type="spellStart"/>
      <w:r w:rsidRPr="00FD4C39">
        <w:rPr>
          <w:rFonts w:ascii="Times New Roman" w:hAnsi="Times New Roman" w:cs="Times New Roman"/>
          <w:sz w:val="24"/>
          <w:szCs w:val="24"/>
        </w:rPr>
        <w:t>кибератаките</w:t>
      </w:r>
      <w:proofErr w:type="spellEnd"/>
      <w:r w:rsidRPr="00FD4C39">
        <w:rPr>
          <w:rFonts w:ascii="Times New Roman" w:hAnsi="Times New Roman" w:cs="Times New Roman"/>
          <w:sz w:val="24"/>
          <w:szCs w:val="24"/>
        </w:rPr>
        <w:t xml:space="preserve"> и въвеждането и функционирането на нова система за анализ на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 xml:space="preserve">. Акцент в </w:t>
      </w:r>
      <w:r w:rsidRPr="00FD4C39">
        <w:rPr>
          <w:rFonts w:ascii="Times New Roman" w:hAnsi="Times New Roman" w:cs="Times New Roman"/>
          <w:sz w:val="24"/>
          <w:szCs w:val="24"/>
        </w:rPr>
        <w:lastRenderedPageBreak/>
        <w:t xml:space="preserve">работата на групата е и организирането на проверки при обработване на лични данни в системата на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 Модернизирането на системата за сигурен обмен на информация СИЕНА и въвеждане на хармонизирани критерии за правоприлагане при обмен на информация между полицейските системи, правораздаването и защитата на данните, както и необходимостта от стандартизирани въпросн</w:t>
      </w:r>
      <w:r w:rsidR="00A63F04">
        <w:rPr>
          <w:rFonts w:ascii="Times New Roman" w:hAnsi="Times New Roman" w:cs="Times New Roman"/>
          <w:sz w:val="24"/>
          <w:szCs w:val="24"/>
        </w:rPr>
        <w:t>ици при извършване на инспекции</w:t>
      </w:r>
      <w:r w:rsidRPr="00FD4C39">
        <w:rPr>
          <w:rFonts w:ascii="Times New Roman" w:hAnsi="Times New Roman" w:cs="Times New Roman"/>
          <w:sz w:val="24"/>
          <w:szCs w:val="24"/>
        </w:rPr>
        <w:t xml:space="preserve"> също са сред приоритетите на СНО </w:t>
      </w:r>
      <w:proofErr w:type="spellStart"/>
      <w:r w:rsidRPr="00FD4C39">
        <w:rPr>
          <w:rFonts w:ascii="Times New Roman" w:hAnsi="Times New Roman" w:cs="Times New Roman"/>
          <w:sz w:val="24"/>
          <w:szCs w:val="24"/>
        </w:rPr>
        <w:t>Европол</w:t>
      </w:r>
      <w:proofErr w:type="spellEnd"/>
      <w:r w:rsidRPr="00FD4C39">
        <w:rPr>
          <w:rFonts w:ascii="Times New Roman" w:hAnsi="Times New Roman" w:cs="Times New Roman"/>
          <w:sz w:val="24"/>
          <w:szCs w:val="24"/>
        </w:rPr>
        <w:t xml:space="preserve"> 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По време на заседанията на Съвместния надзорен орган на митническата информационна система (СНО Митници) с</w:t>
      </w:r>
      <w:r w:rsidR="00A63F04">
        <w:rPr>
          <w:rFonts w:ascii="Times New Roman" w:hAnsi="Times New Roman" w:cs="Times New Roman"/>
          <w:sz w:val="24"/>
          <w:szCs w:val="24"/>
        </w:rPr>
        <w:t>е дискутират</w:t>
      </w:r>
      <w:r w:rsidRPr="00FD4C39">
        <w:rPr>
          <w:rFonts w:ascii="Times New Roman" w:hAnsi="Times New Roman" w:cs="Times New Roman"/>
          <w:sz w:val="24"/>
          <w:szCs w:val="24"/>
        </w:rPr>
        <w:t xml:space="preserve"> въпросите, свързани с практиката по прилагането на работната рамка за защита на данните и Митническата информационна система и правото на достъп до системата на</w:t>
      </w:r>
      <w:r w:rsidR="00A63F04">
        <w:rPr>
          <w:rFonts w:ascii="Times New Roman" w:hAnsi="Times New Roman" w:cs="Times New Roman"/>
          <w:sz w:val="24"/>
          <w:szCs w:val="24"/>
        </w:rPr>
        <w:t xml:space="preserve"> физическите лица. Дискутира се</w:t>
      </w:r>
      <w:r w:rsidRPr="00FD4C39">
        <w:rPr>
          <w:rFonts w:ascii="Times New Roman" w:hAnsi="Times New Roman" w:cs="Times New Roman"/>
          <w:sz w:val="24"/>
          <w:szCs w:val="24"/>
        </w:rPr>
        <w:t xml:space="preserve"> извършената проверка от </w:t>
      </w:r>
      <w:r w:rsidR="00D86735" w:rsidRPr="00FD4C39">
        <w:rPr>
          <w:rFonts w:ascii="Times New Roman" w:hAnsi="Times New Roman" w:cs="Times New Roman"/>
          <w:sz w:val="24"/>
          <w:szCs w:val="24"/>
        </w:rPr>
        <w:t>Европейската служба за борба с измамите (</w:t>
      </w:r>
      <w:r w:rsidRPr="00FD4C39">
        <w:rPr>
          <w:rFonts w:ascii="Times New Roman" w:hAnsi="Times New Roman" w:cs="Times New Roman"/>
          <w:sz w:val="24"/>
          <w:szCs w:val="24"/>
        </w:rPr>
        <w:t>ОЛАФ</w:t>
      </w:r>
      <w:r w:rsidR="00D86735" w:rsidRPr="00FD4C39">
        <w:rPr>
          <w:rFonts w:ascii="Times New Roman" w:hAnsi="Times New Roman" w:cs="Times New Roman"/>
          <w:sz w:val="24"/>
          <w:szCs w:val="24"/>
        </w:rPr>
        <w:t>)</w:t>
      </w:r>
      <w:r w:rsidRPr="00FD4C39">
        <w:rPr>
          <w:rFonts w:ascii="Times New Roman" w:hAnsi="Times New Roman" w:cs="Times New Roman"/>
          <w:sz w:val="24"/>
          <w:szCs w:val="24"/>
        </w:rPr>
        <w:t xml:space="preserve"> и възм</w:t>
      </w:r>
      <w:r w:rsidR="00A63F04">
        <w:rPr>
          <w:rFonts w:ascii="Times New Roman" w:hAnsi="Times New Roman" w:cs="Times New Roman"/>
          <w:sz w:val="24"/>
          <w:szCs w:val="24"/>
        </w:rPr>
        <w:t>ожни бъдещи действия. Прави се</w:t>
      </w:r>
      <w:r w:rsidRPr="00FD4C39">
        <w:rPr>
          <w:rFonts w:ascii="Times New Roman" w:hAnsi="Times New Roman" w:cs="Times New Roman"/>
          <w:sz w:val="24"/>
          <w:szCs w:val="24"/>
        </w:rPr>
        <w:t xml:space="preserve"> преглед на развитията във връзка с приетата брошура за правата на лицата и отговорностите на компетентните органи по отношение на Митническата информационна система.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35BC4"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 xml:space="preserve">1.3. Участие в редовните заседания на Координационните групи по надзор на Митническата информационна система, </w:t>
      </w:r>
      <w:proofErr w:type="spellStart"/>
      <w:r w:rsidRPr="00FD4C39">
        <w:rPr>
          <w:rFonts w:ascii="Times New Roman" w:hAnsi="Times New Roman" w:cs="Times New Roman"/>
          <w:b/>
          <w:sz w:val="24"/>
          <w:szCs w:val="24"/>
        </w:rPr>
        <w:t>Евродак</w:t>
      </w:r>
      <w:proofErr w:type="spellEnd"/>
      <w:r w:rsidRPr="00FD4C39">
        <w:rPr>
          <w:rFonts w:ascii="Times New Roman" w:hAnsi="Times New Roman" w:cs="Times New Roman"/>
          <w:b/>
          <w:sz w:val="24"/>
          <w:szCs w:val="24"/>
        </w:rPr>
        <w:t>, Визовата информационна система и Шенгенската информационна система</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КЗЛД участва и в специално създадените координационни групи по надзор, които се ръководят от Европейския надзорен орган за защита на данните и се състоят от представители на националните органи за защита на данните на страните членки на Европейския съюз.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отчетния период, по време на заседанието на Координационната групата за надзор на Митническат</w:t>
      </w:r>
      <w:r w:rsidR="00A63F04">
        <w:rPr>
          <w:rFonts w:ascii="Times New Roman" w:hAnsi="Times New Roman" w:cs="Times New Roman"/>
          <w:sz w:val="24"/>
          <w:szCs w:val="24"/>
        </w:rPr>
        <w:t>а информационна система (МИС) се разглеждат</w:t>
      </w:r>
      <w:r w:rsidRPr="00FD4C39">
        <w:rPr>
          <w:rFonts w:ascii="Times New Roman" w:hAnsi="Times New Roman" w:cs="Times New Roman"/>
          <w:sz w:val="24"/>
          <w:szCs w:val="24"/>
        </w:rPr>
        <w:t xml:space="preserve"> доклади относно направени проверки на ирландската МИС и ОЛАФ, проект на наръчник за упражняване на правата на лицата на достъп до данни в МИС и работната програма на координа</w:t>
      </w:r>
      <w:r w:rsidR="00EC5A0A" w:rsidRPr="00FD4C39">
        <w:rPr>
          <w:rFonts w:ascii="Times New Roman" w:hAnsi="Times New Roman" w:cs="Times New Roman"/>
          <w:sz w:val="24"/>
          <w:szCs w:val="24"/>
        </w:rPr>
        <w:t>ционната група за периода 2014</w:t>
      </w:r>
      <w:r w:rsidR="00A63F04">
        <w:rPr>
          <w:rFonts w:ascii="Times New Roman" w:hAnsi="Times New Roman" w:cs="Times New Roman"/>
          <w:sz w:val="24"/>
          <w:szCs w:val="24"/>
        </w:rPr>
        <w:t>–</w:t>
      </w:r>
      <w:r w:rsidRPr="00FD4C39">
        <w:rPr>
          <w:rFonts w:ascii="Times New Roman" w:hAnsi="Times New Roman" w:cs="Times New Roman"/>
          <w:sz w:val="24"/>
          <w:szCs w:val="24"/>
        </w:rPr>
        <w:t>2015</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Като </w:t>
      </w:r>
      <w:r w:rsidR="00A63F04">
        <w:rPr>
          <w:rFonts w:ascii="Times New Roman" w:hAnsi="Times New Roman" w:cs="Times New Roman"/>
          <w:sz w:val="24"/>
          <w:szCs w:val="24"/>
        </w:rPr>
        <w:t>основни приоритети на групата се</w:t>
      </w:r>
      <w:r w:rsidRPr="00FD4C39">
        <w:rPr>
          <w:rFonts w:ascii="Times New Roman" w:hAnsi="Times New Roman" w:cs="Times New Roman"/>
          <w:sz w:val="24"/>
          <w:szCs w:val="24"/>
        </w:rPr>
        <w:t xml:space="preserve"> очерта</w:t>
      </w:r>
      <w:r w:rsidR="00A63F04">
        <w:rPr>
          <w:rFonts w:ascii="Times New Roman" w:hAnsi="Times New Roman" w:cs="Times New Roman"/>
          <w:sz w:val="24"/>
          <w:szCs w:val="24"/>
        </w:rPr>
        <w:t>ват</w:t>
      </w:r>
      <w:r w:rsidRPr="00FD4C39">
        <w:rPr>
          <w:rFonts w:ascii="Times New Roman" w:hAnsi="Times New Roman" w:cs="Times New Roman"/>
          <w:sz w:val="24"/>
          <w:szCs w:val="24"/>
        </w:rPr>
        <w:t xml:space="preserve"> извършването на оценка на полезността на МИС, упражняване на правото на достъп на лицата, подобряване на взаимодействието между Съвместния надзорен орган и Координационната група за надзор на МИС.</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На заседанията на Координационн</w:t>
      </w:r>
      <w:r w:rsidR="00A63F04">
        <w:rPr>
          <w:rFonts w:ascii="Times New Roman" w:hAnsi="Times New Roman" w:cs="Times New Roman"/>
          <w:sz w:val="24"/>
          <w:szCs w:val="24"/>
        </w:rPr>
        <w:t xml:space="preserve">ата група по надзор на </w:t>
      </w:r>
      <w:proofErr w:type="spellStart"/>
      <w:r w:rsidR="00A63F04">
        <w:rPr>
          <w:rFonts w:ascii="Times New Roman" w:hAnsi="Times New Roman" w:cs="Times New Roman"/>
          <w:sz w:val="24"/>
          <w:szCs w:val="24"/>
        </w:rPr>
        <w:t>Евродак</w:t>
      </w:r>
      <w:proofErr w:type="spellEnd"/>
      <w:r w:rsidR="00A63F04">
        <w:rPr>
          <w:rFonts w:ascii="Times New Roman" w:hAnsi="Times New Roman" w:cs="Times New Roman"/>
          <w:sz w:val="24"/>
          <w:szCs w:val="24"/>
        </w:rPr>
        <w:t xml:space="preserve"> се</w:t>
      </w:r>
      <w:r w:rsidRPr="00FD4C39">
        <w:rPr>
          <w:rFonts w:ascii="Times New Roman" w:hAnsi="Times New Roman" w:cs="Times New Roman"/>
          <w:sz w:val="24"/>
          <w:szCs w:val="24"/>
        </w:rPr>
        <w:t xml:space="preserve"> обсъ</w:t>
      </w:r>
      <w:r w:rsidR="00A63F04">
        <w:rPr>
          <w:rFonts w:ascii="Times New Roman" w:hAnsi="Times New Roman" w:cs="Times New Roman"/>
          <w:sz w:val="24"/>
          <w:szCs w:val="24"/>
        </w:rPr>
        <w:t>жда</w:t>
      </w:r>
      <w:r w:rsidRPr="00FD4C39">
        <w:rPr>
          <w:rFonts w:ascii="Times New Roman" w:hAnsi="Times New Roman" w:cs="Times New Roman"/>
          <w:sz w:val="24"/>
          <w:szCs w:val="24"/>
        </w:rPr>
        <w:t xml:space="preserve"> настоящото състояние на системата и нейното използване, предстоящото изготвяне на брошури с информация относно обработването на данни на лицата, влизащи в системата </w:t>
      </w:r>
      <w:proofErr w:type="spellStart"/>
      <w:r w:rsidRPr="00FD4C39">
        <w:rPr>
          <w:rFonts w:ascii="Times New Roman" w:hAnsi="Times New Roman" w:cs="Times New Roman"/>
          <w:sz w:val="24"/>
          <w:szCs w:val="24"/>
        </w:rPr>
        <w:t>Евродак</w:t>
      </w:r>
      <w:proofErr w:type="spellEnd"/>
      <w:r w:rsidRPr="00FD4C39">
        <w:rPr>
          <w:rFonts w:ascii="Times New Roman" w:hAnsi="Times New Roman" w:cs="Times New Roman"/>
          <w:sz w:val="24"/>
          <w:szCs w:val="24"/>
        </w:rPr>
        <w:t xml:space="preserve">, както и предстоящия преглед на системата през 2015 година.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lastRenderedPageBreak/>
        <w:t>В рамките на редовните срещи на Координационната група по надзор на Визовата информационна сист</w:t>
      </w:r>
      <w:r w:rsidR="00A63F04">
        <w:rPr>
          <w:rFonts w:ascii="Times New Roman" w:hAnsi="Times New Roman" w:cs="Times New Roman"/>
          <w:sz w:val="24"/>
          <w:szCs w:val="24"/>
        </w:rPr>
        <w:t>ема (ВИС) се</w:t>
      </w:r>
      <w:r w:rsidRPr="00FD4C39">
        <w:rPr>
          <w:rFonts w:ascii="Times New Roman" w:hAnsi="Times New Roman" w:cs="Times New Roman"/>
          <w:sz w:val="24"/>
          <w:szCs w:val="24"/>
        </w:rPr>
        <w:t xml:space="preserve"> обсъ</w:t>
      </w:r>
      <w:r w:rsidR="00A63F04">
        <w:rPr>
          <w:rFonts w:ascii="Times New Roman" w:hAnsi="Times New Roman" w:cs="Times New Roman"/>
          <w:sz w:val="24"/>
          <w:szCs w:val="24"/>
        </w:rPr>
        <w:t>ждат</w:t>
      </w:r>
      <w:r w:rsidRPr="00FD4C39">
        <w:rPr>
          <w:rFonts w:ascii="Times New Roman" w:hAnsi="Times New Roman" w:cs="Times New Roman"/>
          <w:sz w:val="24"/>
          <w:szCs w:val="24"/>
        </w:rPr>
        <w:t xml:space="preserve"> последните развития на визовата информационна система и компетентните органи, имащи право на достъп до нея, актуализирането на предоставяната информация от системата, както и възлагане на част от дейностите по издаване на визи на подизпълнители при даване на възможност на органите за защита на данните да извършват проверки на тез</w:t>
      </w:r>
      <w:r w:rsidR="00A63F04">
        <w:rPr>
          <w:rFonts w:ascii="Times New Roman" w:hAnsi="Times New Roman" w:cs="Times New Roman"/>
          <w:sz w:val="24"/>
          <w:szCs w:val="24"/>
        </w:rPr>
        <w:t>и подизпълнители. В тази насока КЗЛД дава</w:t>
      </w:r>
      <w:r w:rsidRPr="00FD4C39">
        <w:rPr>
          <w:rFonts w:ascii="Times New Roman" w:hAnsi="Times New Roman" w:cs="Times New Roman"/>
          <w:sz w:val="24"/>
          <w:szCs w:val="24"/>
        </w:rPr>
        <w:t xml:space="preserve"> указания на МВнР за изпълнение.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 заседанията на Координационната група по надзор на Шенгенската информационна систем</w:t>
      </w:r>
      <w:r w:rsidR="00A63F04">
        <w:rPr>
          <w:rFonts w:ascii="Times New Roman" w:hAnsi="Times New Roman" w:cs="Times New Roman"/>
          <w:sz w:val="24"/>
          <w:szCs w:val="24"/>
        </w:rPr>
        <w:t>а от второ поколение (ШИС II) се дискутират</w:t>
      </w:r>
      <w:r w:rsidRPr="00FD4C39">
        <w:rPr>
          <w:rFonts w:ascii="Times New Roman" w:hAnsi="Times New Roman" w:cs="Times New Roman"/>
          <w:sz w:val="24"/>
          <w:szCs w:val="24"/>
        </w:rPr>
        <w:t xml:space="preserve"> сигурността на информационната система, упражняването на правата на лицата и текущото развитие, както и изготвянето на предписания относно </w:t>
      </w:r>
      <w:r w:rsidR="00A63F04">
        <w:rPr>
          <w:rFonts w:ascii="Times New Roman" w:hAnsi="Times New Roman" w:cs="Times New Roman"/>
          <w:sz w:val="24"/>
          <w:szCs w:val="24"/>
        </w:rPr>
        <w:t>необходимите мерки за сигурност</w:t>
      </w:r>
      <w:r w:rsidRPr="00FD4C39">
        <w:rPr>
          <w:rFonts w:ascii="Times New Roman" w:hAnsi="Times New Roman" w:cs="Times New Roman"/>
          <w:sz w:val="24"/>
          <w:szCs w:val="24"/>
        </w:rPr>
        <w:t xml:space="preserve"> в случай на възлагане на част от обработването</w:t>
      </w:r>
      <w:r w:rsidR="00A63F04">
        <w:rPr>
          <w:rFonts w:ascii="Times New Roman" w:hAnsi="Times New Roman" w:cs="Times New Roman"/>
          <w:sz w:val="24"/>
          <w:szCs w:val="24"/>
        </w:rPr>
        <w:t xml:space="preserve"> на външни изпълнители. Обсъжда</w:t>
      </w:r>
      <w:r w:rsidRPr="00FD4C39">
        <w:rPr>
          <w:rFonts w:ascii="Times New Roman" w:hAnsi="Times New Roman" w:cs="Times New Roman"/>
          <w:sz w:val="24"/>
          <w:szCs w:val="24"/>
        </w:rPr>
        <w:t xml:space="preserve"> </w:t>
      </w:r>
      <w:r w:rsidR="00A63F04">
        <w:rPr>
          <w:rFonts w:ascii="Times New Roman" w:hAnsi="Times New Roman" w:cs="Times New Roman"/>
          <w:sz w:val="24"/>
          <w:szCs w:val="24"/>
        </w:rPr>
        <w:t>с</w:t>
      </w:r>
      <w:r w:rsidRPr="00FD4C39">
        <w:rPr>
          <w:rFonts w:ascii="Times New Roman" w:hAnsi="Times New Roman" w:cs="Times New Roman"/>
          <w:sz w:val="24"/>
          <w:szCs w:val="24"/>
        </w:rPr>
        <w:t>е актуализирането на каталога с добри практики, както и общите стандарти за решаване на проблеми в Шенгенската инфор</w:t>
      </w:r>
      <w:r w:rsidR="00A63F04">
        <w:rPr>
          <w:rFonts w:ascii="Times New Roman" w:hAnsi="Times New Roman" w:cs="Times New Roman"/>
          <w:sz w:val="24"/>
          <w:szCs w:val="24"/>
        </w:rPr>
        <w:t>мационна система. Дискутират се</w:t>
      </w:r>
      <w:r w:rsidRPr="00FD4C39">
        <w:rPr>
          <w:rFonts w:ascii="Times New Roman" w:hAnsi="Times New Roman" w:cs="Times New Roman"/>
          <w:sz w:val="24"/>
          <w:szCs w:val="24"/>
        </w:rPr>
        <w:t xml:space="preserve"> развитията по отношение на разработваната процедура за съобщаване на инциденти, както и увеличаването на жалбите от физически лица, подадени в националните бюра СИРЕНЕ.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35BC4"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 xml:space="preserve">2. Участие в международни конференции в областта на защита на данните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продължава участието в европейски и международни събития в областта на защитата на данните и неприкосновеността на личния живот.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b/>
          <w:sz w:val="24"/>
          <w:szCs w:val="24"/>
        </w:rPr>
        <w:t>2.1. Конференция на органите за защита на данните от Централна и Източна Европа</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Ежегодно в рамките на конференцията се обменят знания, опит и идеи с цел осъществяването на взаимодействие и изработване на унифицирани методи за действие на органите за защита на данните в региона. Основните теми, които се обсъждат, са модернизиране на европейската правна рамка за защита на данните, обмен на информация относно правната уредба и практиката на държавите, както и обработването на голям обем от данни. </w:t>
      </w:r>
    </w:p>
    <w:p w:rsidR="00F35BC4" w:rsidRPr="00FD4C39" w:rsidRDefault="00A63F04"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рамките на конференцията</w:t>
      </w:r>
      <w:r w:rsidR="00F35BC4" w:rsidRPr="00FD4C39">
        <w:rPr>
          <w:rFonts w:ascii="Times New Roman" w:hAnsi="Times New Roman" w:cs="Times New Roman"/>
          <w:sz w:val="24"/>
          <w:szCs w:val="24"/>
        </w:rPr>
        <w:t xml:space="preserve"> </w:t>
      </w:r>
      <w:r w:rsidR="00FE7018" w:rsidRPr="00FD4C39">
        <w:rPr>
          <w:rFonts w:ascii="Times New Roman" w:hAnsi="Times New Roman" w:cs="Times New Roman"/>
          <w:sz w:val="24"/>
          <w:szCs w:val="24"/>
        </w:rPr>
        <w:t>КЗЛД</w:t>
      </w:r>
      <w:r w:rsidR="006805F9" w:rsidRPr="00FD4C39">
        <w:rPr>
          <w:rFonts w:ascii="Times New Roman" w:hAnsi="Times New Roman" w:cs="Times New Roman"/>
          <w:sz w:val="24"/>
          <w:szCs w:val="24"/>
        </w:rPr>
        <w:t xml:space="preserve"> </w:t>
      </w:r>
      <w:r w:rsidR="00653892" w:rsidRPr="00FD4C39">
        <w:rPr>
          <w:rFonts w:ascii="Times New Roman" w:hAnsi="Times New Roman" w:cs="Times New Roman"/>
          <w:sz w:val="24"/>
          <w:szCs w:val="24"/>
        </w:rPr>
        <w:t>изнася</w:t>
      </w:r>
      <w:r w:rsidR="00F35BC4" w:rsidRPr="00FD4C39">
        <w:rPr>
          <w:rFonts w:ascii="Times New Roman" w:hAnsi="Times New Roman" w:cs="Times New Roman"/>
          <w:sz w:val="24"/>
          <w:szCs w:val="24"/>
        </w:rPr>
        <w:t xml:space="preserve"> презентация относно услугите, предоставяни в </w:t>
      </w:r>
      <w:r w:rsidR="004931E5" w:rsidRPr="00FD4C39">
        <w:rPr>
          <w:rFonts w:ascii="Times New Roman" w:hAnsi="Times New Roman" w:cs="Times New Roman"/>
          <w:sz w:val="24"/>
          <w:szCs w:val="24"/>
        </w:rPr>
        <w:t>„</w:t>
      </w:r>
      <w:r>
        <w:rPr>
          <w:rFonts w:ascii="Times New Roman" w:hAnsi="Times New Roman" w:cs="Times New Roman"/>
          <w:sz w:val="24"/>
          <w:szCs w:val="24"/>
        </w:rPr>
        <w:t>облака“</w:t>
      </w:r>
      <w:r w:rsidR="00F35BC4" w:rsidRPr="00FD4C39">
        <w:rPr>
          <w:rFonts w:ascii="Times New Roman" w:hAnsi="Times New Roman" w:cs="Times New Roman"/>
          <w:sz w:val="24"/>
          <w:szCs w:val="24"/>
        </w:rPr>
        <w:t>, основните рискове за личната неприкосновеност в условията на обработване на големи масиви с данни, новите принципи за защита на данните</w:t>
      </w:r>
      <w:r w:rsidR="004D42A2">
        <w:rPr>
          <w:rFonts w:ascii="Times New Roman" w:hAnsi="Times New Roman" w:cs="Times New Roman"/>
          <w:sz w:val="24"/>
          <w:szCs w:val="24"/>
        </w:rPr>
        <w:t xml:space="preserve"> – </w:t>
      </w:r>
      <w:r w:rsidR="00F35BC4" w:rsidRPr="00FD4C39">
        <w:rPr>
          <w:rFonts w:ascii="Times New Roman" w:hAnsi="Times New Roman" w:cs="Times New Roman"/>
          <w:sz w:val="24"/>
          <w:szCs w:val="24"/>
        </w:rPr>
        <w:t xml:space="preserve">по подразбиране, при проектиране, при </w:t>
      </w:r>
      <w:proofErr w:type="spellStart"/>
      <w:r w:rsidR="00F35BC4" w:rsidRPr="00FD4C39">
        <w:rPr>
          <w:rFonts w:ascii="Times New Roman" w:hAnsi="Times New Roman" w:cs="Times New Roman"/>
          <w:sz w:val="24"/>
          <w:szCs w:val="24"/>
        </w:rPr>
        <w:t>препроектиране</w:t>
      </w:r>
      <w:proofErr w:type="spellEnd"/>
      <w:r w:rsidR="00F35BC4" w:rsidRPr="00FD4C39">
        <w:rPr>
          <w:rFonts w:ascii="Times New Roman" w:hAnsi="Times New Roman" w:cs="Times New Roman"/>
          <w:sz w:val="24"/>
          <w:szCs w:val="24"/>
        </w:rPr>
        <w:t xml:space="preserve"> на системата, както и принципа на отчетност,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правото да бъдеш забравен</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откритост и прозрачност</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и основни въпроси </w:t>
      </w:r>
      <w:r w:rsidR="00F35BC4" w:rsidRPr="00FD4C39">
        <w:rPr>
          <w:rFonts w:ascii="Times New Roman" w:hAnsi="Times New Roman" w:cs="Times New Roman"/>
          <w:sz w:val="24"/>
          <w:szCs w:val="24"/>
        </w:rPr>
        <w:lastRenderedPageBreak/>
        <w:t xml:space="preserve">и задачи, които следва да бъдат решени с цел осигуряване защитата на личните данни в съвременното информационно общество. </w:t>
      </w:r>
    </w:p>
    <w:p w:rsidR="00F35BC4" w:rsidRPr="00FD4C39" w:rsidRDefault="00F35BC4" w:rsidP="007B189E">
      <w:pPr>
        <w:spacing w:after="0" w:line="360" w:lineRule="auto"/>
        <w:ind w:firstLine="709"/>
        <w:jc w:val="both"/>
        <w:rPr>
          <w:rFonts w:ascii="Times New Roman" w:hAnsi="Times New Roman" w:cs="Times New Roman"/>
          <w:b/>
          <w:sz w:val="24"/>
          <w:szCs w:val="24"/>
        </w:rPr>
      </w:pPr>
    </w:p>
    <w:p w:rsidR="00F35BC4" w:rsidRPr="00FD4C39" w:rsidRDefault="00F35BC4" w:rsidP="007B189E">
      <w:pPr>
        <w:spacing w:after="0" w:line="360" w:lineRule="auto"/>
        <w:ind w:firstLine="709"/>
        <w:jc w:val="both"/>
        <w:rPr>
          <w:rFonts w:ascii="Times New Roman" w:hAnsi="Times New Roman" w:cs="Times New Roman"/>
          <w:b/>
          <w:sz w:val="24"/>
          <w:szCs w:val="24"/>
        </w:rPr>
      </w:pPr>
      <w:r w:rsidRPr="00FD4C39">
        <w:rPr>
          <w:rFonts w:ascii="Times New Roman" w:hAnsi="Times New Roman" w:cs="Times New Roman"/>
          <w:b/>
          <w:sz w:val="24"/>
          <w:szCs w:val="24"/>
        </w:rPr>
        <w:t>2.</w:t>
      </w:r>
      <w:proofErr w:type="spellStart"/>
      <w:r w:rsidRPr="00FD4C39">
        <w:rPr>
          <w:rFonts w:ascii="Times New Roman" w:hAnsi="Times New Roman" w:cs="Times New Roman"/>
          <w:b/>
          <w:sz w:val="24"/>
          <w:szCs w:val="24"/>
        </w:rPr>
        <w:t>2</w:t>
      </w:r>
      <w:proofErr w:type="spellEnd"/>
      <w:r w:rsidRPr="00FD4C39">
        <w:rPr>
          <w:rFonts w:ascii="Times New Roman" w:hAnsi="Times New Roman" w:cs="Times New Roman"/>
          <w:b/>
          <w:sz w:val="24"/>
          <w:szCs w:val="24"/>
        </w:rPr>
        <w:t>. Заседания на представители на националните органи за защита на данните за прилагането на Регламент 611/2013/ЕО</w:t>
      </w:r>
      <w:r w:rsidRPr="00FD4C39">
        <w:rPr>
          <w:rFonts w:ascii="Times New Roman" w:hAnsi="Times New Roman" w:cs="Times New Roman"/>
          <w:sz w:val="24"/>
          <w:szCs w:val="24"/>
        </w:rPr>
        <w:t xml:space="preserve"> </w:t>
      </w:r>
      <w:r w:rsidRPr="00FD4C39">
        <w:rPr>
          <w:rFonts w:ascii="Times New Roman" w:hAnsi="Times New Roman" w:cs="Times New Roman"/>
          <w:b/>
          <w:sz w:val="24"/>
          <w:szCs w:val="24"/>
        </w:rPr>
        <w:t xml:space="preserve">относно мерките, приложими за съобщаването на нарушенията на сигурността на личните данни съгласно Директива 2002/58/ЕО за правото на неприкосновеност на личния живот и електронните комуникации </w:t>
      </w:r>
    </w:p>
    <w:p w:rsidR="00F35BC4" w:rsidRPr="00FD4C39" w:rsidRDefault="00A63F04"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проведените заседания се </w:t>
      </w:r>
      <w:r w:rsidR="00F35BC4" w:rsidRPr="00FD4C39">
        <w:rPr>
          <w:rFonts w:ascii="Times New Roman" w:hAnsi="Times New Roman" w:cs="Times New Roman"/>
          <w:sz w:val="24"/>
          <w:szCs w:val="24"/>
        </w:rPr>
        <w:t>обсъ</w:t>
      </w:r>
      <w:r>
        <w:rPr>
          <w:rFonts w:ascii="Times New Roman" w:hAnsi="Times New Roman" w:cs="Times New Roman"/>
          <w:sz w:val="24"/>
          <w:szCs w:val="24"/>
        </w:rPr>
        <w:t>жда</w:t>
      </w:r>
      <w:r w:rsidR="00F35BC4" w:rsidRPr="00FD4C39">
        <w:rPr>
          <w:rFonts w:ascii="Times New Roman" w:hAnsi="Times New Roman" w:cs="Times New Roman"/>
          <w:sz w:val="24"/>
          <w:szCs w:val="24"/>
        </w:rPr>
        <w:t xml:space="preserve"> активността на държавите членки по реализирането на разпоредбите на Регламент 611/2013, установяването на една обща форма на уведомяване, както и еднаквото оценяване на нарушенията с цел подобряване на взаимодействието между страните, взаимодействието между администраторите на лични данни, обработващите, гражданите и органите за защита на данните, изготвянето на списък с подходящи технологични мерки за защита, връзката с другите правни инструменти, последните развития в нормативната база на информационната и мрежовата сигурност и необходимостта от уведомяване при неразбираеми или </w:t>
      </w:r>
      <w:proofErr w:type="spellStart"/>
      <w:r w:rsidR="00F35BC4" w:rsidRPr="00FD4C39">
        <w:rPr>
          <w:rFonts w:ascii="Times New Roman" w:hAnsi="Times New Roman" w:cs="Times New Roman"/>
          <w:sz w:val="24"/>
          <w:szCs w:val="24"/>
        </w:rPr>
        <w:t>анонимизирани</w:t>
      </w:r>
      <w:proofErr w:type="spellEnd"/>
      <w:r w:rsidR="00F35BC4" w:rsidRPr="00FD4C39">
        <w:rPr>
          <w:rFonts w:ascii="Times New Roman" w:hAnsi="Times New Roman" w:cs="Times New Roman"/>
          <w:sz w:val="24"/>
          <w:szCs w:val="24"/>
        </w:rPr>
        <w:t xml:space="preserve"> данни.</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35BC4" w:rsidP="007B189E">
      <w:pPr>
        <w:spacing w:after="0" w:line="360" w:lineRule="auto"/>
        <w:ind w:firstLine="709"/>
        <w:jc w:val="both"/>
        <w:rPr>
          <w:rFonts w:ascii="Times New Roman" w:hAnsi="Times New Roman" w:cs="Times New Roman"/>
          <w:b/>
          <w:sz w:val="24"/>
          <w:szCs w:val="24"/>
        </w:rPr>
      </w:pPr>
      <w:r w:rsidRPr="00FD4C39">
        <w:rPr>
          <w:rFonts w:ascii="Times New Roman" w:hAnsi="Times New Roman" w:cs="Times New Roman"/>
          <w:b/>
          <w:sz w:val="24"/>
          <w:szCs w:val="24"/>
        </w:rPr>
        <w:t>2.3. Европейска конференция на органите за защита на личните данни</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Фокус на Конференцията е сътрудничеството между органите за защита на личните данни и подобряване на с</w:t>
      </w:r>
      <w:r w:rsidR="00A63F04">
        <w:rPr>
          <w:rFonts w:ascii="Times New Roman" w:hAnsi="Times New Roman" w:cs="Times New Roman"/>
          <w:sz w:val="24"/>
          <w:szCs w:val="24"/>
        </w:rPr>
        <w:t>ъвместната работа. Разглеждат се</w:t>
      </w:r>
      <w:r w:rsidRPr="00FD4C39">
        <w:rPr>
          <w:rFonts w:ascii="Times New Roman" w:hAnsi="Times New Roman" w:cs="Times New Roman"/>
          <w:sz w:val="24"/>
          <w:szCs w:val="24"/>
        </w:rPr>
        <w:t xml:space="preserve"> също и текущото състояние на европейското и международното сътрудничество при осъществяване на защитата на личните данни, очакванията в тази връзка от органите за защита на данните, гражданите и </w:t>
      </w:r>
      <w:r w:rsidR="00B94345" w:rsidRPr="00FD4C39">
        <w:rPr>
          <w:rFonts w:ascii="Times New Roman" w:hAnsi="Times New Roman" w:cs="Times New Roman"/>
          <w:sz w:val="24"/>
          <w:szCs w:val="24"/>
        </w:rPr>
        <w:t>АЛД и</w:t>
      </w:r>
      <w:r w:rsidRPr="00FD4C39">
        <w:rPr>
          <w:rFonts w:ascii="Times New Roman" w:hAnsi="Times New Roman" w:cs="Times New Roman"/>
          <w:sz w:val="24"/>
          <w:szCs w:val="24"/>
        </w:rPr>
        <w:t xml:space="preserve"> вижданията за развитие </w:t>
      </w:r>
      <w:r w:rsidR="00A63F04">
        <w:rPr>
          <w:rFonts w:ascii="Times New Roman" w:hAnsi="Times New Roman" w:cs="Times New Roman"/>
          <w:sz w:val="24"/>
          <w:szCs w:val="24"/>
        </w:rPr>
        <w:t>на сътрудничеството. Представя</w:t>
      </w:r>
      <w:r w:rsidRPr="00FD4C39">
        <w:rPr>
          <w:rFonts w:ascii="Times New Roman" w:hAnsi="Times New Roman" w:cs="Times New Roman"/>
          <w:sz w:val="24"/>
          <w:szCs w:val="24"/>
        </w:rPr>
        <w:t xml:space="preserve"> с</w:t>
      </w:r>
      <w:r w:rsidR="00A63F04">
        <w:rPr>
          <w:rFonts w:ascii="Times New Roman" w:hAnsi="Times New Roman" w:cs="Times New Roman"/>
          <w:sz w:val="24"/>
          <w:szCs w:val="24"/>
        </w:rPr>
        <w:t>е</w:t>
      </w:r>
      <w:r w:rsidRPr="00FD4C39">
        <w:rPr>
          <w:rFonts w:ascii="Times New Roman" w:hAnsi="Times New Roman" w:cs="Times New Roman"/>
          <w:sz w:val="24"/>
          <w:szCs w:val="24"/>
        </w:rPr>
        <w:t xml:space="preserve"> наръчник по европейската правна рамка за защита на личните данни, издаден от Съвета на Европа и Агенцията </w:t>
      </w:r>
      <w:r w:rsidR="00503573">
        <w:rPr>
          <w:rFonts w:ascii="Times New Roman" w:hAnsi="Times New Roman" w:cs="Times New Roman"/>
          <w:sz w:val="24"/>
          <w:szCs w:val="24"/>
        </w:rPr>
        <w:t>на ЕС за основните права. Приемат</w:t>
      </w:r>
      <w:r w:rsidRPr="00FD4C39">
        <w:rPr>
          <w:rFonts w:ascii="Times New Roman" w:hAnsi="Times New Roman" w:cs="Times New Roman"/>
          <w:sz w:val="24"/>
          <w:szCs w:val="24"/>
        </w:rPr>
        <w:t xml:space="preserve"> с</w:t>
      </w:r>
      <w:r w:rsidR="00503573">
        <w:rPr>
          <w:rFonts w:ascii="Times New Roman" w:hAnsi="Times New Roman" w:cs="Times New Roman"/>
          <w:sz w:val="24"/>
          <w:szCs w:val="24"/>
        </w:rPr>
        <w:t>е</w:t>
      </w:r>
      <w:r w:rsidRPr="00FD4C39">
        <w:rPr>
          <w:rFonts w:ascii="Times New Roman" w:hAnsi="Times New Roman" w:cs="Times New Roman"/>
          <w:sz w:val="24"/>
          <w:szCs w:val="24"/>
        </w:rPr>
        <w:t xml:space="preserve"> резолюции относно преразглеждането на Конвенция 108/81/ЕО за защита на лицата при автоматизирана обработка на лични данни и относно акредитацията на органа за защита на данните на Грузия за член на Европейската конференция със статут на европейски национален орган по защита на данните.</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6F7939" w:rsidRDefault="006F7939" w:rsidP="007B189E">
      <w:pPr>
        <w:autoSpaceDE w:val="0"/>
        <w:autoSpaceDN w:val="0"/>
        <w:adjustRightInd w:val="0"/>
        <w:spacing w:after="0" w:line="360" w:lineRule="auto"/>
        <w:ind w:firstLine="709"/>
        <w:jc w:val="both"/>
        <w:rPr>
          <w:rFonts w:ascii="Times New Roman" w:hAnsi="Times New Roman" w:cs="Times New Roman"/>
          <w:b/>
          <w:sz w:val="24"/>
          <w:szCs w:val="24"/>
        </w:rPr>
      </w:pPr>
    </w:p>
    <w:p w:rsidR="006F7939" w:rsidRDefault="006F7939" w:rsidP="007B189E">
      <w:pPr>
        <w:autoSpaceDE w:val="0"/>
        <w:autoSpaceDN w:val="0"/>
        <w:adjustRightInd w:val="0"/>
        <w:spacing w:after="0" w:line="360" w:lineRule="auto"/>
        <w:ind w:firstLine="709"/>
        <w:jc w:val="both"/>
        <w:rPr>
          <w:rFonts w:ascii="Times New Roman" w:hAnsi="Times New Roman" w:cs="Times New Roman"/>
          <w:b/>
          <w:sz w:val="24"/>
          <w:szCs w:val="24"/>
        </w:rPr>
      </w:pPr>
    </w:p>
    <w:p w:rsidR="00F35BC4" w:rsidRPr="00FD4C39" w:rsidRDefault="00503573" w:rsidP="007B189E">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2.4. 36-</w:t>
      </w:r>
      <w:r w:rsidR="00F35BC4" w:rsidRPr="00FD4C39">
        <w:rPr>
          <w:rFonts w:ascii="Times New Roman" w:hAnsi="Times New Roman" w:cs="Times New Roman"/>
          <w:b/>
          <w:sz w:val="24"/>
          <w:szCs w:val="24"/>
        </w:rPr>
        <w:t xml:space="preserve">а </w:t>
      </w:r>
      <w:r>
        <w:rPr>
          <w:rFonts w:ascii="Times New Roman" w:hAnsi="Times New Roman" w:cs="Times New Roman"/>
          <w:b/>
          <w:sz w:val="24"/>
          <w:szCs w:val="24"/>
        </w:rPr>
        <w:t>м</w:t>
      </w:r>
      <w:r w:rsidR="00F35BC4" w:rsidRPr="00FD4C39">
        <w:rPr>
          <w:rFonts w:ascii="Times New Roman" w:hAnsi="Times New Roman" w:cs="Times New Roman"/>
          <w:b/>
          <w:sz w:val="24"/>
          <w:szCs w:val="24"/>
        </w:rPr>
        <w:t>еждународна конференция на органите за защита на данните и неприкосновеността</w:t>
      </w:r>
    </w:p>
    <w:p w:rsidR="00F35BC4" w:rsidRPr="00FD4C39" w:rsidRDefault="00F35BC4" w:rsidP="007B189E">
      <w:pPr>
        <w:autoSpaceDE w:val="0"/>
        <w:autoSpaceDN w:val="0"/>
        <w:adjustRightInd w:val="0"/>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конференцията</w:t>
      </w:r>
      <w:r w:rsidRPr="00FD4C39">
        <w:rPr>
          <w:rFonts w:ascii="Times New Roman" w:hAnsi="Times New Roman" w:cs="Times New Roman"/>
          <w:b/>
          <w:sz w:val="24"/>
          <w:szCs w:val="24"/>
        </w:rPr>
        <w:t xml:space="preserve"> </w:t>
      </w:r>
      <w:r w:rsidRPr="00FD4C39">
        <w:rPr>
          <w:rFonts w:ascii="Times New Roman" w:hAnsi="Times New Roman" w:cs="Times New Roman"/>
          <w:sz w:val="24"/>
          <w:szCs w:val="24"/>
        </w:rPr>
        <w:t>премина</w:t>
      </w:r>
      <w:r w:rsidR="00B60DF4">
        <w:rPr>
          <w:rFonts w:ascii="Times New Roman" w:hAnsi="Times New Roman" w:cs="Times New Roman"/>
          <w:sz w:val="24"/>
          <w:szCs w:val="24"/>
        </w:rPr>
        <w:t>ва</w:t>
      </w:r>
      <w:r w:rsidRPr="00FD4C39">
        <w:rPr>
          <w:rFonts w:ascii="Times New Roman" w:hAnsi="Times New Roman" w:cs="Times New Roman"/>
          <w:sz w:val="24"/>
          <w:szCs w:val="24"/>
        </w:rPr>
        <w:t xml:space="preserve"> под мотото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Световен ред в защитата на личните данни</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сбъдва ли се нашата мечта</w:t>
      </w:r>
      <w:r w:rsidR="00CF0F1F" w:rsidRPr="00FD4C39">
        <w:rPr>
          <w:rFonts w:ascii="Times New Roman" w:hAnsi="Times New Roman" w:cs="Times New Roman"/>
          <w:sz w:val="24"/>
          <w:szCs w:val="24"/>
        </w:rPr>
        <w:t>“</w:t>
      </w:r>
      <w:r w:rsidRPr="00FD4C39">
        <w:rPr>
          <w:rFonts w:ascii="Times New Roman" w:hAnsi="Times New Roman" w:cs="Times New Roman"/>
          <w:sz w:val="24"/>
          <w:szCs w:val="24"/>
        </w:rPr>
        <w:t xml:space="preserve">, като обединяващата тема е необходимостта от единна ефективна система за защита на данните в международен мащаб. </w:t>
      </w:r>
    </w:p>
    <w:p w:rsidR="00F35BC4" w:rsidRPr="00FD4C39" w:rsidRDefault="00387525" w:rsidP="007B189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Представят</w:t>
      </w:r>
      <w:r w:rsidR="00F35BC4" w:rsidRPr="00FD4C39">
        <w:rPr>
          <w:rFonts w:ascii="Times New Roman" w:hAnsi="Times New Roman" w:cs="Times New Roman"/>
          <w:sz w:val="24"/>
          <w:szCs w:val="24"/>
        </w:rPr>
        <w:t xml:space="preserve"> с</w:t>
      </w:r>
      <w:r>
        <w:rPr>
          <w:rFonts w:ascii="Times New Roman" w:hAnsi="Times New Roman" w:cs="Times New Roman"/>
          <w:sz w:val="24"/>
          <w:szCs w:val="24"/>
        </w:rPr>
        <w:t>е</w:t>
      </w:r>
      <w:r w:rsidR="00F35BC4" w:rsidRPr="00FD4C39">
        <w:rPr>
          <w:rFonts w:ascii="Times New Roman" w:hAnsi="Times New Roman" w:cs="Times New Roman"/>
          <w:sz w:val="24"/>
          <w:szCs w:val="24"/>
        </w:rPr>
        <w:t xml:space="preserve"> перспективите за взаимосвързани системи за защита на данните и усъвършенствани технологии за повишаване на</w:t>
      </w:r>
      <w:r>
        <w:rPr>
          <w:rFonts w:ascii="Times New Roman" w:hAnsi="Times New Roman" w:cs="Times New Roman"/>
          <w:sz w:val="24"/>
          <w:szCs w:val="24"/>
        </w:rPr>
        <w:t xml:space="preserve"> неприкосновеността. Дискутира</w:t>
      </w:r>
      <w:r w:rsidR="00F35BC4" w:rsidRPr="00FD4C39">
        <w:rPr>
          <w:rFonts w:ascii="Times New Roman" w:hAnsi="Times New Roman" w:cs="Times New Roman"/>
          <w:sz w:val="24"/>
          <w:szCs w:val="24"/>
        </w:rPr>
        <w:t xml:space="preserve"> </w:t>
      </w:r>
      <w:r>
        <w:rPr>
          <w:rFonts w:ascii="Times New Roman" w:hAnsi="Times New Roman" w:cs="Times New Roman"/>
          <w:sz w:val="24"/>
          <w:szCs w:val="24"/>
        </w:rPr>
        <w:t>с</w:t>
      </w:r>
      <w:r w:rsidR="00F35BC4" w:rsidRPr="00FD4C39">
        <w:rPr>
          <w:rFonts w:ascii="Times New Roman" w:hAnsi="Times New Roman" w:cs="Times New Roman"/>
          <w:sz w:val="24"/>
          <w:szCs w:val="24"/>
        </w:rPr>
        <w:t xml:space="preserve">е синхронизирането на правилата за трансгранична защита и аспектите на електронното </w:t>
      </w:r>
      <w:r>
        <w:rPr>
          <w:rFonts w:ascii="Times New Roman" w:hAnsi="Times New Roman" w:cs="Times New Roman"/>
          <w:sz w:val="24"/>
          <w:szCs w:val="24"/>
        </w:rPr>
        <w:t>здравеопазване, както и принципът</w:t>
      </w:r>
      <w:r w:rsidR="00F35BC4" w:rsidRPr="00FD4C39">
        <w:rPr>
          <w:rFonts w:ascii="Times New Roman" w:hAnsi="Times New Roman" w:cs="Times New Roman"/>
          <w:sz w:val="24"/>
          <w:szCs w:val="24"/>
        </w:rPr>
        <w:t xml:space="preserve"> за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обслужване от едно гише</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и ефективно правоприлагане.</w:t>
      </w:r>
    </w:p>
    <w:p w:rsidR="00F35BC4" w:rsidRPr="00FD4C39" w:rsidRDefault="00387525" w:rsidP="007B189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конференцията се</w:t>
      </w:r>
      <w:r w:rsidR="00F35BC4" w:rsidRPr="00FD4C39">
        <w:rPr>
          <w:rFonts w:ascii="Times New Roman" w:hAnsi="Times New Roman" w:cs="Times New Roman"/>
          <w:sz w:val="24"/>
          <w:szCs w:val="24"/>
        </w:rPr>
        <w:t xml:space="preserve"> прие</w:t>
      </w:r>
      <w:r>
        <w:rPr>
          <w:rFonts w:ascii="Times New Roman" w:hAnsi="Times New Roman" w:cs="Times New Roman"/>
          <w:sz w:val="24"/>
          <w:szCs w:val="24"/>
        </w:rPr>
        <w:t>м</w:t>
      </w:r>
      <w:r w:rsidR="00F35BC4" w:rsidRPr="00FD4C39">
        <w:rPr>
          <w:rFonts w:ascii="Times New Roman" w:hAnsi="Times New Roman" w:cs="Times New Roman"/>
          <w:sz w:val="24"/>
          <w:szCs w:val="24"/>
        </w:rPr>
        <w:t xml:space="preserve">а декларация </w:t>
      </w:r>
      <w:r w:rsidR="004931E5" w:rsidRPr="00FD4C39">
        <w:rPr>
          <w:rFonts w:ascii="Times New Roman" w:hAnsi="Times New Roman" w:cs="Times New Roman"/>
          <w:sz w:val="24"/>
          <w:szCs w:val="24"/>
        </w:rPr>
        <w:t>„</w:t>
      </w:r>
      <w:r>
        <w:rPr>
          <w:rFonts w:ascii="Times New Roman" w:hAnsi="Times New Roman" w:cs="Times New Roman"/>
          <w:sz w:val="24"/>
          <w:szCs w:val="24"/>
        </w:rPr>
        <w:t xml:space="preserve">Интернет </w:t>
      </w:r>
      <w:r w:rsidR="00F35BC4" w:rsidRPr="00FD4C39">
        <w:rPr>
          <w:rFonts w:ascii="Times New Roman" w:hAnsi="Times New Roman" w:cs="Times New Roman"/>
          <w:sz w:val="24"/>
          <w:szCs w:val="24"/>
        </w:rPr>
        <w:t>свързани устройства/неща</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и резолюциите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Неприкосновеността в цифровия свят</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Големите данни</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w:t>
      </w:r>
      <w:r w:rsidR="004931E5" w:rsidRPr="00FD4C39">
        <w:rPr>
          <w:rFonts w:ascii="Times New Roman" w:hAnsi="Times New Roman" w:cs="Times New Roman"/>
          <w:sz w:val="24"/>
          <w:szCs w:val="24"/>
        </w:rPr>
        <w:t>„</w:t>
      </w:r>
      <w:r w:rsidR="00F35BC4" w:rsidRPr="00FD4C39">
        <w:rPr>
          <w:rFonts w:ascii="Times New Roman" w:hAnsi="Times New Roman" w:cs="Times New Roman"/>
          <w:sz w:val="24"/>
          <w:szCs w:val="24"/>
        </w:rPr>
        <w:t>Сътрудничество в правоприлагането</w:t>
      </w:r>
      <w:r w:rsidR="00CF0F1F" w:rsidRPr="00FD4C39">
        <w:rPr>
          <w:rFonts w:ascii="Times New Roman" w:hAnsi="Times New Roman" w:cs="Times New Roman"/>
          <w:sz w:val="24"/>
          <w:szCs w:val="24"/>
        </w:rPr>
        <w:t>“</w:t>
      </w:r>
      <w:r w:rsidR="00F35BC4" w:rsidRPr="00FD4C39">
        <w:rPr>
          <w:rFonts w:ascii="Times New Roman" w:hAnsi="Times New Roman" w:cs="Times New Roman"/>
          <w:sz w:val="24"/>
          <w:szCs w:val="24"/>
        </w:rPr>
        <w:t xml:space="preserve"> и относно акредитирането на нови</w:t>
      </w:r>
      <w:r>
        <w:rPr>
          <w:rFonts w:ascii="Times New Roman" w:hAnsi="Times New Roman" w:cs="Times New Roman"/>
          <w:sz w:val="24"/>
          <w:szCs w:val="24"/>
        </w:rPr>
        <w:t xml:space="preserve"> членове и наблюдатели. Приема се</w:t>
      </w:r>
      <w:r w:rsidR="00F35BC4" w:rsidRPr="00FD4C39">
        <w:rPr>
          <w:rFonts w:ascii="Times New Roman" w:hAnsi="Times New Roman" w:cs="Times New Roman"/>
          <w:sz w:val="24"/>
          <w:szCs w:val="24"/>
        </w:rPr>
        <w:t xml:space="preserve"> и бланково Споразумение за трансгранично сътрудничество в правоприлагането в сферата на защитата на личните данни, с което се цели създаването на процедурни правила, които да улеснят органите за защита на данните при прилагане на техните контролни правомощия и обмяната на информация между тях. </w:t>
      </w:r>
    </w:p>
    <w:p w:rsidR="00F35BC4" w:rsidRPr="00FD4C39" w:rsidRDefault="00387525" w:rsidP="007B189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рамките на конференцията</w:t>
      </w:r>
      <w:r w:rsidR="00F35BC4" w:rsidRPr="00FD4C39">
        <w:rPr>
          <w:rFonts w:ascii="Times New Roman" w:hAnsi="Times New Roman" w:cs="Times New Roman"/>
          <w:sz w:val="24"/>
          <w:szCs w:val="24"/>
        </w:rPr>
        <w:t xml:space="preserve"> </w:t>
      </w:r>
      <w:r w:rsidR="00FE7018" w:rsidRPr="00FD4C39">
        <w:rPr>
          <w:rFonts w:ascii="Times New Roman" w:hAnsi="Times New Roman" w:cs="Times New Roman"/>
          <w:sz w:val="24"/>
          <w:szCs w:val="24"/>
        </w:rPr>
        <w:t>КЗЛД</w:t>
      </w:r>
      <w:r w:rsidR="00A227D6" w:rsidRPr="00FD4C39">
        <w:rPr>
          <w:rFonts w:ascii="Times New Roman" w:hAnsi="Times New Roman" w:cs="Times New Roman"/>
          <w:sz w:val="24"/>
          <w:szCs w:val="24"/>
        </w:rPr>
        <w:t xml:space="preserve"> </w:t>
      </w:r>
      <w:r>
        <w:rPr>
          <w:rFonts w:ascii="Times New Roman" w:hAnsi="Times New Roman" w:cs="Times New Roman"/>
          <w:sz w:val="24"/>
          <w:szCs w:val="24"/>
        </w:rPr>
        <w:t>заявява</w:t>
      </w:r>
      <w:r w:rsidR="00F35BC4" w:rsidRPr="00FD4C39">
        <w:rPr>
          <w:rFonts w:ascii="Times New Roman" w:hAnsi="Times New Roman" w:cs="Times New Roman"/>
          <w:sz w:val="24"/>
          <w:szCs w:val="24"/>
        </w:rPr>
        <w:t xml:space="preserve"> желанието и готовността на българския надзоре</w:t>
      </w:r>
      <w:r>
        <w:rPr>
          <w:rFonts w:ascii="Times New Roman" w:hAnsi="Times New Roman" w:cs="Times New Roman"/>
          <w:sz w:val="24"/>
          <w:szCs w:val="24"/>
        </w:rPr>
        <w:t>н орган да бъде домакин на 40-ата</w:t>
      </w:r>
      <w:r w:rsidR="00F35BC4" w:rsidRPr="00FD4C39">
        <w:rPr>
          <w:rFonts w:ascii="Times New Roman" w:hAnsi="Times New Roman" w:cs="Times New Roman"/>
          <w:sz w:val="24"/>
          <w:szCs w:val="24"/>
        </w:rPr>
        <w:t xml:space="preserve"> </w:t>
      </w:r>
      <w:r>
        <w:rPr>
          <w:rFonts w:ascii="Times New Roman" w:hAnsi="Times New Roman" w:cs="Times New Roman"/>
          <w:sz w:val="24"/>
          <w:szCs w:val="24"/>
        </w:rPr>
        <w:t>м</w:t>
      </w:r>
      <w:r w:rsidR="00F35BC4" w:rsidRPr="00FD4C39">
        <w:rPr>
          <w:rFonts w:ascii="Times New Roman" w:hAnsi="Times New Roman" w:cs="Times New Roman"/>
          <w:sz w:val="24"/>
          <w:szCs w:val="24"/>
        </w:rPr>
        <w:t>еждународна конференция на органите по защита на данните и неприкосновеността, която ще се проведе през есента на 2018</w:t>
      </w:r>
      <w:r w:rsidR="004D42A2">
        <w:rPr>
          <w:rFonts w:ascii="Times New Roman" w:hAnsi="Times New Roman" w:cs="Times New Roman"/>
          <w:sz w:val="24"/>
          <w:szCs w:val="24"/>
        </w:rPr>
        <w:t> г.</w:t>
      </w:r>
      <w:r w:rsidR="00F35BC4" w:rsidRPr="00FD4C39">
        <w:rPr>
          <w:rFonts w:ascii="Times New Roman" w:hAnsi="Times New Roman" w:cs="Times New Roman"/>
          <w:sz w:val="24"/>
          <w:szCs w:val="24"/>
        </w:rPr>
        <w:t xml:space="preserve"> Това е и годината на българското председателство на Съвета на Европейския съюз.</w:t>
      </w:r>
    </w:p>
    <w:p w:rsidR="00F35BC4" w:rsidRPr="00FD4C39" w:rsidRDefault="00F35BC4" w:rsidP="007B189E">
      <w:pPr>
        <w:autoSpaceDE w:val="0"/>
        <w:autoSpaceDN w:val="0"/>
        <w:adjustRightInd w:val="0"/>
        <w:spacing w:after="0" w:line="360" w:lineRule="auto"/>
        <w:ind w:firstLine="709"/>
        <w:jc w:val="both"/>
        <w:rPr>
          <w:rFonts w:ascii="Times New Roman" w:hAnsi="Times New Roman" w:cs="Times New Roman"/>
          <w:sz w:val="24"/>
          <w:szCs w:val="24"/>
        </w:rPr>
      </w:pPr>
    </w:p>
    <w:p w:rsidR="00F35BC4" w:rsidRPr="00FD4C39" w:rsidRDefault="00F35BC4" w:rsidP="007B189E">
      <w:pPr>
        <w:spacing w:after="0" w:line="360" w:lineRule="auto"/>
        <w:ind w:firstLine="709"/>
        <w:jc w:val="both"/>
        <w:rPr>
          <w:rFonts w:ascii="Times New Roman" w:hAnsi="Times New Roman" w:cs="Times New Roman"/>
          <w:b/>
          <w:sz w:val="24"/>
          <w:szCs w:val="24"/>
        </w:rPr>
      </w:pPr>
      <w:r w:rsidRPr="00FD4C39">
        <w:rPr>
          <w:rFonts w:ascii="Times New Roman" w:hAnsi="Times New Roman" w:cs="Times New Roman"/>
          <w:b/>
          <w:sz w:val="24"/>
          <w:szCs w:val="24"/>
        </w:rPr>
        <w:t>3. Регионално сътрудничество със сродни органи за защита на личните данни</w:t>
      </w:r>
    </w:p>
    <w:p w:rsidR="00F35BC4" w:rsidRPr="00FD4C39" w:rsidRDefault="00387525"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През отчетния период се реализира</w:t>
      </w:r>
      <w:r w:rsidR="00F35BC4" w:rsidRPr="00FD4C39">
        <w:rPr>
          <w:rFonts w:ascii="Times New Roman" w:hAnsi="Times New Roman" w:cs="Times New Roman"/>
          <w:sz w:val="24"/>
          <w:szCs w:val="24"/>
        </w:rPr>
        <w:t xml:space="preserve"> партньорство на </w:t>
      </w:r>
      <w:r w:rsidR="00FE7018" w:rsidRPr="00FD4C39">
        <w:rPr>
          <w:rFonts w:ascii="Times New Roman" w:hAnsi="Times New Roman" w:cs="Times New Roman"/>
          <w:sz w:val="24"/>
          <w:szCs w:val="24"/>
        </w:rPr>
        <w:t>КЗЛД</w:t>
      </w:r>
      <w:r w:rsidR="006805F9" w:rsidRPr="00FD4C39">
        <w:rPr>
          <w:rFonts w:ascii="Times New Roman" w:hAnsi="Times New Roman" w:cs="Times New Roman"/>
          <w:sz w:val="24"/>
          <w:szCs w:val="24"/>
        </w:rPr>
        <w:t xml:space="preserve"> </w:t>
      </w:r>
      <w:r w:rsidR="00F35BC4" w:rsidRPr="00FD4C39">
        <w:rPr>
          <w:rFonts w:ascii="Times New Roman" w:hAnsi="Times New Roman" w:cs="Times New Roman"/>
          <w:sz w:val="24"/>
          <w:szCs w:val="24"/>
        </w:rPr>
        <w:t>с Дирекцията за защита на личните данни на Република Македония в рамките на инструмента за техническо подпомагане и информационен обмен (TAIEX), чийто бенефициент е македонският орган. Целта на проекта е обмяната на законодателен и практически опит между двата органа, като същевременно се направи съпоставка на техните контролни правомощия и се обсъдят възможностите за изграждане на координиран подход за провеждане на съвместни операции в областта на защитата на личните данни с трансграничен характ</w:t>
      </w:r>
      <w:r>
        <w:rPr>
          <w:rFonts w:ascii="Times New Roman" w:hAnsi="Times New Roman" w:cs="Times New Roman"/>
          <w:sz w:val="24"/>
          <w:szCs w:val="24"/>
        </w:rPr>
        <w:t>ер, както и да се идентифицират</w:t>
      </w:r>
      <w:r w:rsidR="00F35BC4" w:rsidRPr="00FD4C39">
        <w:rPr>
          <w:rFonts w:ascii="Times New Roman" w:hAnsi="Times New Roman" w:cs="Times New Roman"/>
          <w:sz w:val="24"/>
          <w:szCs w:val="24"/>
        </w:rPr>
        <w:t xml:space="preserve"> и преодолеят възможни </w:t>
      </w:r>
      <w:r w:rsidR="00F35BC4" w:rsidRPr="00FD4C39">
        <w:rPr>
          <w:rFonts w:ascii="Times New Roman" w:hAnsi="Times New Roman" w:cs="Times New Roman"/>
          <w:sz w:val="24"/>
          <w:szCs w:val="24"/>
        </w:rPr>
        <w:lastRenderedPageBreak/>
        <w:t>проблем</w:t>
      </w:r>
      <w:r w:rsidR="00725458">
        <w:rPr>
          <w:rFonts w:ascii="Times New Roman" w:hAnsi="Times New Roman" w:cs="Times New Roman"/>
          <w:sz w:val="24"/>
          <w:szCs w:val="24"/>
        </w:rPr>
        <w:t>и. При провеждането на проекта се</w:t>
      </w:r>
      <w:r w:rsidR="00F35BC4" w:rsidRPr="00FD4C39">
        <w:rPr>
          <w:rFonts w:ascii="Times New Roman" w:hAnsi="Times New Roman" w:cs="Times New Roman"/>
          <w:sz w:val="24"/>
          <w:szCs w:val="24"/>
        </w:rPr>
        <w:t xml:space="preserve"> отч</w:t>
      </w:r>
      <w:r w:rsidR="00725458">
        <w:rPr>
          <w:rFonts w:ascii="Times New Roman" w:hAnsi="Times New Roman" w:cs="Times New Roman"/>
          <w:sz w:val="24"/>
          <w:szCs w:val="24"/>
        </w:rPr>
        <w:t>ита</w:t>
      </w:r>
      <w:r w:rsidR="00F35BC4" w:rsidRPr="00FD4C39">
        <w:rPr>
          <w:rFonts w:ascii="Times New Roman" w:hAnsi="Times New Roman" w:cs="Times New Roman"/>
          <w:sz w:val="24"/>
          <w:szCs w:val="24"/>
        </w:rPr>
        <w:t xml:space="preserve"> преобладаващото икономическо присъствие на мултинационални компании, които извършват непрекъснат обмен на информация, както и залагането в настоящата реформа на законодателството в сферата на защитата на данните, на засилено сътрудничество между надзорните органи.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Програмата за обучение включва представяне на правомощията и методологията за извършване на проверки, </w:t>
      </w:r>
      <w:proofErr w:type="spellStart"/>
      <w:r w:rsidRPr="00FD4C39">
        <w:rPr>
          <w:rFonts w:ascii="Times New Roman" w:hAnsi="Times New Roman" w:cs="Times New Roman"/>
          <w:sz w:val="24"/>
          <w:szCs w:val="24"/>
        </w:rPr>
        <w:t>симулативна</w:t>
      </w:r>
      <w:proofErr w:type="spellEnd"/>
      <w:r w:rsidRPr="00FD4C39">
        <w:rPr>
          <w:rFonts w:ascii="Times New Roman" w:hAnsi="Times New Roman" w:cs="Times New Roman"/>
          <w:sz w:val="24"/>
          <w:szCs w:val="24"/>
        </w:rPr>
        <w:t xml:space="preserve"> проверка на български </w:t>
      </w:r>
      <w:r w:rsidR="00580030" w:rsidRPr="00FD4C39">
        <w:rPr>
          <w:rFonts w:ascii="Times New Roman" w:hAnsi="Times New Roman" w:cs="Times New Roman"/>
          <w:sz w:val="24"/>
          <w:szCs w:val="24"/>
        </w:rPr>
        <w:t>АЛД</w:t>
      </w:r>
      <w:r w:rsidRPr="00FD4C39">
        <w:rPr>
          <w:rFonts w:ascii="Times New Roman" w:hAnsi="Times New Roman" w:cs="Times New Roman"/>
          <w:sz w:val="24"/>
          <w:szCs w:val="24"/>
        </w:rPr>
        <w:t xml:space="preserve"> с клон в Република Македония и оценка на съвместните контролни действия. Като част от проверката са идентифицирани добрите страни и предизвикателствата пред двустранното сътрудничество. </w:t>
      </w:r>
    </w:p>
    <w:p w:rsidR="00F35BC4" w:rsidRPr="00FD4C39" w:rsidRDefault="00725458"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рамките на посещението се</w:t>
      </w:r>
      <w:r w:rsidR="00F35BC4" w:rsidRPr="00FD4C39">
        <w:rPr>
          <w:rFonts w:ascii="Times New Roman" w:hAnsi="Times New Roman" w:cs="Times New Roman"/>
          <w:sz w:val="24"/>
          <w:szCs w:val="24"/>
        </w:rPr>
        <w:t xml:space="preserve"> обсъ</w:t>
      </w:r>
      <w:r>
        <w:rPr>
          <w:rFonts w:ascii="Times New Roman" w:hAnsi="Times New Roman" w:cs="Times New Roman"/>
          <w:sz w:val="24"/>
          <w:szCs w:val="24"/>
        </w:rPr>
        <w:t>жда</w:t>
      </w:r>
      <w:r w:rsidR="00F35BC4" w:rsidRPr="00FD4C39">
        <w:rPr>
          <w:rFonts w:ascii="Times New Roman" w:hAnsi="Times New Roman" w:cs="Times New Roman"/>
          <w:sz w:val="24"/>
          <w:szCs w:val="24"/>
        </w:rPr>
        <w:t xml:space="preserve"> и възникнал трансграничен случай, по който работят и двата органа, а именно</w:t>
      </w:r>
      <w:r w:rsidR="00D86735" w:rsidRPr="00FD4C39">
        <w:rPr>
          <w:rFonts w:ascii="Times New Roman" w:hAnsi="Times New Roman" w:cs="Times New Roman"/>
          <w:sz w:val="24"/>
          <w:szCs w:val="24"/>
        </w:rPr>
        <w:t xml:space="preserve"> </w:t>
      </w:r>
      <w:r w:rsidR="00D86735" w:rsidRPr="00FD4C39">
        <w:rPr>
          <w:rFonts w:ascii="Times New Roman" w:hAnsi="Times New Roman" w:cs="Times New Roman"/>
          <w:sz w:val="24"/>
          <w:szCs w:val="24"/>
        </w:rPr>
        <w:sym w:font="Symbol" w:char="F02D"/>
      </w:r>
      <w:r w:rsidR="00F35BC4" w:rsidRPr="00FD4C39">
        <w:rPr>
          <w:rFonts w:ascii="Times New Roman" w:hAnsi="Times New Roman" w:cs="Times New Roman"/>
          <w:sz w:val="24"/>
          <w:szCs w:val="24"/>
        </w:rPr>
        <w:t xml:space="preserve"> подаден сигнал от български гражданин, че е регистриран без негово знание в македонски сайт за намиране на работа. </w:t>
      </w:r>
    </w:p>
    <w:p w:rsidR="00F35BC4" w:rsidRPr="00FD4C39" w:rsidRDefault="00725458"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края на срещата се</w:t>
      </w:r>
      <w:r w:rsidR="00F35BC4" w:rsidRPr="00FD4C39">
        <w:rPr>
          <w:rFonts w:ascii="Times New Roman" w:hAnsi="Times New Roman" w:cs="Times New Roman"/>
          <w:sz w:val="24"/>
          <w:szCs w:val="24"/>
        </w:rPr>
        <w:t xml:space="preserve"> отч</w:t>
      </w:r>
      <w:r>
        <w:rPr>
          <w:rFonts w:ascii="Times New Roman" w:hAnsi="Times New Roman" w:cs="Times New Roman"/>
          <w:sz w:val="24"/>
          <w:szCs w:val="24"/>
        </w:rPr>
        <w:t>ита</w:t>
      </w:r>
      <w:r w:rsidR="00F35BC4" w:rsidRPr="00FD4C39">
        <w:rPr>
          <w:rFonts w:ascii="Times New Roman" w:hAnsi="Times New Roman" w:cs="Times New Roman"/>
          <w:sz w:val="24"/>
          <w:szCs w:val="24"/>
        </w:rPr>
        <w:t xml:space="preserve"> добро сътру</w:t>
      </w:r>
      <w:r>
        <w:rPr>
          <w:rFonts w:ascii="Times New Roman" w:hAnsi="Times New Roman" w:cs="Times New Roman"/>
          <w:sz w:val="24"/>
          <w:szCs w:val="24"/>
        </w:rPr>
        <w:t>дничество, като двете страни си разменят</w:t>
      </w:r>
      <w:r w:rsidR="00F35BC4" w:rsidRPr="00FD4C39">
        <w:rPr>
          <w:rFonts w:ascii="Times New Roman" w:hAnsi="Times New Roman" w:cs="Times New Roman"/>
          <w:sz w:val="24"/>
          <w:szCs w:val="24"/>
        </w:rPr>
        <w:t xml:space="preserve"> работни документи с анализ и препоръки.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35BC4"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4. Анализ на състоянието на реформата по защита на данните</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И тази година продължава интензивната работа на експертно ниво по предложените текстове от Европейската комисия на общ Регламент за защита на данните и Директива за защита на данните в областите полиция и правосъдие и по модернизацията на Конвенция 108/81/СЕ.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FC5541"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 xml:space="preserve">4.1. </w:t>
      </w:r>
      <w:r w:rsidR="00F35BC4" w:rsidRPr="00FD4C39">
        <w:rPr>
          <w:rFonts w:ascii="Times New Roman" w:hAnsi="Times New Roman" w:cs="Times New Roman"/>
          <w:b/>
          <w:sz w:val="24"/>
          <w:szCs w:val="24"/>
        </w:rPr>
        <w:t>Предложение за</w:t>
      </w:r>
      <w:r w:rsidR="00F35BC4" w:rsidRPr="00FD4C39">
        <w:rPr>
          <w:rFonts w:ascii="Times New Roman" w:hAnsi="Times New Roman" w:cs="Times New Roman"/>
          <w:sz w:val="24"/>
          <w:szCs w:val="24"/>
        </w:rPr>
        <w:t xml:space="preserve"> </w:t>
      </w:r>
      <w:r w:rsidR="001153A7">
        <w:rPr>
          <w:rFonts w:ascii="Times New Roman" w:hAnsi="Times New Roman" w:cs="Times New Roman"/>
          <w:b/>
          <w:sz w:val="24"/>
          <w:szCs w:val="24"/>
        </w:rPr>
        <w:t>Общ р</w:t>
      </w:r>
      <w:r w:rsidR="00F35BC4" w:rsidRPr="00FD4C39">
        <w:rPr>
          <w:rFonts w:ascii="Times New Roman" w:hAnsi="Times New Roman" w:cs="Times New Roman"/>
          <w:b/>
          <w:sz w:val="24"/>
          <w:szCs w:val="24"/>
        </w:rPr>
        <w:t xml:space="preserve">егламент за защита на данните  </w:t>
      </w:r>
    </w:p>
    <w:p w:rsidR="00F35BC4" w:rsidRPr="00FD4C39" w:rsidRDefault="00F35BC4"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sz w:val="24"/>
          <w:szCs w:val="24"/>
        </w:rPr>
        <w:t xml:space="preserve">В Европейския съюз предложението за общ Регламент за защита на данните продължава да бъде сериозно законодателно предизвикателство. </w:t>
      </w:r>
      <w:proofErr w:type="spellStart"/>
      <w:r w:rsidRPr="00FD4C39">
        <w:rPr>
          <w:rFonts w:ascii="Times New Roman" w:hAnsi="Times New Roman" w:cs="Times New Roman"/>
          <w:sz w:val="24"/>
          <w:szCs w:val="24"/>
        </w:rPr>
        <w:t>Проекторегламентът</w:t>
      </w:r>
      <w:proofErr w:type="spellEnd"/>
      <w:r w:rsidRPr="00FD4C39">
        <w:rPr>
          <w:rFonts w:ascii="Times New Roman" w:hAnsi="Times New Roman" w:cs="Times New Roman"/>
          <w:sz w:val="24"/>
          <w:szCs w:val="24"/>
        </w:rPr>
        <w:t xml:space="preserve"> се разглежда паралелно в Европейския парламент и Съвета на ЕС, като някои въпроси се обсъждат и от Работната група по член 29 от Директива 95/46/ЕО. Към настоящия момент все още текстовете на Регламента са в работен вид, тъй като обсъжданията по тях продължават. Основните въпроси, които се дискутират 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са свързани с необходимостта от по-голяма гъвкавост по отношение на обработване на лични данни от публични органи, предложените инструменти за трансфер на данни към трети страни, новите механизми за сътрудничество между държавите членки, като например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обслужването на едно гише</w:t>
      </w:r>
      <w:r w:rsidR="00CF0F1F" w:rsidRPr="00FD4C39">
        <w:rPr>
          <w:rFonts w:ascii="Times New Roman" w:hAnsi="Times New Roman" w:cs="Times New Roman"/>
          <w:sz w:val="24"/>
          <w:szCs w:val="24"/>
        </w:rPr>
        <w:t>“</w:t>
      </w:r>
      <w:r w:rsidRPr="00FD4C39">
        <w:rPr>
          <w:rFonts w:ascii="Times New Roman" w:hAnsi="Times New Roman" w:cs="Times New Roman"/>
          <w:sz w:val="24"/>
          <w:szCs w:val="24"/>
        </w:rPr>
        <w:t xml:space="preserve">, ролята на националните надзорни органи за защита на данните и на бъдещия Европейски комитет за защита на данните, изключенията при обработката на данни за статистически, архивни, научни, исторически и </w:t>
      </w:r>
      <w:r w:rsidRPr="00FD4C39">
        <w:rPr>
          <w:rFonts w:ascii="Times New Roman" w:hAnsi="Times New Roman" w:cs="Times New Roman"/>
          <w:sz w:val="24"/>
          <w:szCs w:val="24"/>
        </w:rPr>
        <w:lastRenderedPageBreak/>
        <w:t xml:space="preserve">журналистически цели и др. Българската позиция се изготвя от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xml:space="preserve">, като промените се обсъждат на експертно ниво в Работната група по обмен на информацията и защита на данните към Съвета на ЕС и на политическо ниво от министрите на правосъдието в рамките на Съвета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Правосъдие и вътрешни работи</w:t>
      </w:r>
      <w:r w:rsidR="00CF0F1F" w:rsidRPr="00FD4C39">
        <w:rPr>
          <w:rFonts w:ascii="Times New Roman" w:hAnsi="Times New Roman" w:cs="Times New Roman"/>
          <w:sz w:val="24"/>
          <w:szCs w:val="24"/>
        </w:rPr>
        <w:t>“</w:t>
      </w:r>
      <w:r w:rsidRPr="00FD4C39">
        <w:rPr>
          <w:rFonts w:ascii="Times New Roman" w:hAnsi="Times New Roman" w:cs="Times New Roman"/>
          <w:sz w:val="24"/>
          <w:szCs w:val="24"/>
        </w:rPr>
        <w:t xml:space="preserve">. </w:t>
      </w:r>
    </w:p>
    <w:p w:rsidR="00F35BC4" w:rsidRPr="00FD4C39" w:rsidRDefault="00913511"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хода на дискусиите</w:t>
      </w:r>
      <w:r w:rsidR="00F35BC4" w:rsidRPr="00FD4C39">
        <w:rPr>
          <w:rFonts w:ascii="Times New Roman" w:hAnsi="Times New Roman" w:cs="Times New Roman"/>
          <w:sz w:val="24"/>
          <w:szCs w:val="24"/>
        </w:rPr>
        <w:t xml:space="preserve"> </w:t>
      </w:r>
      <w:r w:rsidR="00FE7018" w:rsidRPr="00FD4C39">
        <w:rPr>
          <w:rFonts w:ascii="Times New Roman" w:hAnsi="Times New Roman" w:cs="Times New Roman"/>
          <w:sz w:val="24"/>
          <w:szCs w:val="24"/>
        </w:rPr>
        <w:t>КЗЛД</w:t>
      </w:r>
      <w:r w:rsidR="006805F9" w:rsidRPr="00FD4C39">
        <w:rPr>
          <w:rFonts w:ascii="Times New Roman" w:hAnsi="Times New Roman" w:cs="Times New Roman"/>
          <w:sz w:val="24"/>
          <w:szCs w:val="24"/>
        </w:rPr>
        <w:t xml:space="preserve"> </w:t>
      </w:r>
      <w:r w:rsidR="00F35BC4" w:rsidRPr="00FD4C39">
        <w:rPr>
          <w:rFonts w:ascii="Times New Roman" w:hAnsi="Times New Roman" w:cs="Times New Roman"/>
          <w:sz w:val="24"/>
          <w:szCs w:val="24"/>
        </w:rPr>
        <w:t xml:space="preserve">е изразила следните принципни позиции: </w:t>
      </w:r>
    </w:p>
    <w:p w:rsidR="00F35BC4" w:rsidRPr="00FD4C39" w:rsidRDefault="00F35BC4" w:rsidP="00EC5A0A">
      <w:pPr>
        <w:pStyle w:val="ListParagraph"/>
        <w:numPr>
          <w:ilvl w:val="0"/>
          <w:numId w:val="19"/>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По отношение на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обслужването на едно гише</w:t>
      </w:r>
      <w:r w:rsidR="00CF0F1F" w:rsidRPr="00FD4C39">
        <w:rPr>
          <w:rFonts w:ascii="Times New Roman" w:hAnsi="Times New Roman" w:cs="Times New Roman"/>
          <w:sz w:val="24"/>
          <w:szCs w:val="24"/>
        </w:rPr>
        <w:t>“</w:t>
      </w:r>
      <w:r w:rsidRPr="00FD4C39">
        <w:rPr>
          <w:rFonts w:ascii="Times New Roman" w:hAnsi="Times New Roman" w:cs="Times New Roman"/>
          <w:sz w:val="24"/>
          <w:szCs w:val="24"/>
        </w:rPr>
        <w:t xml:space="preserve"> следва да се намери точният баланс между предложения механизъм за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обслужване на едно гише</w:t>
      </w:r>
      <w:r w:rsidR="00CF0F1F" w:rsidRPr="00FD4C39">
        <w:rPr>
          <w:rFonts w:ascii="Times New Roman" w:hAnsi="Times New Roman" w:cs="Times New Roman"/>
          <w:sz w:val="24"/>
          <w:szCs w:val="24"/>
        </w:rPr>
        <w:t>“</w:t>
      </w:r>
      <w:r w:rsidRPr="00FD4C39">
        <w:rPr>
          <w:rFonts w:ascii="Times New Roman" w:hAnsi="Times New Roman" w:cs="Times New Roman"/>
          <w:sz w:val="24"/>
          <w:szCs w:val="24"/>
        </w:rPr>
        <w:t xml:space="preserve">, включващ определянето на водещ орган за защита на данните и неговото сътрудничество със заинтересованите национални надзорни органи за защита на данните </w:t>
      </w:r>
      <w:r w:rsidR="00DF0E50" w:rsidRPr="00FD4C39">
        <w:rPr>
          <w:rFonts w:ascii="Times New Roman" w:hAnsi="Times New Roman" w:cs="Times New Roman"/>
          <w:sz w:val="24"/>
          <w:szCs w:val="24"/>
        </w:rPr>
        <w:t>при</w:t>
      </w:r>
      <w:r w:rsidR="00FC4460" w:rsidRPr="00FD4C39">
        <w:rPr>
          <w:rFonts w:ascii="Times New Roman" w:hAnsi="Times New Roman" w:cs="Times New Roman"/>
          <w:sz w:val="24"/>
          <w:szCs w:val="24"/>
        </w:rPr>
        <w:t xml:space="preserve"> разглеждането на казус, с който е сезиран, </w:t>
      </w:r>
      <w:r w:rsidRPr="00FD4C39">
        <w:rPr>
          <w:rFonts w:ascii="Times New Roman" w:hAnsi="Times New Roman" w:cs="Times New Roman"/>
          <w:sz w:val="24"/>
          <w:szCs w:val="24"/>
        </w:rPr>
        <w:t xml:space="preserve">и постигането на еднакво прилагане, правна сигурност за гражданите и по-малка административна тежест за </w:t>
      </w:r>
      <w:r w:rsidR="00FC4460" w:rsidRPr="00FD4C39">
        <w:rPr>
          <w:rFonts w:ascii="Times New Roman" w:hAnsi="Times New Roman" w:cs="Times New Roman"/>
          <w:sz w:val="24"/>
          <w:szCs w:val="24"/>
        </w:rPr>
        <w:t xml:space="preserve">администраторите на лични данни, въз основа икономия на време и ресурси при прилагане на </w:t>
      </w:r>
      <w:r w:rsidR="00CD6E3C" w:rsidRPr="00FD4C39">
        <w:rPr>
          <w:rFonts w:ascii="Times New Roman" w:hAnsi="Times New Roman" w:cs="Times New Roman"/>
          <w:sz w:val="24"/>
          <w:szCs w:val="24"/>
        </w:rPr>
        <w:t>механизма</w:t>
      </w:r>
      <w:r w:rsidR="00FC4460" w:rsidRPr="00FD4C39">
        <w:rPr>
          <w:rFonts w:ascii="Times New Roman" w:hAnsi="Times New Roman" w:cs="Times New Roman"/>
          <w:sz w:val="24"/>
          <w:szCs w:val="24"/>
        </w:rPr>
        <w:t>.</w:t>
      </w:r>
    </w:p>
    <w:p w:rsidR="00F35BC4" w:rsidRPr="00FD4C39" w:rsidRDefault="00F35BC4" w:rsidP="00EC5A0A">
      <w:pPr>
        <w:pStyle w:val="ListParagraph"/>
        <w:numPr>
          <w:ilvl w:val="0"/>
          <w:numId w:val="19"/>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Извършване на трансфер на данни към трети страни следва да бъде уредено посредством широк правен инструментариум за извършване на трансфери на данни към получатели в трети страни чрез решения за адекватност (териториална и секторна), подходящи гаранции за защита (обвързващи корпоративни правила; стандартни договорни клаузи; кодекси за поведение; механизми за сертифициране; гаранции за защита, включени в административни инструменти за целите на публичния сектор) и </w:t>
      </w:r>
      <w:proofErr w:type="spellStart"/>
      <w:r w:rsidRPr="00FD4C39">
        <w:rPr>
          <w:rFonts w:ascii="Times New Roman" w:hAnsi="Times New Roman" w:cs="Times New Roman"/>
          <w:sz w:val="24"/>
          <w:szCs w:val="24"/>
        </w:rPr>
        <w:t>дерогации</w:t>
      </w:r>
      <w:proofErr w:type="spellEnd"/>
      <w:r w:rsidRPr="00FD4C39">
        <w:rPr>
          <w:rFonts w:ascii="Times New Roman" w:hAnsi="Times New Roman" w:cs="Times New Roman"/>
          <w:sz w:val="24"/>
          <w:szCs w:val="24"/>
        </w:rPr>
        <w:t xml:space="preserve"> в строго определени случаи.</w:t>
      </w:r>
    </w:p>
    <w:p w:rsidR="00F35BC4" w:rsidRPr="00FD4C39" w:rsidRDefault="00F35BC4" w:rsidP="00EC5A0A">
      <w:pPr>
        <w:pStyle w:val="ListParagraph"/>
        <w:numPr>
          <w:ilvl w:val="0"/>
          <w:numId w:val="19"/>
        </w:numPr>
        <w:tabs>
          <w:tab w:val="left" w:pos="993"/>
        </w:tabs>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sz w:val="24"/>
          <w:szCs w:val="24"/>
        </w:rPr>
        <w:t xml:space="preserve">По отношение на обхвата на предложения регламент следва в предметния обхват на регламента да попадат и дейностите, свързани с наблюдение на поведението на лицата, както и </w:t>
      </w:r>
      <w:r w:rsidR="00D21C02" w:rsidRPr="00FD4C39">
        <w:rPr>
          <w:rFonts w:ascii="Times New Roman" w:hAnsi="Times New Roman" w:cs="Times New Roman"/>
          <w:sz w:val="24"/>
          <w:szCs w:val="24"/>
        </w:rPr>
        <w:t>АЛД</w:t>
      </w:r>
      <w:r w:rsidRPr="00FD4C39">
        <w:rPr>
          <w:rFonts w:ascii="Times New Roman" w:hAnsi="Times New Roman" w:cs="Times New Roman"/>
          <w:sz w:val="24"/>
          <w:szCs w:val="24"/>
        </w:rPr>
        <w:t>, установени в трети страни, в случаите, когато предлагат стоки и услуги или следят поведението на граждани на ЕС и тези действия се извършват на територията на ЕС.</w:t>
      </w:r>
    </w:p>
    <w:p w:rsidR="00F35BC4" w:rsidRPr="00FD4C39" w:rsidRDefault="00F35BC4" w:rsidP="00EC5A0A">
      <w:pPr>
        <w:pStyle w:val="ListParagraph"/>
        <w:numPr>
          <w:ilvl w:val="0"/>
          <w:numId w:val="19"/>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По отношение на въвеждането на изключение в някои от правата на физическите лица във връзка с обработването на данни за статистически, архивни, научни, исторически и журналистически цели следва да бъдат приети подобни изключения, като те трябва да бъдат ясно разписани и определени. В тези случаи следва да се отчете необходимостта от намирането на баланса между правото на неприкосновеност на личния живот и защита на данните и други основни права, и наличието на важен публичен интерес. </w:t>
      </w:r>
    </w:p>
    <w:p w:rsidR="00EC5A0A" w:rsidRPr="00FD4C39" w:rsidRDefault="00F35BC4" w:rsidP="00EC5A0A">
      <w:pPr>
        <w:pStyle w:val="ListParagraph"/>
        <w:numPr>
          <w:ilvl w:val="0"/>
          <w:numId w:val="19"/>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lastRenderedPageBreak/>
        <w:t>По отношение на делегираните актове</w:t>
      </w:r>
      <w:r w:rsidR="00505C7D" w:rsidRPr="00FD4C39">
        <w:rPr>
          <w:rStyle w:val="FootnoteReference"/>
          <w:rFonts w:ascii="Times New Roman" w:hAnsi="Times New Roman" w:cs="Times New Roman"/>
          <w:sz w:val="24"/>
          <w:szCs w:val="24"/>
        </w:rPr>
        <w:footnoteReference w:id="3"/>
      </w:r>
      <w:r w:rsidRPr="00FD4C39">
        <w:rPr>
          <w:rFonts w:ascii="Times New Roman" w:hAnsi="Times New Roman" w:cs="Times New Roman"/>
          <w:sz w:val="24"/>
          <w:szCs w:val="24"/>
        </w:rPr>
        <w:t xml:space="preserve"> е необходимо да се отчете тяхната полезност, тъй като те са подходящ инструмент за поддържане актуалността на регламента спрямо новите предизвикателства пред защитата на данните.  </w:t>
      </w:r>
    </w:p>
    <w:p w:rsidR="00F35BC4" w:rsidRPr="00FD4C39" w:rsidRDefault="00F35BC4" w:rsidP="00EC5A0A">
      <w:pPr>
        <w:pStyle w:val="ListParagraph"/>
        <w:numPr>
          <w:ilvl w:val="0"/>
          <w:numId w:val="19"/>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По отношение на отговорността на администратора и обработващия в текста на регламента трябва по категоричен начин да бъде разписано уреждането на задълженията, като водещата роля на администратора на лични данни следва да бъд</w:t>
      </w:r>
      <w:r w:rsidR="003753E5">
        <w:rPr>
          <w:rFonts w:ascii="Times New Roman" w:hAnsi="Times New Roman" w:cs="Times New Roman"/>
          <w:sz w:val="24"/>
          <w:szCs w:val="24"/>
        </w:rPr>
        <w:t>е</w:t>
      </w:r>
      <w:r w:rsidRPr="00FD4C39">
        <w:rPr>
          <w:rFonts w:ascii="Times New Roman" w:hAnsi="Times New Roman" w:cs="Times New Roman"/>
          <w:sz w:val="24"/>
          <w:szCs w:val="24"/>
        </w:rPr>
        <w:t xml:space="preserve"> запазена, а взаимоотношенията на страните да се уреждат с договор, който да съдържа клаузи за защита на данните. Договорът следва да предоставя също възможност за упражняване на контрол от страна на компетентния надзорен орган върху администратора и обработващия лични данни.</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F35BC4" w:rsidRPr="00FD4C39" w:rsidRDefault="000B5652" w:rsidP="007B189E">
      <w:pPr>
        <w:pStyle w:val="ListParagraph"/>
        <w:spacing w:after="0" w:line="360" w:lineRule="auto"/>
        <w:ind w:left="0" w:firstLine="709"/>
        <w:jc w:val="both"/>
        <w:rPr>
          <w:rFonts w:ascii="Times New Roman" w:hAnsi="Times New Roman" w:cs="Times New Roman"/>
          <w:b/>
          <w:sz w:val="24"/>
          <w:szCs w:val="24"/>
        </w:rPr>
      </w:pPr>
      <w:r w:rsidRPr="00FD4C39">
        <w:rPr>
          <w:rFonts w:ascii="Times New Roman" w:hAnsi="Times New Roman" w:cs="Times New Roman"/>
          <w:b/>
          <w:sz w:val="24"/>
          <w:szCs w:val="24"/>
        </w:rPr>
        <w:t xml:space="preserve">4.2. </w:t>
      </w:r>
      <w:r w:rsidR="00F35BC4" w:rsidRPr="00FD4C39">
        <w:rPr>
          <w:rFonts w:ascii="Times New Roman" w:hAnsi="Times New Roman" w:cs="Times New Roman"/>
          <w:b/>
          <w:sz w:val="24"/>
          <w:szCs w:val="24"/>
        </w:rPr>
        <w:t>Предложение за Директива за защита на личните данни в сферата на полиция и правосъдие</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В своите позиции по предложението за директива </w:t>
      </w:r>
      <w:r w:rsidR="00FE7018" w:rsidRPr="00FD4C39">
        <w:rPr>
          <w:rFonts w:ascii="Times New Roman" w:hAnsi="Times New Roman" w:cs="Times New Roman"/>
          <w:sz w:val="24"/>
          <w:szCs w:val="24"/>
        </w:rPr>
        <w:t>КЗЛД</w:t>
      </w:r>
      <w:r w:rsidR="00F905F3">
        <w:rPr>
          <w:rFonts w:ascii="Times New Roman" w:hAnsi="Times New Roman" w:cs="Times New Roman"/>
          <w:sz w:val="24"/>
          <w:szCs w:val="24"/>
        </w:rPr>
        <w:t xml:space="preserve"> отбелязва</w:t>
      </w:r>
      <w:r w:rsidRPr="00FD4C39">
        <w:rPr>
          <w:rFonts w:ascii="Times New Roman" w:hAnsi="Times New Roman" w:cs="Times New Roman"/>
          <w:sz w:val="24"/>
          <w:szCs w:val="24"/>
        </w:rPr>
        <w:t xml:space="preserve">, че подкрепя виждането, че постигането на съгласуваност между предложенията за регламент и директива не трябва да е за сметка на автоматично прехвърляне на разпоредби, като се отчита спецификата на дейността на полицейските органи. Но въпреки това следва да се постигне съгласуваност между текстовете на двете разпоредби, където това е необходимо. При разписването на разпоредбите на директивата следва да се осигури високо ниво на защита и тя не трябва да води до занижаване на вече утвърдени стандарти и правомощия. Не трябва да се поставят пречки пред свободното упражняване на основни права на физическите лица. Упражняването на правото на достъп до информация трябва да следва логиката на предложението за общ Регламент за защита на данните. Правото на промяна, заличаване и ограничаване на обработването на данни следва да се спазва при отчитане спецификата на работата на полицейските органи. Практиката за предварителни консултации с националните надзорни органи за защита на данните </w:t>
      </w:r>
      <w:r w:rsidR="00992A4F" w:rsidRPr="00FD4C39">
        <w:rPr>
          <w:rFonts w:ascii="Times New Roman" w:hAnsi="Times New Roman" w:cs="Times New Roman"/>
          <w:sz w:val="24"/>
          <w:szCs w:val="24"/>
        </w:rPr>
        <w:t>трябва</w:t>
      </w:r>
      <w:r w:rsidRPr="00FD4C39">
        <w:rPr>
          <w:rFonts w:ascii="Times New Roman" w:hAnsi="Times New Roman" w:cs="Times New Roman"/>
          <w:sz w:val="24"/>
          <w:szCs w:val="24"/>
        </w:rPr>
        <w:t xml:space="preserve"> да се запази. </w:t>
      </w:r>
    </w:p>
    <w:p w:rsidR="00F35BC4" w:rsidRPr="00FD4C39" w:rsidRDefault="00F35BC4" w:rsidP="007B189E">
      <w:pPr>
        <w:spacing w:after="0" w:line="360" w:lineRule="auto"/>
        <w:ind w:firstLine="709"/>
        <w:jc w:val="both"/>
        <w:rPr>
          <w:rFonts w:ascii="Times New Roman" w:hAnsi="Times New Roman" w:cs="Times New Roman"/>
          <w:sz w:val="24"/>
          <w:szCs w:val="24"/>
        </w:rPr>
      </w:pPr>
    </w:p>
    <w:p w:rsidR="00384216" w:rsidRPr="00FD4C39" w:rsidRDefault="00384216" w:rsidP="008A2E55">
      <w:pPr>
        <w:spacing w:after="0" w:line="360" w:lineRule="auto"/>
        <w:ind w:firstLine="709"/>
        <w:jc w:val="both"/>
        <w:rPr>
          <w:rFonts w:ascii="Times New Roman" w:hAnsi="Times New Roman" w:cs="Times New Roman"/>
          <w:b/>
          <w:sz w:val="24"/>
          <w:szCs w:val="24"/>
        </w:rPr>
      </w:pPr>
    </w:p>
    <w:p w:rsidR="00384216" w:rsidRPr="00FD4C39" w:rsidRDefault="00384216" w:rsidP="008A2E55">
      <w:pPr>
        <w:spacing w:after="0" w:line="360" w:lineRule="auto"/>
        <w:ind w:firstLine="709"/>
        <w:jc w:val="both"/>
        <w:rPr>
          <w:rFonts w:ascii="Times New Roman" w:hAnsi="Times New Roman" w:cs="Times New Roman"/>
          <w:b/>
          <w:sz w:val="24"/>
          <w:szCs w:val="24"/>
        </w:rPr>
      </w:pPr>
    </w:p>
    <w:p w:rsidR="00F35BC4" w:rsidRPr="00FD4C39" w:rsidRDefault="00F35BC4" w:rsidP="008A2E55">
      <w:pPr>
        <w:spacing w:after="0" w:line="360" w:lineRule="auto"/>
        <w:ind w:firstLine="709"/>
        <w:jc w:val="both"/>
        <w:rPr>
          <w:rFonts w:ascii="Times New Roman" w:hAnsi="Times New Roman" w:cs="Times New Roman"/>
          <w:b/>
          <w:sz w:val="24"/>
          <w:szCs w:val="24"/>
        </w:rPr>
      </w:pPr>
      <w:r w:rsidRPr="00FD4C39">
        <w:rPr>
          <w:rFonts w:ascii="Times New Roman" w:hAnsi="Times New Roman" w:cs="Times New Roman"/>
          <w:b/>
          <w:sz w:val="24"/>
          <w:szCs w:val="24"/>
        </w:rPr>
        <w:lastRenderedPageBreak/>
        <w:t xml:space="preserve">4.3. Модернизация на Конвенция 108/81/СЕ </w:t>
      </w:r>
    </w:p>
    <w:p w:rsidR="00F35BC4" w:rsidRPr="00FD4C39" w:rsidRDefault="00F35BC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обсъждането и приемането на предложените изменени текстове на Конвенция 108/81/СЕ се извършва в рамките на заседанията на временния Комитет по Конвенция 108, в който участва и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xml:space="preserve"> за защита на личните данни. Принципната позиция на КЗЛД е, че следва да се постигне максимално хармонизиране между новите актове, предлагани на ниво ЕС и тези на Съвета на Европа, като същевременно се запази общият, неутрален характер на Конвенцията. По време на заседанията се обсъждат някои от направените промени по текстовете, касаещи обхвата на Конвенцията, като се цели постигането на широк обхват. Акцентирано е върху задълженията на страните по Конвенцията за гарантиране на ефективното й прилагане. Основни отворени въпроси, предмет на дискусия, са обработването на специални категории данни и извършването на трансфери към трети страни, както и изключенията от правата на физическите лица по отношение на защитата на данните и условията за присъединяване към Конвенцията.</w:t>
      </w:r>
    </w:p>
    <w:p w:rsidR="00CD6E3C" w:rsidRPr="00FD4C39" w:rsidRDefault="00CD6E3C">
      <w:pPr>
        <w:rPr>
          <w:rFonts w:ascii="Times New Roman" w:eastAsia="Calibri" w:hAnsi="Times New Roman" w:cs="Times New Roman"/>
          <w:sz w:val="24"/>
          <w:szCs w:val="24"/>
        </w:rPr>
      </w:pPr>
      <w:r w:rsidRPr="00FD4C39">
        <w:rPr>
          <w:rFonts w:ascii="Times New Roman" w:eastAsia="Calibri" w:hAnsi="Times New Roman" w:cs="Times New Roman"/>
          <w:sz w:val="24"/>
          <w:szCs w:val="24"/>
        </w:rPr>
        <w:br w:type="page"/>
      </w:r>
    </w:p>
    <w:p w:rsidR="009F2733"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 xml:space="preserve">XII. Административен капацитет и финансови ресурси </w:t>
      </w:r>
    </w:p>
    <w:p w:rsidR="00CD6E3C" w:rsidRPr="00FD4C39" w:rsidRDefault="00CD6E3C" w:rsidP="007B189E">
      <w:pPr>
        <w:spacing w:after="0" w:line="360" w:lineRule="auto"/>
        <w:ind w:firstLine="709"/>
        <w:jc w:val="both"/>
        <w:rPr>
          <w:rFonts w:ascii="Times New Roman" w:eastAsia="Calibri" w:hAnsi="Times New Roman" w:cs="Times New Roman"/>
          <w:b/>
          <w:sz w:val="24"/>
          <w:szCs w:val="24"/>
        </w:rPr>
      </w:pPr>
    </w:p>
    <w:p w:rsidR="006B783F"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t>1. Административен капацитет</w:t>
      </w:r>
    </w:p>
    <w:p w:rsidR="00AB66A9" w:rsidRPr="00FD4C39" w:rsidRDefault="00AB66A9"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2014</w:t>
      </w:r>
      <w:r w:rsidR="004D42A2">
        <w:rPr>
          <w:rFonts w:ascii="Times New Roman" w:hAnsi="Times New Roman" w:cs="Times New Roman"/>
          <w:sz w:val="24"/>
          <w:szCs w:val="24"/>
        </w:rPr>
        <w:t> г.</w:t>
      </w:r>
      <w:r w:rsidR="001D59BB">
        <w:rPr>
          <w:rFonts w:ascii="Times New Roman" w:hAnsi="Times New Roman" w:cs="Times New Roman"/>
          <w:sz w:val="24"/>
          <w:szCs w:val="24"/>
        </w:rPr>
        <w:t xml:space="preserve"> се извършва</w:t>
      </w:r>
      <w:r w:rsidRPr="00FD4C39">
        <w:rPr>
          <w:rFonts w:ascii="Times New Roman" w:hAnsi="Times New Roman" w:cs="Times New Roman"/>
          <w:sz w:val="24"/>
          <w:szCs w:val="24"/>
        </w:rPr>
        <w:t xml:space="preserve"> промяна в структурата на КЗЛД във връзка с проведен функционален анализ на институцията в рамките на проект</w:t>
      </w:r>
      <w:r w:rsidRPr="00FD4C39">
        <w:rPr>
          <w:rFonts w:ascii="Times New Roman" w:hAnsi="Times New Roman" w:cs="Times New Roman"/>
          <w:b/>
          <w:bCs/>
          <w:sz w:val="24"/>
          <w:szCs w:val="24"/>
        </w:rPr>
        <w:t xml:space="preserve"> </w:t>
      </w:r>
      <w:r w:rsidR="004931E5" w:rsidRPr="00FD4C39">
        <w:rPr>
          <w:rFonts w:ascii="Times New Roman" w:hAnsi="Times New Roman" w:cs="Times New Roman"/>
          <w:b/>
          <w:bCs/>
          <w:sz w:val="24"/>
          <w:szCs w:val="24"/>
        </w:rPr>
        <w:t>„</w:t>
      </w:r>
      <w:r w:rsidRPr="00FD4C39">
        <w:rPr>
          <w:rFonts w:ascii="Times New Roman" w:hAnsi="Times New Roman" w:cs="Times New Roman"/>
          <w:b/>
          <w:bCs/>
          <w:sz w:val="24"/>
          <w:szCs w:val="24"/>
        </w:rPr>
        <w:t xml:space="preserve">Подобряване на управлението, организацията и функциите на </w:t>
      </w:r>
      <w:r w:rsidR="00580030" w:rsidRPr="00FD4C39">
        <w:rPr>
          <w:rFonts w:ascii="Times New Roman" w:hAnsi="Times New Roman" w:cs="Times New Roman"/>
          <w:b/>
          <w:bCs/>
          <w:sz w:val="24"/>
          <w:szCs w:val="24"/>
        </w:rPr>
        <w:t>КЗЛД</w:t>
      </w:r>
      <w:r w:rsidRPr="00FD4C39">
        <w:rPr>
          <w:rFonts w:ascii="Times New Roman" w:hAnsi="Times New Roman" w:cs="Times New Roman"/>
          <w:b/>
          <w:bCs/>
          <w:sz w:val="24"/>
          <w:szCs w:val="24"/>
        </w:rPr>
        <w:t>, чрез провеждане на функционален анализ</w:t>
      </w:r>
      <w:r w:rsidR="001D59BB">
        <w:rPr>
          <w:rFonts w:ascii="Times New Roman" w:hAnsi="Times New Roman" w:cs="Times New Roman"/>
          <w:b/>
          <w:bCs/>
          <w:sz w:val="24"/>
          <w:szCs w:val="24"/>
        </w:rPr>
        <w:t>“</w:t>
      </w:r>
      <w:r w:rsidRPr="00FD4C39">
        <w:rPr>
          <w:rFonts w:ascii="Times New Roman" w:hAnsi="Times New Roman" w:cs="Times New Roman"/>
          <w:b/>
          <w:bCs/>
          <w:sz w:val="24"/>
          <w:szCs w:val="24"/>
        </w:rPr>
        <w:t xml:space="preserve">. </w:t>
      </w:r>
      <w:r w:rsidRPr="00FD4C39">
        <w:rPr>
          <w:rFonts w:ascii="Times New Roman" w:hAnsi="Times New Roman" w:cs="Times New Roman"/>
          <w:bCs/>
          <w:sz w:val="24"/>
          <w:szCs w:val="24"/>
        </w:rPr>
        <w:t>И</w:t>
      </w:r>
      <w:r w:rsidR="001D59BB">
        <w:rPr>
          <w:rFonts w:ascii="Times New Roman" w:hAnsi="Times New Roman" w:cs="Times New Roman"/>
          <w:sz w:val="24"/>
          <w:szCs w:val="24"/>
        </w:rPr>
        <w:t>зменя се</w:t>
      </w:r>
      <w:r w:rsidRPr="00FD4C39">
        <w:rPr>
          <w:rFonts w:ascii="Times New Roman" w:hAnsi="Times New Roman" w:cs="Times New Roman"/>
          <w:sz w:val="24"/>
          <w:szCs w:val="24"/>
        </w:rPr>
        <w:t xml:space="preserve"> и</w:t>
      </w:r>
      <w:r w:rsidR="001D59BB">
        <w:rPr>
          <w:rFonts w:ascii="Times New Roman" w:hAnsi="Times New Roman" w:cs="Times New Roman"/>
          <w:sz w:val="24"/>
          <w:szCs w:val="24"/>
        </w:rPr>
        <w:t xml:space="preserve"> се</w:t>
      </w:r>
      <w:r w:rsidRPr="00FD4C39">
        <w:rPr>
          <w:rFonts w:ascii="Times New Roman" w:hAnsi="Times New Roman" w:cs="Times New Roman"/>
          <w:sz w:val="24"/>
          <w:szCs w:val="24"/>
        </w:rPr>
        <w:t xml:space="preserve"> допъл</w:t>
      </w:r>
      <w:r w:rsidR="001D59BB">
        <w:rPr>
          <w:rFonts w:ascii="Times New Roman" w:hAnsi="Times New Roman" w:cs="Times New Roman"/>
          <w:sz w:val="24"/>
          <w:szCs w:val="24"/>
        </w:rPr>
        <w:t>ва</w:t>
      </w:r>
      <w:r w:rsidRPr="00FD4C39">
        <w:rPr>
          <w:rFonts w:ascii="Times New Roman" w:hAnsi="Times New Roman" w:cs="Times New Roman"/>
          <w:sz w:val="24"/>
          <w:szCs w:val="24"/>
        </w:rPr>
        <w:t xml:space="preserve"> Правилникът за дейността на КЗЛД и на нейната администрация</w:t>
      </w:r>
      <w:r w:rsidRPr="00FD4C39">
        <w:rPr>
          <w:rFonts w:ascii="Times New Roman" w:eastAsia="Times New Roman" w:hAnsi="Times New Roman" w:cs="Times New Roman"/>
          <w:i/>
          <w:iCs/>
          <w:sz w:val="24"/>
          <w:szCs w:val="24"/>
          <w:highlight w:val="white"/>
          <w:shd w:val="clear" w:color="auto" w:fill="FEFEFE"/>
        </w:rPr>
        <w:t xml:space="preserve"> </w:t>
      </w:r>
      <w:r w:rsidRPr="00FD4C39">
        <w:rPr>
          <w:rFonts w:ascii="Times New Roman" w:eastAsia="Times New Roman" w:hAnsi="Times New Roman" w:cs="Times New Roman"/>
          <w:iCs/>
          <w:sz w:val="24"/>
          <w:szCs w:val="24"/>
          <w:highlight w:val="white"/>
          <w:shd w:val="clear" w:color="auto" w:fill="FEFEFE"/>
        </w:rPr>
        <w:t>(</w:t>
      </w:r>
      <w:r w:rsidR="001D59BB">
        <w:rPr>
          <w:rFonts w:ascii="Times New Roman" w:eastAsia="Times New Roman" w:hAnsi="Times New Roman" w:cs="Times New Roman"/>
          <w:bCs/>
          <w:iCs/>
          <w:sz w:val="24"/>
          <w:szCs w:val="24"/>
          <w:highlight w:val="white"/>
          <w:shd w:val="clear" w:color="auto" w:fill="FEFEFE"/>
        </w:rPr>
        <w:t>изм. и доп. ДВ. бр. 46 от 3 ю</w:t>
      </w:r>
      <w:r w:rsidRPr="00FD4C39">
        <w:rPr>
          <w:rFonts w:ascii="Times New Roman" w:eastAsia="Times New Roman" w:hAnsi="Times New Roman" w:cs="Times New Roman"/>
          <w:bCs/>
          <w:iCs/>
          <w:sz w:val="24"/>
          <w:szCs w:val="24"/>
          <w:highlight w:val="white"/>
          <w:shd w:val="clear" w:color="auto" w:fill="FEFEFE"/>
        </w:rPr>
        <w:t>ни 2014</w:t>
      </w:r>
      <w:r w:rsidR="004D42A2">
        <w:rPr>
          <w:rFonts w:ascii="Times New Roman" w:eastAsia="Times New Roman" w:hAnsi="Times New Roman" w:cs="Times New Roman"/>
          <w:bCs/>
          <w:iCs/>
          <w:sz w:val="24"/>
          <w:szCs w:val="24"/>
          <w:highlight w:val="white"/>
          <w:shd w:val="clear" w:color="auto" w:fill="FEFEFE"/>
        </w:rPr>
        <w:t> г.</w:t>
      </w:r>
      <w:r w:rsidRPr="00FD4C39">
        <w:rPr>
          <w:rFonts w:ascii="Times New Roman" w:eastAsia="Times New Roman" w:hAnsi="Times New Roman" w:cs="Times New Roman"/>
          <w:bCs/>
          <w:iCs/>
          <w:sz w:val="24"/>
          <w:szCs w:val="24"/>
          <w:highlight w:val="white"/>
          <w:shd w:val="clear" w:color="auto" w:fill="FEFEFE"/>
        </w:rPr>
        <w:t xml:space="preserve">), като направените промени в </w:t>
      </w:r>
      <w:r w:rsidRPr="00FD4C39">
        <w:rPr>
          <w:rFonts w:ascii="Times New Roman" w:hAnsi="Times New Roman" w:cs="Times New Roman"/>
          <w:sz w:val="24"/>
          <w:szCs w:val="24"/>
        </w:rPr>
        <w:t xml:space="preserve">структурата на </w:t>
      </w:r>
      <w:r w:rsidR="00FE7018" w:rsidRPr="00FD4C39">
        <w:rPr>
          <w:rFonts w:ascii="Times New Roman" w:hAnsi="Times New Roman" w:cs="Times New Roman"/>
          <w:sz w:val="24"/>
          <w:szCs w:val="24"/>
        </w:rPr>
        <w:t>КЗЛД</w:t>
      </w:r>
      <w:r w:rsidR="001D59BB">
        <w:rPr>
          <w:rFonts w:ascii="Times New Roman" w:hAnsi="Times New Roman" w:cs="Times New Roman"/>
          <w:sz w:val="24"/>
          <w:szCs w:val="24"/>
        </w:rPr>
        <w:t xml:space="preserve"> се</w:t>
      </w:r>
      <w:r w:rsidRPr="00FD4C39">
        <w:rPr>
          <w:rFonts w:ascii="Times New Roman" w:hAnsi="Times New Roman" w:cs="Times New Roman"/>
          <w:sz w:val="24"/>
          <w:szCs w:val="24"/>
        </w:rPr>
        <w:t xml:space="preserve"> съобраз</w:t>
      </w:r>
      <w:r w:rsidR="001D59BB">
        <w:rPr>
          <w:rFonts w:ascii="Times New Roman" w:hAnsi="Times New Roman" w:cs="Times New Roman"/>
          <w:sz w:val="24"/>
          <w:szCs w:val="24"/>
        </w:rPr>
        <w:t>яват</w:t>
      </w:r>
      <w:r w:rsidRPr="00FD4C39">
        <w:rPr>
          <w:rFonts w:ascii="Times New Roman" w:hAnsi="Times New Roman" w:cs="Times New Roman"/>
          <w:sz w:val="24"/>
          <w:szCs w:val="24"/>
        </w:rPr>
        <w:t xml:space="preserve"> с препоръките по проведения функционален анализ. </w:t>
      </w:r>
    </w:p>
    <w:p w:rsidR="00AB66A9" w:rsidRPr="00FD4C39" w:rsidRDefault="001D59BB" w:rsidP="007B189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Промяната се реализира</w:t>
      </w:r>
      <w:r w:rsidR="00AB66A9" w:rsidRPr="00FD4C39">
        <w:rPr>
          <w:rFonts w:ascii="Times New Roman" w:hAnsi="Times New Roman" w:cs="Times New Roman"/>
          <w:sz w:val="24"/>
          <w:szCs w:val="24"/>
        </w:rPr>
        <w:t xml:space="preserve"> чрез сливане на 4 отдела от дирекцията от общата администрация и обособяванет</w:t>
      </w:r>
      <w:r>
        <w:rPr>
          <w:rFonts w:ascii="Times New Roman" w:hAnsi="Times New Roman" w:cs="Times New Roman"/>
          <w:sz w:val="24"/>
          <w:szCs w:val="24"/>
        </w:rPr>
        <w:t>о им в два отдела. В допълнение</w:t>
      </w:r>
      <w:r w:rsidR="00AB66A9" w:rsidRPr="00FD4C39">
        <w:rPr>
          <w:rFonts w:ascii="Times New Roman" w:hAnsi="Times New Roman" w:cs="Times New Roman"/>
          <w:sz w:val="24"/>
          <w:szCs w:val="24"/>
        </w:rPr>
        <w:t xml:space="preserve"> функции, изпълнявани до този момент от специализираната администрация, но </w:t>
      </w:r>
      <w:r>
        <w:rPr>
          <w:rFonts w:ascii="Times New Roman" w:hAnsi="Times New Roman" w:cs="Times New Roman"/>
          <w:sz w:val="24"/>
          <w:szCs w:val="24"/>
        </w:rPr>
        <w:t>нетипични за нейната дейност, се</w:t>
      </w:r>
      <w:r w:rsidR="00AB66A9" w:rsidRPr="00FD4C39">
        <w:rPr>
          <w:rFonts w:ascii="Times New Roman" w:hAnsi="Times New Roman" w:cs="Times New Roman"/>
          <w:sz w:val="24"/>
          <w:szCs w:val="24"/>
        </w:rPr>
        <w:t xml:space="preserve"> прехвърл</w:t>
      </w:r>
      <w:r>
        <w:rPr>
          <w:rFonts w:ascii="Times New Roman" w:hAnsi="Times New Roman" w:cs="Times New Roman"/>
          <w:sz w:val="24"/>
          <w:szCs w:val="24"/>
        </w:rPr>
        <w:t>ят към д</w:t>
      </w:r>
      <w:r w:rsidR="00AB66A9" w:rsidRPr="00FD4C39">
        <w:rPr>
          <w:rFonts w:ascii="Times New Roman" w:hAnsi="Times New Roman" w:cs="Times New Roman"/>
          <w:sz w:val="24"/>
          <w:szCs w:val="24"/>
        </w:rPr>
        <w:t xml:space="preserve">ирекцията от общата администрация. </w:t>
      </w:r>
    </w:p>
    <w:p w:rsidR="00AB66A9" w:rsidRPr="00FD4C39" w:rsidRDefault="00AB66A9" w:rsidP="007B189E">
      <w:pPr>
        <w:autoSpaceDE w:val="0"/>
        <w:autoSpaceDN w:val="0"/>
        <w:adjustRightInd w:val="0"/>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 резултат на извършените структурни промени процесът по координация между отделните административ</w:t>
      </w:r>
      <w:r w:rsidR="00A10396">
        <w:rPr>
          <w:rFonts w:ascii="Times New Roman" w:hAnsi="Times New Roman" w:cs="Times New Roman"/>
          <w:sz w:val="24"/>
          <w:szCs w:val="24"/>
        </w:rPr>
        <w:t>ни звена се</w:t>
      </w:r>
      <w:r w:rsidRPr="00FD4C39">
        <w:rPr>
          <w:rFonts w:ascii="Times New Roman" w:hAnsi="Times New Roman" w:cs="Times New Roman"/>
          <w:sz w:val="24"/>
          <w:szCs w:val="24"/>
        </w:rPr>
        <w:t xml:space="preserve"> подобр</w:t>
      </w:r>
      <w:r w:rsidR="00A10396">
        <w:rPr>
          <w:rFonts w:ascii="Times New Roman" w:hAnsi="Times New Roman" w:cs="Times New Roman"/>
          <w:sz w:val="24"/>
          <w:szCs w:val="24"/>
        </w:rPr>
        <w:t>ява</w:t>
      </w:r>
      <w:r w:rsidRPr="00FD4C39">
        <w:rPr>
          <w:rFonts w:ascii="Times New Roman" w:hAnsi="Times New Roman" w:cs="Times New Roman"/>
          <w:sz w:val="24"/>
          <w:szCs w:val="24"/>
        </w:rPr>
        <w:t>, а времето за извършване на работните задачи и и</w:t>
      </w:r>
      <w:r w:rsidR="00A10396">
        <w:rPr>
          <w:rFonts w:ascii="Times New Roman" w:hAnsi="Times New Roman" w:cs="Times New Roman"/>
          <w:sz w:val="24"/>
          <w:szCs w:val="24"/>
        </w:rPr>
        <w:t>зпълнение на работните процеси се</w:t>
      </w:r>
      <w:r w:rsidRPr="00FD4C39">
        <w:rPr>
          <w:rFonts w:ascii="Times New Roman" w:hAnsi="Times New Roman" w:cs="Times New Roman"/>
          <w:sz w:val="24"/>
          <w:szCs w:val="24"/>
        </w:rPr>
        <w:t xml:space="preserve"> намал</w:t>
      </w:r>
      <w:r w:rsidR="00A10396">
        <w:rPr>
          <w:rFonts w:ascii="Times New Roman" w:hAnsi="Times New Roman" w:cs="Times New Roman"/>
          <w:sz w:val="24"/>
          <w:szCs w:val="24"/>
        </w:rPr>
        <w:t>ява</w:t>
      </w:r>
      <w:r w:rsidRPr="00FD4C39">
        <w:rPr>
          <w:rFonts w:ascii="Times New Roman" w:hAnsi="Times New Roman" w:cs="Times New Roman"/>
          <w:sz w:val="24"/>
          <w:szCs w:val="24"/>
        </w:rPr>
        <w:t xml:space="preserve"> значително. По този начин към края на 2014</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цялостната дейност по управление на </w:t>
      </w:r>
      <w:r w:rsidR="00A10396">
        <w:rPr>
          <w:rFonts w:ascii="Times New Roman" w:hAnsi="Times New Roman" w:cs="Times New Roman"/>
          <w:sz w:val="24"/>
          <w:szCs w:val="24"/>
        </w:rPr>
        <w:t>финансови и материални ресурси се оптимизира</w:t>
      </w:r>
      <w:r w:rsidRPr="00FD4C39">
        <w:rPr>
          <w:rFonts w:ascii="Times New Roman" w:hAnsi="Times New Roman" w:cs="Times New Roman"/>
          <w:sz w:val="24"/>
          <w:szCs w:val="24"/>
        </w:rPr>
        <w:t xml:space="preserve"> и</w:t>
      </w:r>
      <w:r w:rsidR="00A10396">
        <w:rPr>
          <w:rFonts w:ascii="Times New Roman" w:hAnsi="Times New Roman" w:cs="Times New Roman"/>
          <w:sz w:val="24"/>
          <w:szCs w:val="24"/>
        </w:rPr>
        <w:t xml:space="preserve"> е</w:t>
      </w:r>
      <w:r w:rsidRPr="00FD4C39">
        <w:rPr>
          <w:rFonts w:ascii="Times New Roman" w:hAnsi="Times New Roman" w:cs="Times New Roman"/>
          <w:sz w:val="24"/>
          <w:szCs w:val="24"/>
        </w:rPr>
        <w:t xml:space="preserve"> по-ефективна.</w:t>
      </w:r>
    </w:p>
    <w:p w:rsidR="00AB66A9" w:rsidRPr="00FD4C39" w:rsidRDefault="00AB66A9" w:rsidP="007B189E">
      <w:pPr>
        <w:autoSpaceDE w:val="0"/>
        <w:autoSpaceDN w:val="0"/>
        <w:adjustRightInd w:val="0"/>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За да се запази съотношението обща към специализирана администрация, освобо</w:t>
      </w:r>
      <w:r w:rsidR="006B565E">
        <w:rPr>
          <w:rFonts w:ascii="Times New Roman" w:hAnsi="Times New Roman" w:cs="Times New Roman"/>
          <w:sz w:val="24"/>
          <w:szCs w:val="24"/>
        </w:rPr>
        <w:t>дените ръководни щатни бройки се</w:t>
      </w:r>
      <w:r w:rsidRPr="00FD4C39">
        <w:rPr>
          <w:rFonts w:ascii="Times New Roman" w:hAnsi="Times New Roman" w:cs="Times New Roman"/>
          <w:sz w:val="24"/>
          <w:szCs w:val="24"/>
        </w:rPr>
        <w:t xml:space="preserve"> преобразува</w:t>
      </w:r>
      <w:r w:rsidR="006B565E">
        <w:rPr>
          <w:rFonts w:ascii="Times New Roman" w:hAnsi="Times New Roman" w:cs="Times New Roman"/>
          <w:sz w:val="24"/>
          <w:szCs w:val="24"/>
        </w:rPr>
        <w:t>т</w:t>
      </w:r>
      <w:r w:rsidRPr="00FD4C39">
        <w:rPr>
          <w:rFonts w:ascii="Times New Roman" w:hAnsi="Times New Roman" w:cs="Times New Roman"/>
          <w:sz w:val="24"/>
          <w:szCs w:val="24"/>
        </w:rPr>
        <w:t xml:space="preserve"> в експертни и</w:t>
      </w:r>
      <w:r w:rsidR="006B565E">
        <w:rPr>
          <w:rFonts w:ascii="Times New Roman" w:hAnsi="Times New Roman" w:cs="Times New Roman"/>
          <w:sz w:val="24"/>
          <w:szCs w:val="24"/>
        </w:rPr>
        <w:t xml:space="preserve"> се</w:t>
      </w:r>
      <w:r w:rsidRPr="00FD4C39">
        <w:rPr>
          <w:rFonts w:ascii="Times New Roman" w:hAnsi="Times New Roman" w:cs="Times New Roman"/>
          <w:sz w:val="24"/>
          <w:szCs w:val="24"/>
        </w:rPr>
        <w:t xml:space="preserve"> пренасоч</w:t>
      </w:r>
      <w:r w:rsidR="006B565E">
        <w:rPr>
          <w:rFonts w:ascii="Times New Roman" w:hAnsi="Times New Roman" w:cs="Times New Roman"/>
          <w:sz w:val="24"/>
          <w:szCs w:val="24"/>
        </w:rPr>
        <w:t>ват</w:t>
      </w:r>
      <w:r w:rsidRPr="00FD4C39">
        <w:rPr>
          <w:rFonts w:ascii="Times New Roman" w:hAnsi="Times New Roman" w:cs="Times New Roman"/>
          <w:sz w:val="24"/>
          <w:szCs w:val="24"/>
        </w:rPr>
        <w:t xml:space="preserve"> към дирекциите от специализирана</w:t>
      </w:r>
      <w:r w:rsidR="006B565E">
        <w:rPr>
          <w:rFonts w:ascii="Times New Roman" w:hAnsi="Times New Roman" w:cs="Times New Roman"/>
          <w:sz w:val="24"/>
          <w:szCs w:val="24"/>
        </w:rPr>
        <w:t>та администрация. Тези бройки се</w:t>
      </w:r>
      <w:r w:rsidRPr="00FD4C39">
        <w:rPr>
          <w:rFonts w:ascii="Times New Roman" w:hAnsi="Times New Roman" w:cs="Times New Roman"/>
          <w:sz w:val="24"/>
          <w:szCs w:val="24"/>
        </w:rPr>
        <w:t xml:space="preserve"> използва</w:t>
      </w:r>
      <w:r w:rsidR="006B565E">
        <w:rPr>
          <w:rFonts w:ascii="Times New Roman" w:hAnsi="Times New Roman" w:cs="Times New Roman"/>
          <w:sz w:val="24"/>
          <w:szCs w:val="24"/>
        </w:rPr>
        <w:t>т</w:t>
      </w:r>
      <w:r w:rsidRPr="00FD4C39">
        <w:rPr>
          <w:rFonts w:ascii="Times New Roman" w:hAnsi="Times New Roman" w:cs="Times New Roman"/>
          <w:sz w:val="24"/>
          <w:szCs w:val="24"/>
        </w:rPr>
        <w:t xml:space="preserve"> за укрепване на съществуващия капацитет в направления на дейност на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 при които има недостиг на експертиза и необходимост от назначаване на служители на експертни длъжности</w:t>
      </w:r>
      <w:r w:rsidR="004D42A2">
        <w:rPr>
          <w:rFonts w:ascii="Times New Roman" w:hAnsi="Times New Roman" w:cs="Times New Roman"/>
          <w:sz w:val="24"/>
          <w:szCs w:val="24"/>
        </w:rPr>
        <w:t xml:space="preserve"> – </w:t>
      </w:r>
      <w:r w:rsidRPr="00FD4C39">
        <w:rPr>
          <w:rFonts w:ascii="Times New Roman" w:hAnsi="Times New Roman" w:cs="Times New Roman"/>
          <w:sz w:val="24"/>
          <w:szCs w:val="24"/>
        </w:rPr>
        <w:t xml:space="preserve">в областта на развитието, международните дейности, стратегическото планиране и мониторинга на изпълнението, както и за укрепване на контролната дейност на </w:t>
      </w:r>
      <w:r w:rsidR="00FE7018" w:rsidRPr="00FD4C39">
        <w:rPr>
          <w:rFonts w:ascii="Times New Roman" w:hAnsi="Times New Roman" w:cs="Times New Roman"/>
          <w:sz w:val="24"/>
          <w:szCs w:val="24"/>
        </w:rPr>
        <w:t>КЗЛД</w:t>
      </w:r>
      <w:r w:rsidRPr="00FD4C39">
        <w:rPr>
          <w:rFonts w:ascii="Times New Roman" w:hAnsi="Times New Roman" w:cs="Times New Roman"/>
          <w:sz w:val="24"/>
          <w:szCs w:val="24"/>
        </w:rPr>
        <w:t>.</w:t>
      </w:r>
    </w:p>
    <w:p w:rsidR="00AB66A9" w:rsidRPr="00FD4C39" w:rsidRDefault="00AB66A9" w:rsidP="007B189E">
      <w:pPr>
        <w:autoSpaceDE w:val="0"/>
        <w:autoSpaceDN w:val="0"/>
        <w:adjustRightInd w:val="0"/>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С преструктурирането </w:t>
      </w:r>
      <w:r w:rsidR="008B6843">
        <w:rPr>
          <w:rFonts w:ascii="Times New Roman" w:hAnsi="Times New Roman" w:cs="Times New Roman"/>
          <w:sz w:val="24"/>
          <w:szCs w:val="24"/>
        </w:rPr>
        <w:t>се оптимизира</w:t>
      </w:r>
      <w:r w:rsidRPr="00FD4C39">
        <w:rPr>
          <w:rFonts w:ascii="Times New Roman" w:hAnsi="Times New Roman" w:cs="Times New Roman"/>
          <w:sz w:val="24"/>
          <w:szCs w:val="24"/>
        </w:rPr>
        <w:t xml:space="preserve"> дейността и на специал</w:t>
      </w:r>
      <w:r w:rsidR="008B6843">
        <w:rPr>
          <w:rFonts w:ascii="Times New Roman" w:hAnsi="Times New Roman" w:cs="Times New Roman"/>
          <w:sz w:val="24"/>
          <w:szCs w:val="24"/>
        </w:rPr>
        <w:t>изираната администрация, като се предвиждат</w:t>
      </w:r>
      <w:r w:rsidRPr="00FD4C39">
        <w:rPr>
          <w:rFonts w:ascii="Times New Roman" w:hAnsi="Times New Roman" w:cs="Times New Roman"/>
          <w:sz w:val="24"/>
          <w:szCs w:val="24"/>
        </w:rPr>
        <w:t xml:space="preserve"> нови направления на дейност, релевантни към всяка административна структура, като организиране на </w:t>
      </w:r>
      <w:proofErr w:type="spellStart"/>
      <w:r w:rsidRPr="00FD4C39">
        <w:rPr>
          <w:rFonts w:ascii="Times New Roman" w:hAnsi="Times New Roman" w:cs="Times New Roman"/>
          <w:sz w:val="24"/>
          <w:szCs w:val="24"/>
        </w:rPr>
        <w:t>целеполагането</w:t>
      </w:r>
      <w:proofErr w:type="spellEnd"/>
      <w:r w:rsidRPr="00FD4C39">
        <w:rPr>
          <w:rFonts w:ascii="Times New Roman" w:hAnsi="Times New Roman" w:cs="Times New Roman"/>
          <w:sz w:val="24"/>
          <w:szCs w:val="24"/>
        </w:rPr>
        <w:t xml:space="preserve"> в отделните звена, мониторинг и отчитане на резултатите от изпълнението на стратегически документи. </w:t>
      </w:r>
    </w:p>
    <w:p w:rsidR="00AB66A9" w:rsidRPr="00FD4C39" w:rsidRDefault="008B6843"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През отчетния период се обявяват</w:t>
      </w:r>
      <w:r w:rsidR="00AB66A9" w:rsidRPr="00FD4C39">
        <w:rPr>
          <w:rFonts w:ascii="Times New Roman" w:eastAsia="Calibri" w:hAnsi="Times New Roman" w:cs="Times New Roman"/>
          <w:sz w:val="24"/>
          <w:szCs w:val="24"/>
        </w:rPr>
        <w:t xml:space="preserve"> 9 конкурса за заемане на свободни длъжности в общата и специализираната администрация на КЗЛД. За пет от тях конкурсните </w:t>
      </w:r>
      <w:r>
        <w:rPr>
          <w:rFonts w:ascii="Times New Roman" w:eastAsia="Calibri" w:hAnsi="Times New Roman" w:cs="Times New Roman"/>
          <w:sz w:val="24"/>
          <w:szCs w:val="24"/>
        </w:rPr>
        <w:lastRenderedPageBreak/>
        <w:t>процедури приключват,</w:t>
      </w:r>
      <w:r w:rsidR="00AB66A9" w:rsidRPr="00FD4C3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като се назначават</w:t>
      </w:r>
      <w:r w:rsidR="00AB66A9" w:rsidRPr="00FD4C39">
        <w:rPr>
          <w:rFonts w:ascii="Times New Roman" w:eastAsia="Calibri" w:hAnsi="Times New Roman" w:cs="Times New Roman"/>
          <w:sz w:val="24"/>
          <w:szCs w:val="24"/>
        </w:rPr>
        <w:t xml:space="preserve"> 5</w:t>
      </w:r>
      <w:r>
        <w:rPr>
          <w:rFonts w:ascii="Times New Roman" w:eastAsia="Calibri" w:hAnsi="Times New Roman" w:cs="Times New Roman"/>
          <w:sz w:val="24"/>
          <w:szCs w:val="24"/>
        </w:rPr>
        <w:t>-има</w:t>
      </w:r>
      <w:r w:rsidR="00AB66A9" w:rsidRPr="00FD4C39">
        <w:rPr>
          <w:rFonts w:ascii="Times New Roman" w:eastAsia="Calibri" w:hAnsi="Times New Roman" w:cs="Times New Roman"/>
          <w:sz w:val="24"/>
          <w:szCs w:val="24"/>
        </w:rPr>
        <w:t xml:space="preserve"> нови служители по служебно правоотношение. Очаква се останалите четири конкурса да приключат в началото на м. февруари 2015</w:t>
      </w:r>
      <w:r w:rsidR="004D42A2">
        <w:rPr>
          <w:rFonts w:ascii="Times New Roman" w:eastAsia="Calibri" w:hAnsi="Times New Roman" w:cs="Times New Roman"/>
          <w:sz w:val="24"/>
          <w:szCs w:val="24"/>
        </w:rPr>
        <w:t> г.</w:t>
      </w:r>
      <w:r w:rsidR="00AB66A9" w:rsidRPr="00FD4C39">
        <w:rPr>
          <w:rFonts w:ascii="Times New Roman" w:eastAsia="Calibri" w:hAnsi="Times New Roman" w:cs="Times New Roman"/>
          <w:sz w:val="24"/>
          <w:szCs w:val="24"/>
        </w:rPr>
        <w:t xml:space="preserve"> </w:t>
      </w:r>
    </w:p>
    <w:p w:rsidR="00AB66A9" w:rsidRPr="00FD4C39" w:rsidRDefault="00AB66A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 </w:t>
      </w:r>
      <w:r w:rsidR="00FE7018" w:rsidRPr="00FD4C39">
        <w:rPr>
          <w:rFonts w:ascii="Times New Roman" w:eastAsia="Calibri" w:hAnsi="Times New Roman" w:cs="Times New Roman"/>
          <w:sz w:val="24"/>
          <w:szCs w:val="24"/>
        </w:rPr>
        <w:t>КЗЛД</w:t>
      </w:r>
      <w:r w:rsidR="00A227D6"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обучението на служителите от нейната администрация е важен елемент от управлението на човешките ресурси. През отчетния период приоритет получават онези курсове и обучения, които спомагат за повишаването на ефективността на работа и допринасят за постигане на целите на КЗЛД.</w:t>
      </w:r>
    </w:p>
    <w:p w:rsidR="00AB66A9" w:rsidRPr="00FD4C39" w:rsidRDefault="00AB66A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м. март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w:t>
      </w:r>
      <w:r w:rsidR="008B6843">
        <w:rPr>
          <w:rFonts w:ascii="Times New Roman" w:eastAsia="Calibri" w:hAnsi="Times New Roman" w:cs="Times New Roman"/>
          <w:sz w:val="24"/>
          <w:szCs w:val="24"/>
        </w:rPr>
        <w:t>се изготвя</w:t>
      </w:r>
      <w:r w:rsidRPr="00FD4C39">
        <w:rPr>
          <w:rFonts w:ascii="Times New Roman" w:eastAsia="Calibri" w:hAnsi="Times New Roman" w:cs="Times New Roman"/>
          <w:sz w:val="24"/>
          <w:szCs w:val="24"/>
        </w:rPr>
        <w:t xml:space="preserve"> и утвър</w:t>
      </w:r>
      <w:r w:rsidR="008B6843">
        <w:rPr>
          <w:rFonts w:ascii="Times New Roman" w:eastAsia="Calibri" w:hAnsi="Times New Roman" w:cs="Times New Roman"/>
          <w:sz w:val="24"/>
          <w:szCs w:val="24"/>
        </w:rPr>
        <w:t>ждава</w:t>
      </w:r>
      <w:r w:rsidRPr="00FD4C39">
        <w:rPr>
          <w:rFonts w:ascii="Times New Roman" w:eastAsia="Calibri" w:hAnsi="Times New Roman" w:cs="Times New Roman"/>
          <w:sz w:val="24"/>
          <w:szCs w:val="24"/>
        </w:rPr>
        <w:t xml:space="preserve"> Годишен план за обучение с две основни направления: </w:t>
      </w:r>
    </w:p>
    <w:p w:rsidR="00AB66A9" w:rsidRPr="00FD4C39" w:rsidRDefault="00AB66A9" w:rsidP="0002674A">
      <w:pPr>
        <w:pStyle w:val="ListParagraph"/>
        <w:numPr>
          <w:ilvl w:val="0"/>
          <w:numId w:val="20"/>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задължително обучение</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 xml:space="preserve">обучение на служители, постъпващи </w:t>
      </w:r>
      <w:r w:rsidR="00E63B33">
        <w:rPr>
          <w:rFonts w:ascii="Times New Roman" w:eastAsia="Calibri" w:hAnsi="Times New Roman" w:cs="Times New Roman"/>
          <w:sz w:val="24"/>
          <w:szCs w:val="24"/>
        </w:rPr>
        <w:t>за първи път на държавна служба</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1 новоназначен държавен служител на експертна длъжност и 1 новоназначен служител на ръководна длъжност са преминали обучение;</w:t>
      </w:r>
    </w:p>
    <w:p w:rsidR="00AB66A9" w:rsidRPr="00FD4C39" w:rsidRDefault="00AB66A9" w:rsidP="0002674A">
      <w:pPr>
        <w:pStyle w:val="ListParagraph"/>
        <w:numPr>
          <w:ilvl w:val="0"/>
          <w:numId w:val="20"/>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специализирано обучение</w:t>
      </w:r>
      <w:r w:rsidR="004D42A2">
        <w:rPr>
          <w:rFonts w:ascii="Times New Roman" w:eastAsia="Calibri" w:hAnsi="Times New Roman" w:cs="Times New Roman"/>
          <w:b/>
          <w:sz w:val="24"/>
          <w:szCs w:val="24"/>
        </w:rPr>
        <w:t xml:space="preserve"> – </w:t>
      </w:r>
      <w:r w:rsidRPr="00FD4C39">
        <w:rPr>
          <w:rFonts w:ascii="Times New Roman" w:eastAsia="Calibri" w:hAnsi="Times New Roman" w:cs="Times New Roman"/>
          <w:sz w:val="24"/>
          <w:szCs w:val="24"/>
        </w:rPr>
        <w:t>за професионално развитие и повишаване на кв</w:t>
      </w:r>
      <w:r w:rsidR="00E63B33">
        <w:rPr>
          <w:rFonts w:ascii="Times New Roman" w:eastAsia="Calibri" w:hAnsi="Times New Roman" w:cs="Times New Roman"/>
          <w:sz w:val="24"/>
          <w:szCs w:val="24"/>
        </w:rPr>
        <w:t>алификацията. В годишния план се</w:t>
      </w:r>
      <w:r w:rsidRPr="00FD4C39">
        <w:rPr>
          <w:rFonts w:ascii="Times New Roman" w:eastAsia="Calibri" w:hAnsi="Times New Roman" w:cs="Times New Roman"/>
          <w:sz w:val="24"/>
          <w:szCs w:val="24"/>
        </w:rPr>
        <w:t xml:space="preserve"> предви</w:t>
      </w:r>
      <w:r w:rsidR="00E63B33">
        <w:rPr>
          <w:rFonts w:ascii="Times New Roman" w:eastAsia="Calibri" w:hAnsi="Times New Roman" w:cs="Times New Roman"/>
          <w:sz w:val="24"/>
          <w:szCs w:val="24"/>
        </w:rPr>
        <w:t>ждат</w:t>
      </w:r>
      <w:r w:rsidRPr="00FD4C39">
        <w:rPr>
          <w:rFonts w:ascii="Times New Roman" w:eastAsia="Calibri" w:hAnsi="Times New Roman" w:cs="Times New Roman"/>
          <w:sz w:val="24"/>
          <w:szCs w:val="24"/>
        </w:rPr>
        <w:t xml:space="preserve"> обучения за 65 служители. Реално в обучение по Год</w:t>
      </w:r>
      <w:r w:rsidR="00E63B33">
        <w:rPr>
          <w:rFonts w:ascii="Times New Roman" w:eastAsia="Calibri" w:hAnsi="Times New Roman" w:cs="Times New Roman"/>
          <w:sz w:val="24"/>
          <w:szCs w:val="24"/>
        </w:rPr>
        <w:t>ишен план, за отчетния период участват</w:t>
      </w:r>
      <w:r w:rsidRPr="00FD4C39">
        <w:rPr>
          <w:rFonts w:ascii="Times New Roman" w:eastAsia="Calibri" w:hAnsi="Times New Roman" w:cs="Times New Roman"/>
          <w:sz w:val="24"/>
          <w:szCs w:val="24"/>
        </w:rPr>
        <w:t xml:space="preserve"> 7 служители. Участието в обучения </w:t>
      </w:r>
      <w:r w:rsidR="00E63B33">
        <w:rPr>
          <w:rFonts w:ascii="Times New Roman" w:eastAsia="Calibri" w:hAnsi="Times New Roman" w:cs="Times New Roman"/>
          <w:sz w:val="24"/>
          <w:szCs w:val="24"/>
        </w:rPr>
        <w:t>временно се преустановява</w:t>
      </w:r>
      <w:r w:rsidRPr="00FD4C39">
        <w:rPr>
          <w:rFonts w:ascii="Times New Roman" w:eastAsia="Calibri" w:hAnsi="Times New Roman" w:cs="Times New Roman"/>
          <w:sz w:val="24"/>
          <w:szCs w:val="24"/>
        </w:rPr>
        <w:t xml:space="preserve"> поради налагащи се бюджетни рестрикции.</w:t>
      </w:r>
    </w:p>
    <w:p w:rsidR="00AB66A9" w:rsidRPr="00FD4C39" w:rsidRDefault="00AB66A9" w:rsidP="00EC62CF">
      <w:pPr>
        <w:pStyle w:val="ListParagraph"/>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 отчетния период основна институция за реализиране на планираното обучение на служителите от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е ИПА към Министерски съвет. </w:t>
      </w:r>
    </w:p>
    <w:p w:rsidR="00EC62CF" w:rsidRPr="00FD4C39" w:rsidRDefault="00EC62CF" w:rsidP="00EC62CF">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През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продължава осъществяването на спечеления от КЗЛД проект по ОПАК, Приоритетна ос „</w:t>
      </w:r>
      <w:r w:rsidR="00F63B83">
        <w:rPr>
          <w:rFonts w:ascii="Times New Roman" w:eastAsia="Calibri" w:hAnsi="Times New Roman" w:cs="Times New Roman"/>
          <w:sz w:val="24"/>
          <w:szCs w:val="24"/>
        </w:rPr>
        <w:t>Управление на човешките ресурси“</w:t>
      </w:r>
      <w:r w:rsidRPr="00FD4C39">
        <w:rPr>
          <w:rFonts w:ascii="Times New Roman" w:eastAsia="Calibri" w:hAnsi="Times New Roman" w:cs="Times New Roman"/>
          <w:sz w:val="24"/>
          <w:szCs w:val="24"/>
        </w:rPr>
        <w:t xml:space="preserve">, </w:t>
      </w:r>
      <w:proofErr w:type="spellStart"/>
      <w:r w:rsidRPr="00FD4C39">
        <w:rPr>
          <w:rFonts w:ascii="Times New Roman" w:eastAsia="Calibri" w:hAnsi="Times New Roman" w:cs="Times New Roman"/>
          <w:sz w:val="24"/>
          <w:szCs w:val="24"/>
        </w:rPr>
        <w:t>Подприоритет</w:t>
      </w:r>
      <w:proofErr w:type="spellEnd"/>
      <w:r w:rsidRPr="00FD4C39">
        <w:rPr>
          <w:rFonts w:ascii="Times New Roman" w:eastAsia="Calibri" w:hAnsi="Times New Roman" w:cs="Times New Roman"/>
          <w:sz w:val="24"/>
          <w:szCs w:val="24"/>
        </w:rPr>
        <w:t xml:space="preserve"> „Компетентна и ефективна държавна администрация</w:t>
      </w:r>
      <w:r w:rsidR="00F63B83">
        <w:rPr>
          <w:rFonts w:ascii="Times New Roman" w:eastAsia="Calibri" w:hAnsi="Times New Roman" w:cs="Times New Roman"/>
          <w:sz w:val="24"/>
          <w:szCs w:val="24"/>
        </w:rPr>
        <w:t>“</w:t>
      </w:r>
      <w:r w:rsidR="004D42A2">
        <w:rPr>
          <w:rFonts w:ascii="Times New Roman" w:eastAsia="Calibri" w:hAnsi="Times New Roman" w:cs="Times New Roman"/>
          <w:sz w:val="24"/>
          <w:szCs w:val="24"/>
        </w:rPr>
        <w:t xml:space="preserve"> – </w:t>
      </w:r>
      <w:r w:rsidRPr="00FD4C39">
        <w:rPr>
          <w:rFonts w:ascii="Times New Roman" w:eastAsia="Calibri" w:hAnsi="Times New Roman" w:cs="Times New Roman"/>
          <w:sz w:val="24"/>
          <w:szCs w:val="24"/>
        </w:rPr>
        <w:t>„Насърчаване на професионалното развитие на служителите на КЗЛД чрез прилагане на система от обучения съобразно техните професионални з</w:t>
      </w:r>
      <w:r w:rsidR="00F63B83">
        <w:rPr>
          <w:rFonts w:ascii="Times New Roman" w:eastAsia="Calibri" w:hAnsi="Times New Roman" w:cs="Times New Roman"/>
          <w:sz w:val="24"/>
          <w:szCs w:val="24"/>
        </w:rPr>
        <w:t>адължения“</w:t>
      </w:r>
      <w:r w:rsidRPr="00FD4C39">
        <w:rPr>
          <w:rFonts w:ascii="Times New Roman" w:eastAsia="Calibri" w:hAnsi="Times New Roman" w:cs="Times New Roman"/>
          <w:sz w:val="24"/>
          <w:szCs w:val="24"/>
        </w:rPr>
        <w:t xml:space="preserve"> с № ЦА 12 22 56/09.04.2013</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по който през отчетния п</w:t>
      </w:r>
      <w:r w:rsidR="00F63B83">
        <w:rPr>
          <w:rFonts w:ascii="Times New Roman" w:eastAsia="Calibri" w:hAnsi="Times New Roman" w:cs="Times New Roman"/>
          <w:sz w:val="24"/>
          <w:szCs w:val="24"/>
        </w:rPr>
        <w:t>ериод са включени 40 служители.</w:t>
      </w:r>
    </w:p>
    <w:p w:rsidR="00AB66A9" w:rsidRPr="00FD4C39" w:rsidRDefault="00F63B83" w:rsidP="007B18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възникнала необходимост</w:t>
      </w:r>
      <w:r w:rsidR="00EC62CF" w:rsidRPr="00FD4C39">
        <w:rPr>
          <w:rFonts w:ascii="Times New Roman" w:eastAsia="Calibri" w:hAnsi="Times New Roman" w:cs="Times New Roman"/>
          <w:sz w:val="24"/>
          <w:szCs w:val="24"/>
        </w:rPr>
        <w:t xml:space="preserve"> с</w:t>
      </w:r>
      <w:r w:rsidR="00AB66A9" w:rsidRPr="00FD4C39">
        <w:rPr>
          <w:rFonts w:ascii="Times New Roman" w:eastAsia="Calibri" w:hAnsi="Times New Roman" w:cs="Times New Roman"/>
          <w:sz w:val="24"/>
          <w:szCs w:val="24"/>
        </w:rPr>
        <w:t>лужители</w:t>
      </w:r>
      <w:r w:rsidR="00EC62CF" w:rsidRPr="00FD4C39">
        <w:rPr>
          <w:rFonts w:ascii="Times New Roman" w:eastAsia="Calibri" w:hAnsi="Times New Roman" w:cs="Times New Roman"/>
          <w:sz w:val="24"/>
          <w:szCs w:val="24"/>
        </w:rPr>
        <w:t>те</w:t>
      </w:r>
      <w:r w:rsidR="00AB66A9" w:rsidRPr="00FD4C39">
        <w:rPr>
          <w:rFonts w:ascii="Times New Roman" w:eastAsia="Calibri" w:hAnsi="Times New Roman" w:cs="Times New Roman"/>
          <w:sz w:val="24"/>
          <w:szCs w:val="24"/>
        </w:rPr>
        <w:t xml:space="preserve"> от администрацията на КЗЛД </w:t>
      </w:r>
      <w:r w:rsidR="00EC62CF" w:rsidRPr="00FD4C39">
        <w:rPr>
          <w:rFonts w:ascii="Times New Roman" w:eastAsia="Calibri" w:hAnsi="Times New Roman" w:cs="Times New Roman"/>
          <w:sz w:val="24"/>
          <w:szCs w:val="24"/>
        </w:rPr>
        <w:t xml:space="preserve">се обучават и от други </w:t>
      </w:r>
      <w:r w:rsidR="00AB66A9" w:rsidRPr="00FD4C39">
        <w:rPr>
          <w:rFonts w:ascii="Times New Roman" w:eastAsia="Calibri" w:hAnsi="Times New Roman" w:cs="Times New Roman"/>
          <w:sz w:val="24"/>
          <w:szCs w:val="24"/>
        </w:rPr>
        <w:t xml:space="preserve">институции по специфични теми, свързани с осъществяването на дейността на </w:t>
      </w:r>
      <w:r w:rsidR="00FE7018" w:rsidRPr="00FD4C39">
        <w:rPr>
          <w:rFonts w:ascii="Times New Roman" w:eastAsia="Calibri" w:hAnsi="Times New Roman" w:cs="Times New Roman"/>
          <w:sz w:val="24"/>
          <w:szCs w:val="24"/>
        </w:rPr>
        <w:t>КЗЛД</w:t>
      </w:r>
      <w:r w:rsidR="00EC62CF" w:rsidRPr="00FD4C39">
        <w:rPr>
          <w:rFonts w:ascii="Times New Roman" w:eastAsia="Calibri" w:hAnsi="Times New Roman" w:cs="Times New Roman"/>
          <w:sz w:val="24"/>
          <w:szCs w:val="24"/>
        </w:rPr>
        <w:t xml:space="preserve"> извън предвиденото по годишния план и по проекта</w:t>
      </w:r>
      <w:r w:rsidR="00AB66A9" w:rsidRPr="00FD4C39">
        <w:rPr>
          <w:rFonts w:ascii="Times New Roman" w:eastAsia="Calibri" w:hAnsi="Times New Roman" w:cs="Times New Roman"/>
          <w:sz w:val="24"/>
          <w:szCs w:val="24"/>
        </w:rPr>
        <w:t>, а именно:</w:t>
      </w:r>
    </w:p>
    <w:p w:rsidR="00AB66A9" w:rsidRPr="00FD4C39" w:rsidRDefault="004931E5" w:rsidP="0002674A">
      <w:pPr>
        <w:pStyle w:val="ListParagraph"/>
        <w:numPr>
          <w:ilvl w:val="0"/>
          <w:numId w:val="12"/>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w:t>
      </w:r>
      <w:r w:rsidR="00AB66A9" w:rsidRPr="00FD4C39">
        <w:rPr>
          <w:rFonts w:ascii="Times New Roman" w:eastAsia="Calibri" w:hAnsi="Times New Roman" w:cs="Times New Roman"/>
          <w:sz w:val="24"/>
          <w:szCs w:val="24"/>
        </w:rPr>
        <w:t>Управление на здравосло</w:t>
      </w:r>
      <w:r w:rsidR="00F63B83">
        <w:rPr>
          <w:rFonts w:ascii="Times New Roman" w:eastAsia="Calibri" w:hAnsi="Times New Roman" w:cs="Times New Roman"/>
          <w:sz w:val="24"/>
          <w:szCs w:val="24"/>
        </w:rPr>
        <w:t>вни и безопасни условия на труд“</w:t>
      </w:r>
      <w:r w:rsidR="004D42A2">
        <w:rPr>
          <w:rFonts w:ascii="Times New Roman" w:eastAsia="Calibri" w:hAnsi="Times New Roman" w:cs="Times New Roman"/>
          <w:sz w:val="24"/>
          <w:szCs w:val="24"/>
        </w:rPr>
        <w:t xml:space="preserve"> – </w:t>
      </w:r>
      <w:r w:rsidR="00EC62CF" w:rsidRPr="00FD4C39">
        <w:rPr>
          <w:rFonts w:ascii="Times New Roman" w:eastAsia="Calibri" w:hAnsi="Times New Roman" w:cs="Times New Roman"/>
          <w:sz w:val="24"/>
          <w:szCs w:val="24"/>
        </w:rPr>
        <w:t>25 души;</w:t>
      </w:r>
      <w:r w:rsidR="00AB66A9" w:rsidRPr="00FD4C39">
        <w:rPr>
          <w:rFonts w:ascii="Times New Roman" w:eastAsia="Calibri" w:hAnsi="Times New Roman" w:cs="Times New Roman"/>
          <w:sz w:val="24"/>
          <w:szCs w:val="24"/>
        </w:rPr>
        <w:t xml:space="preserve"> </w:t>
      </w:r>
    </w:p>
    <w:p w:rsidR="00AB66A9" w:rsidRPr="00FD4C39" w:rsidRDefault="004931E5" w:rsidP="0002674A">
      <w:pPr>
        <w:pStyle w:val="ListParagraph"/>
        <w:numPr>
          <w:ilvl w:val="0"/>
          <w:numId w:val="12"/>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w:t>
      </w:r>
      <w:r w:rsidR="00AB66A9" w:rsidRPr="00FD4C39">
        <w:rPr>
          <w:rFonts w:ascii="Times New Roman" w:eastAsia="Calibri" w:hAnsi="Times New Roman" w:cs="Times New Roman"/>
          <w:sz w:val="24"/>
          <w:szCs w:val="24"/>
        </w:rPr>
        <w:t>Счетоводно приключване  и данъчно облагане на 2013</w:t>
      </w:r>
      <w:r w:rsidR="004D42A2">
        <w:rPr>
          <w:rFonts w:ascii="Times New Roman" w:eastAsia="Calibri" w:hAnsi="Times New Roman" w:cs="Times New Roman"/>
          <w:sz w:val="24"/>
          <w:szCs w:val="24"/>
        </w:rPr>
        <w:t> г.</w:t>
      </w:r>
      <w:r w:rsidR="00F63B83">
        <w:rPr>
          <w:rFonts w:ascii="Times New Roman" w:eastAsia="Calibri" w:hAnsi="Times New Roman" w:cs="Times New Roman"/>
          <w:sz w:val="24"/>
          <w:szCs w:val="24"/>
        </w:rPr>
        <w:t xml:space="preserve"> на бюджетните предприятия“</w:t>
      </w:r>
      <w:r w:rsidR="004D42A2">
        <w:rPr>
          <w:rFonts w:ascii="Times New Roman" w:eastAsia="Calibri" w:hAnsi="Times New Roman" w:cs="Times New Roman"/>
          <w:sz w:val="24"/>
          <w:szCs w:val="24"/>
        </w:rPr>
        <w:t xml:space="preserve"> – </w:t>
      </w:r>
      <w:r w:rsidR="00EC62CF" w:rsidRPr="00FD4C39">
        <w:rPr>
          <w:rFonts w:ascii="Times New Roman" w:eastAsia="Calibri" w:hAnsi="Times New Roman" w:cs="Times New Roman"/>
          <w:sz w:val="24"/>
          <w:szCs w:val="24"/>
        </w:rPr>
        <w:t>1 служител</w:t>
      </w:r>
      <w:r w:rsidR="00AB66A9" w:rsidRPr="00FD4C39">
        <w:rPr>
          <w:rFonts w:ascii="Times New Roman" w:eastAsia="Calibri" w:hAnsi="Times New Roman" w:cs="Times New Roman"/>
          <w:sz w:val="24"/>
          <w:szCs w:val="24"/>
        </w:rPr>
        <w:t xml:space="preserve">; </w:t>
      </w:r>
    </w:p>
    <w:p w:rsidR="00AB66A9" w:rsidRPr="00FD4C39" w:rsidRDefault="004931E5" w:rsidP="0002674A">
      <w:pPr>
        <w:pStyle w:val="ListParagraph"/>
        <w:numPr>
          <w:ilvl w:val="0"/>
          <w:numId w:val="12"/>
        </w:numPr>
        <w:tabs>
          <w:tab w:val="left" w:pos="993"/>
        </w:tabs>
        <w:spacing w:after="0" w:line="360" w:lineRule="auto"/>
        <w:ind w:left="0"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w:t>
      </w:r>
      <w:r w:rsidR="00AB66A9" w:rsidRPr="00FD4C39">
        <w:rPr>
          <w:rFonts w:ascii="Times New Roman" w:eastAsia="Calibri" w:hAnsi="Times New Roman" w:cs="Times New Roman"/>
          <w:sz w:val="24"/>
          <w:szCs w:val="24"/>
        </w:rPr>
        <w:t>Закон за изменение и допълнение на ЗОП</w:t>
      </w:r>
      <w:r w:rsidR="004D42A2">
        <w:rPr>
          <w:rFonts w:ascii="Times New Roman" w:eastAsia="Calibri" w:hAnsi="Times New Roman" w:cs="Times New Roman"/>
          <w:sz w:val="24"/>
          <w:szCs w:val="24"/>
        </w:rPr>
        <w:t xml:space="preserve"> – </w:t>
      </w:r>
      <w:r w:rsidR="00AB66A9" w:rsidRPr="00FD4C39">
        <w:rPr>
          <w:rFonts w:ascii="Times New Roman" w:eastAsia="Calibri" w:hAnsi="Times New Roman" w:cs="Times New Roman"/>
          <w:sz w:val="24"/>
          <w:szCs w:val="24"/>
        </w:rPr>
        <w:t>анализ и тълкуване</w:t>
      </w:r>
      <w:r w:rsidR="00CF0F1F" w:rsidRPr="00FD4C39">
        <w:rPr>
          <w:rFonts w:ascii="Times New Roman" w:eastAsia="Calibri" w:hAnsi="Times New Roman" w:cs="Times New Roman"/>
          <w:sz w:val="24"/>
          <w:szCs w:val="24"/>
        </w:rPr>
        <w:t>“</w:t>
      </w:r>
      <w:r w:rsidR="004D42A2">
        <w:rPr>
          <w:rFonts w:ascii="Times New Roman" w:eastAsia="Calibri" w:hAnsi="Times New Roman" w:cs="Times New Roman"/>
          <w:sz w:val="24"/>
          <w:szCs w:val="24"/>
        </w:rPr>
        <w:t xml:space="preserve"> – </w:t>
      </w:r>
      <w:r w:rsidR="00EC62CF" w:rsidRPr="00FD4C39">
        <w:rPr>
          <w:rFonts w:ascii="Times New Roman" w:eastAsia="Calibri" w:hAnsi="Times New Roman" w:cs="Times New Roman"/>
          <w:sz w:val="24"/>
          <w:szCs w:val="24"/>
        </w:rPr>
        <w:t>1 служител</w:t>
      </w:r>
      <w:r w:rsidR="00AB66A9" w:rsidRPr="00FD4C39">
        <w:rPr>
          <w:rFonts w:ascii="Times New Roman" w:eastAsia="Calibri" w:hAnsi="Times New Roman" w:cs="Times New Roman"/>
          <w:sz w:val="24"/>
          <w:szCs w:val="24"/>
        </w:rPr>
        <w:t>.</w:t>
      </w:r>
    </w:p>
    <w:p w:rsidR="00AB66A9" w:rsidRPr="00FD4C39" w:rsidRDefault="00AB66A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Общо в обучения за повишаване на квалификаци</w:t>
      </w:r>
      <w:r w:rsidR="00F63B83">
        <w:rPr>
          <w:rFonts w:ascii="Times New Roman" w:eastAsia="Calibri" w:hAnsi="Times New Roman" w:cs="Times New Roman"/>
          <w:sz w:val="24"/>
          <w:szCs w:val="24"/>
        </w:rPr>
        <w:t xml:space="preserve">ята и професионално развитие вземат </w:t>
      </w:r>
      <w:r w:rsidRPr="00FD4C39">
        <w:rPr>
          <w:rFonts w:ascii="Times New Roman" w:eastAsia="Calibri" w:hAnsi="Times New Roman" w:cs="Times New Roman"/>
          <w:sz w:val="24"/>
          <w:szCs w:val="24"/>
        </w:rPr>
        <w:t>участ</w:t>
      </w:r>
      <w:r w:rsidR="00F63B83">
        <w:rPr>
          <w:rFonts w:ascii="Times New Roman" w:eastAsia="Calibri" w:hAnsi="Times New Roman" w:cs="Times New Roman"/>
          <w:sz w:val="24"/>
          <w:szCs w:val="24"/>
        </w:rPr>
        <w:t>ие</w:t>
      </w:r>
      <w:r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b/>
          <w:sz w:val="24"/>
          <w:szCs w:val="24"/>
        </w:rPr>
        <w:t xml:space="preserve">74 </w:t>
      </w:r>
      <w:r w:rsidRPr="00FD4C39">
        <w:rPr>
          <w:rFonts w:ascii="Times New Roman" w:eastAsia="Calibri" w:hAnsi="Times New Roman" w:cs="Times New Roman"/>
          <w:sz w:val="24"/>
          <w:szCs w:val="24"/>
        </w:rPr>
        <w:t>служители от администрацията на КЗЛД.</w:t>
      </w:r>
    </w:p>
    <w:p w:rsidR="00AB66A9" w:rsidRPr="00FD4C39" w:rsidRDefault="00AB66A9"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От анализа за участието на служителите в обучителните семинари се установява, че откъсване</w:t>
      </w:r>
      <w:r w:rsidR="00F63B83">
        <w:rPr>
          <w:rFonts w:ascii="Times New Roman" w:eastAsia="Calibri" w:hAnsi="Times New Roman" w:cs="Times New Roman"/>
          <w:sz w:val="24"/>
          <w:szCs w:val="24"/>
        </w:rPr>
        <w:t>то им от работния процес не се отразява</w:t>
      </w:r>
      <w:r w:rsidRPr="00FD4C39">
        <w:rPr>
          <w:rFonts w:ascii="Times New Roman" w:eastAsia="Calibri" w:hAnsi="Times New Roman" w:cs="Times New Roman"/>
          <w:sz w:val="24"/>
          <w:szCs w:val="24"/>
        </w:rPr>
        <w:t xml:space="preserve"> на изпълнението на служебните задължения. Оценката от ефективността на проведените обучения към момента показва свързаност на обучителния процес с изпълнението на целите, задачите и приоритетите на КЗЛД. </w:t>
      </w:r>
    </w:p>
    <w:p w:rsidR="00AB66A9" w:rsidRPr="00FD4C39" w:rsidRDefault="00AB66A9" w:rsidP="007B189E">
      <w:pPr>
        <w:spacing w:after="0" w:line="360" w:lineRule="auto"/>
        <w:ind w:firstLine="709"/>
        <w:jc w:val="both"/>
        <w:rPr>
          <w:rFonts w:ascii="Times New Roman" w:hAnsi="Times New Roman" w:cs="Times New Roman"/>
          <w:sz w:val="24"/>
          <w:szCs w:val="24"/>
        </w:rPr>
      </w:pPr>
    </w:p>
    <w:p w:rsidR="00BA4653" w:rsidRPr="00FD4C39" w:rsidRDefault="003150CD" w:rsidP="003150CD">
      <w:pPr>
        <w:spacing w:after="0" w:line="360" w:lineRule="auto"/>
        <w:ind w:left="709"/>
        <w:jc w:val="both"/>
        <w:rPr>
          <w:rFonts w:ascii="Times New Roman" w:hAnsi="Times New Roman" w:cs="Times New Roman"/>
          <w:b/>
          <w:sz w:val="24"/>
          <w:szCs w:val="24"/>
        </w:rPr>
      </w:pPr>
      <w:r w:rsidRPr="00FD4C39">
        <w:rPr>
          <w:rFonts w:ascii="Times New Roman" w:hAnsi="Times New Roman" w:cs="Times New Roman"/>
          <w:b/>
          <w:sz w:val="24"/>
          <w:szCs w:val="24"/>
        </w:rPr>
        <w:t xml:space="preserve">2. </w:t>
      </w:r>
      <w:r w:rsidR="00BA4653" w:rsidRPr="00FD4C39">
        <w:rPr>
          <w:rFonts w:ascii="Times New Roman" w:hAnsi="Times New Roman" w:cs="Times New Roman"/>
          <w:b/>
          <w:sz w:val="24"/>
          <w:szCs w:val="24"/>
        </w:rPr>
        <w:t xml:space="preserve">Проведени обществени поръчки </w:t>
      </w:r>
    </w:p>
    <w:p w:rsidR="00CD6E3C" w:rsidRPr="00FD4C39" w:rsidRDefault="00CD6E3C" w:rsidP="007B189E">
      <w:pPr>
        <w:spacing w:after="0" w:line="360" w:lineRule="auto"/>
        <w:ind w:firstLine="709"/>
        <w:jc w:val="both"/>
        <w:rPr>
          <w:rFonts w:ascii="Times New Roman" w:hAnsi="Times New Roman" w:cs="Times New Roman"/>
          <w:b/>
          <w:sz w:val="24"/>
          <w:szCs w:val="24"/>
        </w:rPr>
      </w:pPr>
    </w:p>
    <w:p w:rsidR="009D1FA8" w:rsidRPr="00FD4C39" w:rsidRDefault="00CD6E3C" w:rsidP="007B189E">
      <w:pPr>
        <w:spacing w:after="0" w:line="360" w:lineRule="auto"/>
        <w:ind w:firstLine="709"/>
        <w:jc w:val="both"/>
        <w:rPr>
          <w:rFonts w:ascii="Times New Roman" w:hAnsi="Times New Roman" w:cs="Times New Roman"/>
          <w:b/>
          <w:sz w:val="24"/>
          <w:szCs w:val="24"/>
        </w:rPr>
      </w:pPr>
      <w:r w:rsidRPr="00FD4C39">
        <w:rPr>
          <w:rFonts w:ascii="Times New Roman" w:hAnsi="Times New Roman" w:cs="Times New Roman"/>
          <w:b/>
          <w:sz w:val="24"/>
          <w:szCs w:val="24"/>
        </w:rPr>
        <w:t>2</w:t>
      </w:r>
      <w:r w:rsidR="00641210" w:rsidRPr="00FD4C39">
        <w:rPr>
          <w:rFonts w:ascii="Times New Roman" w:hAnsi="Times New Roman" w:cs="Times New Roman"/>
          <w:b/>
          <w:sz w:val="24"/>
          <w:szCs w:val="24"/>
        </w:rPr>
        <w:t>.1</w:t>
      </w:r>
      <w:r w:rsidR="009D1FA8" w:rsidRPr="00FD4C39">
        <w:rPr>
          <w:rFonts w:ascii="Times New Roman" w:hAnsi="Times New Roman" w:cs="Times New Roman"/>
          <w:b/>
          <w:sz w:val="24"/>
          <w:szCs w:val="24"/>
        </w:rPr>
        <w:t xml:space="preserve">. Обществени поръчки, свързани с обезпечаване дейността на </w:t>
      </w:r>
      <w:r w:rsidR="00FE7018" w:rsidRPr="00FD4C39">
        <w:rPr>
          <w:rFonts w:ascii="Times New Roman" w:hAnsi="Times New Roman" w:cs="Times New Roman"/>
          <w:b/>
          <w:sz w:val="24"/>
          <w:szCs w:val="24"/>
        </w:rPr>
        <w:t>КЗЛД</w:t>
      </w:r>
      <w:r w:rsidR="009D1FA8" w:rsidRPr="00FD4C39">
        <w:rPr>
          <w:rFonts w:ascii="Times New Roman" w:hAnsi="Times New Roman" w:cs="Times New Roman"/>
          <w:b/>
          <w:sz w:val="24"/>
          <w:szCs w:val="24"/>
        </w:rPr>
        <w:t xml:space="preserve"> през 2014</w:t>
      </w:r>
      <w:r w:rsidR="004D42A2">
        <w:rPr>
          <w:rFonts w:ascii="Times New Roman" w:hAnsi="Times New Roman" w:cs="Times New Roman"/>
          <w:b/>
          <w:sz w:val="24"/>
          <w:szCs w:val="24"/>
        </w:rPr>
        <w:t> г.</w:t>
      </w:r>
    </w:p>
    <w:p w:rsidR="009D1FA8" w:rsidRPr="00FD4C39" w:rsidRDefault="00F63B83" w:rsidP="007B189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 2014 година се</w:t>
      </w:r>
      <w:r w:rsidR="009D1FA8" w:rsidRPr="00FD4C39">
        <w:rPr>
          <w:rFonts w:ascii="Times New Roman" w:eastAsia="Times New Roman" w:hAnsi="Times New Roman" w:cs="Times New Roman"/>
          <w:sz w:val="24"/>
          <w:szCs w:val="24"/>
        </w:rPr>
        <w:t xml:space="preserve"> обяв</w:t>
      </w:r>
      <w:r>
        <w:rPr>
          <w:rFonts w:ascii="Times New Roman" w:eastAsia="Times New Roman" w:hAnsi="Times New Roman" w:cs="Times New Roman"/>
          <w:sz w:val="24"/>
          <w:szCs w:val="24"/>
        </w:rPr>
        <w:t>яват и провеждат обществени поръчки</w:t>
      </w:r>
      <w:r w:rsidR="009D1FA8" w:rsidRPr="00FD4C39">
        <w:rPr>
          <w:rFonts w:ascii="Times New Roman" w:eastAsia="Times New Roman" w:hAnsi="Times New Roman" w:cs="Times New Roman"/>
          <w:sz w:val="24"/>
          <w:szCs w:val="24"/>
        </w:rPr>
        <w:t xml:space="preserve"> със следните предмети:</w:t>
      </w:r>
    </w:p>
    <w:p w:rsidR="0002674A" w:rsidRPr="00FD4C39" w:rsidRDefault="004931E5" w:rsidP="0002674A">
      <w:pPr>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rPr>
      </w:pPr>
      <w:r w:rsidRPr="00FD4C39">
        <w:rPr>
          <w:rFonts w:ascii="Times New Roman" w:hAnsi="Times New Roman" w:cs="Times New Roman"/>
          <w:sz w:val="24"/>
          <w:szCs w:val="24"/>
        </w:rPr>
        <w:t>„</w:t>
      </w:r>
      <w:r w:rsidR="009D1FA8" w:rsidRPr="00FD4C39">
        <w:rPr>
          <w:rFonts w:ascii="Times New Roman" w:hAnsi="Times New Roman" w:cs="Times New Roman"/>
          <w:sz w:val="24"/>
          <w:szCs w:val="24"/>
        </w:rPr>
        <w:t>Извършване на денонощна физическа охрана на сградата на КЗЛД и паркинга пред нея</w:t>
      </w:r>
      <w:r w:rsidR="00CF0F1F" w:rsidRPr="00FD4C39">
        <w:rPr>
          <w:rFonts w:ascii="Times New Roman" w:hAnsi="Times New Roman" w:cs="Times New Roman"/>
          <w:sz w:val="24"/>
          <w:szCs w:val="24"/>
        </w:rPr>
        <w:t>“</w:t>
      </w:r>
      <w:r w:rsidR="00006A80">
        <w:rPr>
          <w:rFonts w:ascii="Times New Roman" w:hAnsi="Times New Roman" w:cs="Times New Roman"/>
          <w:sz w:val="24"/>
          <w:szCs w:val="24"/>
        </w:rPr>
        <w:t>, намираща</w:t>
      </w:r>
      <w:r w:rsidR="009D1FA8" w:rsidRPr="00FD4C39">
        <w:rPr>
          <w:rFonts w:ascii="Times New Roman" w:hAnsi="Times New Roman" w:cs="Times New Roman"/>
          <w:sz w:val="24"/>
          <w:szCs w:val="24"/>
        </w:rPr>
        <w:t xml:space="preserve"> се на бул. </w:t>
      </w:r>
      <w:r w:rsidRPr="00FD4C39">
        <w:rPr>
          <w:rFonts w:ascii="Times New Roman" w:hAnsi="Times New Roman" w:cs="Times New Roman"/>
          <w:sz w:val="24"/>
          <w:szCs w:val="24"/>
        </w:rPr>
        <w:t>„</w:t>
      </w:r>
      <w:r w:rsidR="009D1FA8" w:rsidRPr="00FD4C39">
        <w:rPr>
          <w:rFonts w:ascii="Times New Roman" w:hAnsi="Times New Roman" w:cs="Times New Roman"/>
          <w:sz w:val="24"/>
          <w:szCs w:val="24"/>
        </w:rPr>
        <w:t>Проф. Цветан Лазаров</w:t>
      </w:r>
      <w:r w:rsidR="00006A80">
        <w:rPr>
          <w:rFonts w:ascii="Times New Roman" w:hAnsi="Times New Roman" w:cs="Times New Roman"/>
          <w:sz w:val="24"/>
          <w:szCs w:val="24"/>
        </w:rPr>
        <w:t>“</w:t>
      </w:r>
      <w:r w:rsidR="009D1FA8" w:rsidRPr="00FD4C39">
        <w:rPr>
          <w:rFonts w:ascii="Times New Roman" w:hAnsi="Times New Roman" w:cs="Times New Roman"/>
          <w:sz w:val="24"/>
          <w:szCs w:val="24"/>
        </w:rPr>
        <w:t xml:space="preserve"> </w:t>
      </w:r>
      <w:r w:rsidR="009A2D9F" w:rsidRPr="00FD4C39">
        <w:rPr>
          <w:rFonts w:ascii="Times New Roman" w:hAnsi="Times New Roman" w:cs="Times New Roman"/>
          <w:sz w:val="24"/>
          <w:szCs w:val="24"/>
        </w:rPr>
        <w:t>№ </w:t>
      </w:r>
      <w:r w:rsidR="009D1FA8" w:rsidRPr="00FD4C39">
        <w:rPr>
          <w:rFonts w:ascii="Times New Roman" w:hAnsi="Times New Roman" w:cs="Times New Roman"/>
          <w:sz w:val="24"/>
          <w:szCs w:val="24"/>
        </w:rPr>
        <w:t>2, гр. София;</w:t>
      </w:r>
      <w:r w:rsidR="009D1FA8" w:rsidRPr="00FD4C39">
        <w:rPr>
          <w:rFonts w:ascii="Times New Roman" w:eastAsia="Times New Roman" w:hAnsi="Times New Roman" w:cs="Times New Roman"/>
          <w:bCs/>
          <w:sz w:val="24"/>
          <w:szCs w:val="24"/>
        </w:rPr>
        <w:t xml:space="preserve"> </w:t>
      </w:r>
    </w:p>
    <w:p w:rsidR="0002674A" w:rsidRPr="00FD4C39" w:rsidRDefault="004931E5" w:rsidP="0002674A">
      <w:pPr>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bCs/>
          <w:sz w:val="24"/>
          <w:szCs w:val="24"/>
        </w:rPr>
        <w:t>„</w:t>
      </w:r>
      <w:r w:rsidR="009D1FA8" w:rsidRPr="00FD4C39">
        <w:rPr>
          <w:rFonts w:ascii="Times New Roman" w:eastAsia="Times New Roman" w:hAnsi="Times New Roman" w:cs="Times New Roman"/>
          <w:bCs/>
          <w:sz w:val="24"/>
          <w:szCs w:val="24"/>
        </w:rPr>
        <w:t>Доставк</w:t>
      </w:r>
      <w:r w:rsidR="00006A80">
        <w:rPr>
          <w:rFonts w:ascii="Times New Roman" w:eastAsia="Times New Roman" w:hAnsi="Times New Roman" w:cs="Times New Roman"/>
          <w:bCs/>
          <w:sz w:val="24"/>
          <w:szCs w:val="24"/>
        </w:rPr>
        <w:t xml:space="preserve">а и монтаж на 51 броя </w:t>
      </w:r>
      <w:proofErr w:type="spellStart"/>
      <w:r w:rsidR="00006A80">
        <w:rPr>
          <w:rFonts w:ascii="Times New Roman" w:eastAsia="Times New Roman" w:hAnsi="Times New Roman" w:cs="Times New Roman"/>
          <w:bCs/>
          <w:sz w:val="24"/>
          <w:szCs w:val="24"/>
        </w:rPr>
        <w:t>климатици</w:t>
      </w:r>
      <w:proofErr w:type="spellEnd"/>
      <w:r w:rsidR="00006A80">
        <w:rPr>
          <w:rFonts w:ascii="Times New Roman" w:eastAsia="Times New Roman" w:hAnsi="Times New Roman" w:cs="Times New Roman"/>
          <w:bCs/>
          <w:sz w:val="24"/>
          <w:szCs w:val="24"/>
        </w:rPr>
        <w:t>“</w:t>
      </w:r>
      <w:r w:rsidR="009D1FA8" w:rsidRPr="00FD4C39">
        <w:rPr>
          <w:rFonts w:ascii="Times New Roman" w:eastAsia="Times New Roman" w:hAnsi="Times New Roman" w:cs="Times New Roman"/>
          <w:bCs/>
          <w:sz w:val="24"/>
          <w:szCs w:val="24"/>
        </w:rPr>
        <w:t>;</w:t>
      </w:r>
    </w:p>
    <w:p w:rsidR="0002674A" w:rsidRPr="00FD4C39" w:rsidRDefault="004931E5" w:rsidP="0002674A">
      <w:pPr>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Осигуряване на самолетни и автобусни билети за превоз на пътници и багаж при слу</w:t>
      </w:r>
      <w:r w:rsidR="00006A80">
        <w:rPr>
          <w:rFonts w:ascii="Times New Roman" w:eastAsia="Times New Roman" w:hAnsi="Times New Roman" w:cs="Times New Roman"/>
          <w:sz w:val="24"/>
          <w:szCs w:val="24"/>
        </w:rPr>
        <w:t>жебните пътувания в чужбина на П</w:t>
      </w:r>
      <w:r w:rsidR="009D1FA8" w:rsidRPr="00FD4C39">
        <w:rPr>
          <w:rFonts w:ascii="Times New Roman" w:eastAsia="Times New Roman" w:hAnsi="Times New Roman" w:cs="Times New Roman"/>
          <w:sz w:val="24"/>
          <w:szCs w:val="24"/>
        </w:rPr>
        <w:t xml:space="preserve">редседателя, членовете на </w:t>
      </w:r>
      <w:r w:rsidR="00FE7018" w:rsidRPr="00FD4C39">
        <w:rPr>
          <w:rFonts w:ascii="Times New Roman" w:eastAsia="Times New Roman" w:hAnsi="Times New Roman" w:cs="Times New Roman"/>
          <w:sz w:val="24"/>
          <w:szCs w:val="24"/>
        </w:rPr>
        <w:t>КЗЛД</w:t>
      </w:r>
      <w:r w:rsidR="009D1FA8" w:rsidRPr="00FD4C39">
        <w:rPr>
          <w:rFonts w:ascii="Times New Roman" w:eastAsia="Times New Roman" w:hAnsi="Times New Roman" w:cs="Times New Roman"/>
          <w:sz w:val="24"/>
          <w:szCs w:val="24"/>
        </w:rPr>
        <w:t xml:space="preserve"> и служителите на администрацията, както и предоставяне на допълнителни услуги, свързани с пътуванията</w:t>
      </w:r>
      <w:r w:rsidR="00006A80">
        <w:rPr>
          <w:rFonts w:ascii="Times New Roman" w:eastAsia="Times New Roman" w:hAnsi="Times New Roman" w:cs="Times New Roman"/>
          <w:sz w:val="24"/>
          <w:szCs w:val="24"/>
        </w:rPr>
        <w:t>“</w:t>
      </w:r>
      <w:r w:rsidR="009D1FA8" w:rsidRPr="00FD4C39">
        <w:rPr>
          <w:rFonts w:ascii="Times New Roman" w:eastAsia="Times New Roman" w:hAnsi="Times New Roman" w:cs="Times New Roman"/>
          <w:bCs/>
          <w:sz w:val="24"/>
          <w:szCs w:val="24"/>
        </w:rPr>
        <w:t>.</w:t>
      </w:r>
    </w:p>
    <w:p w:rsidR="0002674A" w:rsidRPr="00FD4C39" w:rsidRDefault="004931E5" w:rsidP="0002674A">
      <w:pPr>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 xml:space="preserve"> Доставка на горива и аксесоари за нуждите на автомобилите, собственост на КЗЛД</w:t>
      </w:r>
      <w:r w:rsidR="00CF0F1F"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w:t>
      </w:r>
    </w:p>
    <w:p w:rsidR="009D1FA8" w:rsidRPr="00FD4C39" w:rsidRDefault="004931E5" w:rsidP="0002674A">
      <w:pPr>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Извънгаранционно абонаментно обслужване на автомобили и доставка на авточасти</w:t>
      </w:r>
      <w:r w:rsidR="00CF0F1F"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w:t>
      </w:r>
    </w:p>
    <w:p w:rsidR="009D1FA8" w:rsidRPr="00FD4C39" w:rsidRDefault="009D1FA8" w:rsidP="007B189E">
      <w:pPr>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Независимо от промяната на </w:t>
      </w:r>
      <w:r w:rsidR="00FE7018" w:rsidRPr="00FD4C39">
        <w:rPr>
          <w:rFonts w:ascii="Times New Roman" w:eastAsia="Times New Roman" w:hAnsi="Times New Roman" w:cs="Times New Roman"/>
          <w:sz w:val="24"/>
          <w:szCs w:val="24"/>
        </w:rPr>
        <w:t>ЗЗЛД</w:t>
      </w:r>
      <w:r w:rsidRPr="00FD4C39">
        <w:rPr>
          <w:rFonts w:ascii="Times New Roman" w:eastAsia="Times New Roman" w:hAnsi="Times New Roman" w:cs="Times New Roman"/>
          <w:sz w:val="24"/>
          <w:szCs w:val="24"/>
        </w:rPr>
        <w:t xml:space="preserve"> за</w:t>
      </w:r>
      <w:r w:rsidR="001F6AC7">
        <w:rPr>
          <w:rFonts w:ascii="Times New Roman" w:eastAsia="Times New Roman" w:hAnsi="Times New Roman" w:cs="Times New Roman"/>
          <w:sz w:val="24"/>
          <w:szCs w:val="24"/>
        </w:rPr>
        <w:t xml:space="preserve"> обществените поръчки (ЗОП) от </w:t>
      </w:r>
      <w:r w:rsidRPr="00FD4C39">
        <w:rPr>
          <w:rFonts w:ascii="Times New Roman" w:eastAsia="Times New Roman" w:hAnsi="Times New Roman" w:cs="Times New Roman"/>
          <w:sz w:val="24"/>
          <w:szCs w:val="24"/>
        </w:rPr>
        <w:t>1 юли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w:t>
      </w:r>
      <w:r w:rsidR="001F6AC7">
        <w:rPr>
          <w:rFonts w:ascii="Times New Roman" w:eastAsia="Times New Roman" w:hAnsi="Times New Roman" w:cs="Times New Roman"/>
          <w:sz w:val="24"/>
          <w:szCs w:val="24"/>
        </w:rPr>
        <w:t>посочените по-горе процедури се провеждат успешно и се</w:t>
      </w:r>
      <w:r w:rsidRPr="00FD4C39">
        <w:rPr>
          <w:rFonts w:ascii="Times New Roman" w:eastAsia="Times New Roman" w:hAnsi="Times New Roman" w:cs="Times New Roman"/>
          <w:sz w:val="24"/>
          <w:szCs w:val="24"/>
        </w:rPr>
        <w:t xml:space="preserve"> сключ</w:t>
      </w:r>
      <w:r w:rsidR="001F6AC7">
        <w:rPr>
          <w:rFonts w:ascii="Times New Roman" w:eastAsia="Times New Roman" w:hAnsi="Times New Roman" w:cs="Times New Roman"/>
          <w:sz w:val="24"/>
          <w:szCs w:val="24"/>
        </w:rPr>
        <w:t>ват</w:t>
      </w:r>
      <w:r w:rsidRPr="00FD4C39">
        <w:rPr>
          <w:rFonts w:ascii="Times New Roman" w:eastAsia="Times New Roman" w:hAnsi="Times New Roman" w:cs="Times New Roman"/>
          <w:sz w:val="24"/>
          <w:szCs w:val="24"/>
        </w:rPr>
        <w:t xml:space="preserve"> договори за текущата 2014 и</w:t>
      </w:r>
      <w:r w:rsidR="001F6AC7">
        <w:rPr>
          <w:rFonts w:ascii="Times New Roman" w:eastAsia="Times New Roman" w:hAnsi="Times New Roman" w:cs="Times New Roman"/>
          <w:sz w:val="24"/>
          <w:szCs w:val="24"/>
        </w:rPr>
        <w:t xml:space="preserve"> за</w:t>
      </w:r>
      <w:r w:rsidRPr="00FD4C39">
        <w:rPr>
          <w:rFonts w:ascii="Times New Roman" w:eastAsia="Times New Roman" w:hAnsi="Times New Roman" w:cs="Times New Roman"/>
          <w:sz w:val="24"/>
          <w:szCs w:val="24"/>
        </w:rPr>
        <w:t xml:space="preserve"> 2015</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Досиетата по приключилите процедур</w:t>
      </w:r>
      <w:r w:rsidR="001F6AC7">
        <w:rPr>
          <w:rFonts w:ascii="Times New Roman" w:eastAsia="Times New Roman" w:hAnsi="Times New Roman" w:cs="Times New Roman"/>
          <w:sz w:val="24"/>
          <w:szCs w:val="24"/>
        </w:rPr>
        <w:t>и на обществените поръчки се комплектуват и архивират</w:t>
      </w:r>
      <w:r w:rsidRPr="00FD4C39">
        <w:rPr>
          <w:rFonts w:ascii="Times New Roman" w:eastAsia="Times New Roman" w:hAnsi="Times New Roman" w:cs="Times New Roman"/>
          <w:sz w:val="24"/>
          <w:szCs w:val="24"/>
        </w:rPr>
        <w:t xml:space="preserve"> съгласно изискванията на ЗОП и Вътрешните правила за у</w:t>
      </w:r>
      <w:r w:rsidRPr="00FD4C39">
        <w:rPr>
          <w:rFonts w:ascii="Times New Roman" w:hAnsi="Times New Roman" w:cs="Times New Roman"/>
          <w:sz w:val="24"/>
          <w:szCs w:val="24"/>
        </w:rPr>
        <w:t>словията и реда за планиране, подготовка и провеждане на процедурите за възлагане на обществени поръчки</w:t>
      </w:r>
      <w:r w:rsidRPr="00FD4C39">
        <w:rPr>
          <w:rFonts w:ascii="Times New Roman" w:eastAsia="Times New Roman" w:hAnsi="Times New Roman" w:cs="Times New Roman"/>
          <w:sz w:val="24"/>
          <w:szCs w:val="24"/>
        </w:rPr>
        <w:t xml:space="preserve"> на КЗЛД.</w:t>
      </w:r>
    </w:p>
    <w:p w:rsidR="009D1FA8" w:rsidRPr="00FD4C39" w:rsidRDefault="001F6AC7" w:rsidP="007B189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Приемат се</w:t>
      </w:r>
      <w:r w:rsidR="009D1FA8" w:rsidRPr="00FD4C39">
        <w:rPr>
          <w:rFonts w:ascii="Times New Roman" w:eastAsia="Times New Roman" w:hAnsi="Times New Roman" w:cs="Times New Roman"/>
          <w:sz w:val="24"/>
          <w:szCs w:val="24"/>
        </w:rPr>
        <w:t xml:space="preserve"> </w:t>
      </w:r>
      <w:r w:rsidR="009D1FA8" w:rsidRPr="00FD4C39">
        <w:rPr>
          <w:rFonts w:ascii="Times New Roman" w:hAnsi="Times New Roman" w:cs="Times New Roman"/>
          <w:sz w:val="24"/>
          <w:szCs w:val="24"/>
        </w:rPr>
        <w:t xml:space="preserve">Вътрешни правила за поддържане на </w:t>
      </w:r>
      <w:r w:rsidR="004931E5" w:rsidRPr="00FD4C39">
        <w:rPr>
          <w:rFonts w:ascii="Times New Roman" w:hAnsi="Times New Roman" w:cs="Times New Roman"/>
          <w:sz w:val="24"/>
          <w:szCs w:val="24"/>
        </w:rPr>
        <w:t>„</w:t>
      </w:r>
      <w:r w:rsidR="009D1FA8" w:rsidRPr="00FD4C39">
        <w:rPr>
          <w:rFonts w:ascii="Times New Roman" w:hAnsi="Times New Roman" w:cs="Times New Roman"/>
          <w:sz w:val="24"/>
          <w:szCs w:val="24"/>
        </w:rPr>
        <w:t>Профила на купувача</w:t>
      </w:r>
      <w:r w:rsidR="00CF0F1F" w:rsidRPr="00FD4C39">
        <w:rPr>
          <w:rFonts w:ascii="Times New Roman" w:hAnsi="Times New Roman" w:cs="Times New Roman"/>
          <w:sz w:val="24"/>
          <w:szCs w:val="24"/>
        </w:rPr>
        <w:t>“</w:t>
      </w:r>
      <w:r w:rsidR="009D1FA8" w:rsidRPr="00FD4C39">
        <w:rPr>
          <w:rFonts w:ascii="Times New Roman" w:hAnsi="Times New Roman" w:cs="Times New Roman"/>
          <w:sz w:val="24"/>
          <w:szCs w:val="24"/>
        </w:rPr>
        <w:t xml:space="preserve"> в КЗЛД съобразно измененията и изискванията на </w:t>
      </w:r>
      <w:r w:rsidR="00FE7018" w:rsidRPr="00FD4C39">
        <w:rPr>
          <w:rFonts w:ascii="Times New Roman" w:hAnsi="Times New Roman" w:cs="Times New Roman"/>
          <w:sz w:val="24"/>
          <w:szCs w:val="24"/>
        </w:rPr>
        <w:t>ЗЗЛД</w:t>
      </w:r>
      <w:r w:rsidR="009D1FA8" w:rsidRPr="00FD4C39">
        <w:rPr>
          <w:rFonts w:ascii="Times New Roman" w:hAnsi="Times New Roman" w:cs="Times New Roman"/>
          <w:sz w:val="24"/>
          <w:szCs w:val="24"/>
        </w:rPr>
        <w:t xml:space="preserve"> за обществените поръчки и подзаконовите нормативни актове от м. юли 2014</w:t>
      </w:r>
      <w:r w:rsidR="004D42A2">
        <w:rPr>
          <w:rFonts w:ascii="Times New Roman" w:hAnsi="Times New Roman" w:cs="Times New Roman"/>
          <w:sz w:val="24"/>
          <w:szCs w:val="24"/>
        </w:rPr>
        <w:t> г.</w:t>
      </w:r>
      <w:r w:rsidR="009D1FA8" w:rsidRPr="00FD4C39">
        <w:rPr>
          <w:rFonts w:ascii="Times New Roman" w:hAnsi="Times New Roman" w:cs="Times New Roman"/>
          <w:sz w:val="24"/>
          <w:szCs w:val="24"/>
        </w:rPr>
        <w:t xml:space="preserve">, като се </w:t>
      </w:r>
      <w:r w:rsidR="009D1FA8" w:rsidRPr="00FD4C39">
        <w:rPr>
          <w:rFonts w:ascii="Times New Roman" w:eastAsia="Times New Roman" w:hAnsi="Times New Roman" w:cs="Times New Roman"/>
          <w:sz w:val="24"/>
          <w:szCs w:val="24"/>
        </w:rPr>
        <w:t xml:space="preserve">поддържа актуален </w:t>
      </w:r>
      <w:r w:rsidR="004931E5"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Профил на купувача</w:t>
      </w:r>
      <w:r w:rsidR="00CF0F1F"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 xml:space="preserve"> на интернет страницата на институцията.</w:t>
      </w:r>
    </w:p>
    <w:p w:rsidR="00384216" w:rsidRPr="00FD4C39" w:rsidRDefault="00384216" w:rsidP="007B189E">
      <w:pPr>
        <w:spacing w:after="0" w:line="360" w:lineRule="auto"/>
        <w:ind w:firstLine="709"/>
        <w:jc w:val="both"/>
        <w:rPr>
          <w:rFonts w:ascii="Times New Roman" w:eastAsia="Times New Roman" w:hAnsi="Times New Roman" w:cs="Times New Roman"/>
          <w:b/>
          <w:sz w:val="24"/>
          <w:szCs w:val="24"/>
        </w:rPr>
      </w:pPr>
    </w:p>
    <w:p w:rsidR="009D1FA8" w:rsidRPr="00FD4C39" w:rsidRDefault="00CD6E3C" w:rsidP="007B189E">
      <w:pPr>
        <w:spacing w:after="0" w:line="360" w:lineRule="auto"/>
        <w:ind w:firstLine="709"/>
        <w:jc w:val="both"/>
        <w:rPr>
          <w:rFonts w:ascii="Times New Roman" w:eastAsia="Times New Roman" w:hAnsi="Times New Roman" w:cs="Times New Roman"/>
          <w:b/>
          <w:sz w:val="24"/>
          <w:szCs w:val="24"/>
        </w:rPr>
      </w:pPr>
      <w:r w:rsidRPr="00FD4C39">
        <w:rPr>
          <w:rFonts w:ascii="Times New Roman" w:eastAsia="Times New Roman" w:hAnsi="Times New Roman" w:cs="Times New Roman"/>
          <w:b/>
          <w:sz w:val="24"/>
          <w:szCs w:val="24"/>
        </w:rPr>
        <w:lastRenderedPageBreak/>
        <w:t>2</w:t>
      </w:r>
      <w:r w:rsidR="00641210" w:rsidRPr="00FD4C39">
        <w:rPr>
          <w:rFonts w:ascii="Times New Roman" w:eastAsia="Times New Roman" w:hAnsi="Times New Roman" w:cs="Times New Roman"/>
          <w:b/>
          <w:sz w:val="24"/>
          <w:szCs w:val="24"/>
        </w:rPr>
        <w:t>.</w:t>
      </w:r>
      <w:proofErr w:type="spellStart"/>
      <w:r w:rsidR="00641210" w:rsidRPr="00FD4C39">
        <w:rPr>
          <w:rFonts w:ascii="Times New Roman" w:eastAsia="Times New Roman" w:hAnsi="Times New Roman" w:cs="Times New Roman"/>
          <w:b/>
          <w:sz w:val="24"/>
          <w:szCs w:val="24"/>
        </w:rPr>
        <w:t>2</w:t>
      </w:r>
      <w:proofErr w:type="spellEnd"/>
      <w:r w:rsidR="00641210" w:rsidRPr="00FD4C39">
        <w:rPr>
          <w:rFonts w:ascii="Times New Roman" w:eastAsia="Times New Roman" w:hAnsi="Times New Roman" w:cs="Times New Roman"/>
          <w:b/>
          <w:sz w:val="24"/>
          <w:szCs w:val="24"/>
        </w:rPr>
        <w:t xml:space="preserve">. </w:t>
      </w:r>
      <w:r w:rsidR="009D1FA8" w:rsidRPr="00FD4C39">
        <w:rPr>
          <w:rFonts w:ascii="Times New Roman" w:eastAsia="Times New Roman" w:hAnsi="Times New Roman" w:cs="Times New Roman"/>
          <w:b/>
          <w:sz w:val="24"/>
          <w:szCs w:val="24"/>
        </w:rPr>
        <w:t xml:space="preserve">Приключени обществени поръчки по </w:t>
      </w:r>
      <w:r w:rsidRPr="00FD4C39">
        <w:rPr>
          <w:rFonts w:ascii="Times New Roman" w:eastAsia="Times New Roman" w:hAnsi="Times New Roman" w:cs="Times New Roman"/>
          <w:b/>
          <w:sz w:val="24"/>
          <w:szCs w:val="24"/>
        </w:rPr>
        <w:t>ОПАК</w:t>
      </w:r>
    </w:p>
    <w:p w:rsidR="009D1FA8" w:rsidRPr="00FD4C39" w:rsidRDefault="009D1FA8" w:rsidP="007B189E">
      <w:pPr>
        <w:tabs>
          <w:tab w:val="left" w:pos="9923"/>
        </w:tabs>
        <w:spacing w:after="0" w:line="360" w:lineRule="auto"/>
        <w:ind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През 2013</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в </w:t>
      </w:r>
      <w:r w:rsidR="00FE7018" w:rsidRPr="00FD4C39">
        <w:rPr>
          <w:rFonts w:ascii="Times New Roman" w:eastAsia="Times New Roman" w:hAnsi="Times New Roman" w:cs="Times New Roman"/>
          <w:sz w:val="24"/>
          <w:szCs w:val="24"/>
        </w:rPr>
        <w:t>КЗЛД</w:t>
      </w:r>
      <w:r w:rsidR="001F6AC7">
        <w:rPr>
          <w:rFonts w:ascii="Times New Roman" w:eastAsia="Times New Roman" w:hAnsi="Times New Roman" w:cs="Times New Roman"/>
          <w:sz w:val="24"/>
          <w:szCs w:val="24"/>
        </w:rPr>
        <w:t xml:space="preserve"> за защита на личните се провеждат</w:t>
      </w:r>
      <w:r w:rsidRPr="00FD4C39">
        <w:rPr>
          <w:rFonts w:ascii="Times New Roman" w:eastAsia="Times New Roman" w:hAnsi="Times New Roman" w:cs="Times New Roman"/>
          <w:sz w:val="24"/>
          <w:szCs w:val="24"/>
        </w:rPr>
        <w:t xml:space="preserve"> процедури по ЗОП чрез открит конкурс и чрез публични покани по проекти, ка</w:t>
      </w:r>
      <w:r w:rsidR="001F6AC7">
        <w:rPr>
          <w:rFonts w:ascii="Times New Roman" w:eastAsia="Times New Roman" w:hAnsi="Times New Roman" w:cs="Times New Roman"/>
          <w:sz w:val="24"/>
          <w:szCs w:val="24"/>
        </w:rPr>
        <w:t>то сключените договори по тях се</w:t>
      </w:r>
      <w:r w:rsidRPr="00FD4C39">
        <w:rPr>
          <w:rFonts w:ascii="Times New Roman" w:eastAsia="Times New Roman" w:hAnsi="Times New Roman" w:cs="Times New Roman"/>
          <w:sz w:val="24"/>
          <w:szCs w:val="24"/>
        </w:rPr>
        <w:t xml:space="preserve"> изпълн</w:t>
      </w:r>
      <w:r w:rsidR="001F6AC7">
        <w:rPr>
          <w:rFonts w:ascii="Times New Roman" w:eastAsia="Times New Roman" w:hAnsi="Times New Roman" w:cs="Times New Roman"/>
          <w:sz w:val="24"/>
          <w:szCs w:val="24"/>
        </w:rPr>
        <w:t>яват</w:t>
      </w:r>
      <w:r w:rsidRPr="00FD4C39">
        <w:rPr>
          <w:rFonts w:ascii="Times New Roman" w:eastAsia="Times New Roman" w:hAnsi="Times New Roman" w:cs="Times New Roman"/>
          <w:sz w:val="24"/>
          <w:szCs w:val="24"/>
        </w:rPr>
        <w:t xml:space="preserve"> през 2014</w:t>
      </w:r>
      <w:r w:rsidR="004D42A2">
        <w:rPr>
          <w:rFonts w:ascii="Times New Roman" w:eastAsia="Times New Roman" w:hAnsi="Times New Roman" w:cs="Times New Roman"/>
          <w:sz w:val="24"/>
          <w:szCs w:val="24"/>
        </w:rPr>
        <w:t> г.</w:t>
      </w:r>
      <w:r w:rsidRPr="00FD4C39">
        <w:rPr>
          <w:rFonts w:ascii="Times New Roman" w:eastAsia="Times New Roman" w:hAnsi="Times New Roman" w:cs="Times New Roman"/>
          <w:sz w:val="24"/>
          <w:szCs w:val="24"/>
        </w:rPr>
        <w:t xml:space="preserve">, а именно: </w:t>
      </w:r>
    </w:p>
    <w:p w:rsidR="009D1FA8" w:rsidRPr="00FD4C39" w:rsidRDefault="004931E5" w:rsidP="0002674A">
      <w:pPr>
        <w:pStyle w:val="ListParagraph"/>
        <w:numPr>
          <w:ilvl w:val="3"/>
          <w:numId w:val="23"/>
        </w:numPr>
        <w:tabs>
          <w:tab w:val="left" w:pos="993"/>
          <w:tab w:val="left" w:pos="992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Извършване на функционален анализ на администрацията на КЗЛД</w:t>
      </w:r>
      <w:r w:rsidR="001F6AC7">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 реализиран по проект А12-11-9/06.02.2013</w:t>
      </w:r>
      <w:r w:rsidR="004D42A2">
        <w:rPr>
          <w:rFonts w:ascii="Times New Roman" w:eastAsia="Times New Roman" w:hAnsi="Times New Roman" w:cs="Times New Roman"/>
          <w:sz w:val="24"/>
          <w:szCs w:val="24"/>
        </w:rPr>
        <w:t> г.</w:t>
      </w:r>
      <w:r w:rsidR="009D1FA8" w:rsidRPr="00FD4C39">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 xml:space="preserve">Подобряване на управлението, организацията и функциите на </w:t>
      </w:r>
      <w:r w:rsidR="00580030" w:rsidRPr="00FD4C39">
        <w:rPr>
          <w:rFonts w:ascii="Times New Roman" w:eastAsia="Times New Roman" w:hAnsi="Times New Roman" w:cs="Times New Roman"/>
          <w:sz w:val="24"/>
          <w:szCs w:val="24"/>
        </w:rPr>
        <w:t>КЗЛД</w:t>
      </w:r>
      <w:r w:rsidR="009D1FA8" w:rsidRPr="00FD4C39">
        <w:rPr>
          <w:rFonts w:ascii="Times New Roman" w:eastAsia="Times New Roman" w:hAnsi="Times New Roman" w:cs="Times New Roman"/>
          <w:sz w:val="24"/>
          <w:szCs w:val="24"/>
        </w:rPr>
        <w:t xml:space="preserve"> чрез пр</w:t>
      </w:r>
      <w:r w:rsidR="001F6AC7">
        <w:rPr>
          <w:rFonts w:ascii="Times New Roman" w:eastAsia="Times New Roman" w:hAnsi="Times New Roman" w:cs="Times New Roman"/>
          <w:sz w:val="24"/>
          <w:szCs w:val="24"/>
        </w:rPr>
        <w:t>овеждане на функционален анализ“</w:t>
      </w:r>
      <w:r w:rsidR="009D1FA8" w:rsidRPr="00FD4C39">
        <w:rPr>
          <w:rFonts w:ascii="Times New Roman" w:eastAsia="Times New Roman" w:hAnsi="Times New Roman" w:cs="Times New Roman"/>
          <w:sz w:val="24"/>
          <w:szCs w:val="24"/>
        </w:rPr>
        <w:t xml:space="preserve">, финансиран по Оперативна програма </w:t>
      </w: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Административен капацитет</w:t>
      </w:r>
      <w:r w:rsidR="001F6AC7">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w:t>
      </w:r>
    </w:p>
    <w:p w:rsidR="009D1FA8" w:rsidRPr="00FD4C39" w:rsidRDefault="004931E5" w:rsidP="0002674A">
      <w:pPr>
        <w:pStyle w:val="ListParagraph"/>
        <w:numPr>
          <w:ilvl w:val="3"/>
          <w:numId w:val="23"/>
        </w:numPr>
        <w:tabs>
          <w:tab w:val="left" w:pos="993"/>
        </w:tabs>
        <w:spacing w:after="0" w:line="360" w:lineRule="auto"/>
        <w:ind w:left="0" w:firstLine="709"/>
        <w:jc w:val="both"/>
        <w:rPr>
          <w:rFonts w:ascii="Times New Roman" w:eastAsia="Times New Roman" w:hAnsi="Times New Roman" w:cs="Times New Roman"/>
          <w:b/>
          <w:color w:val="000000"/>
          <w:sz w:val="24"/>
          <w:szCs w:val="24"/>
        </w:rPr>
      </w:pP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color w:val="000000"/>
          <w:sz w:val="24"/>
          <w:szCs w:val="24"/>
        </w:rPr>
        <w:t>Предоставяне на услуги по логистично осигуряване на събития и изработване и доставка на материали за обучения</w:t>
      </w:r>
      <w:r w:rsidR="001F6AC7">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 xml:space="preserve"> във връзка с</w:t>
      </w:r>
      <w:r w:rsidR="009D1FA8" w:rsidRPr="00FD4C39">
        <w:rPr>
          <w:rFonts w:ascii="Times New Roman" w:eastAsia="Times New Roman" w:hAnsi="Times New Roman" w:cs="Times New Roman"/>
          <w:color w:val="000000"/>
          <w:sz w:val="24"/>
          <w:szCs w:val="24"/>
        </w:rPr>
        <w:t xml:space="preserve"> изпълнението на проект </w:t>
      </w:r>
      <w:r w:rsidRPr="00FD4C39">
        <w:rPr>
          <w:rFonts w:ascii="Times New Roman" w:eastAsia="Times New Roman" w:hAnsi="Times New Roman" w:cs="Times New Roman"/>
          <w:color w:val="000000"/>
          <w:sz w:val="24"/>
          <w:szCs w:val="24"/>
        </w:rPr>
        <w:t>„</w:t>
      </w:r>
      <w:r w:rsidR="009D1FA8" w:rsidRPr="00FD4C39">
        <w:rPr>
          <w:rFonts w:ascii="Times New Roman" w:eastAsia="Times New Roman" w:hAnsi="Times New Roman" w:cs="Times New Roman"/>
          <w:color w:val="000000"/>
          <w:sz w:val="24"/>
          <w:szCs w:val="24"/>
        </w:rPr>
        <w:t xml:space="preserve">Подобряване на управлението, организацията и функциите на </w:t>
      </w:r>
      <w:r w:rsidR="00580030" w:rsidRPr="00FD4C39">
        <w:rPr>
          <w:rFonts w:ascii="Times New Roman" w:eastAsia="Times New Roman" w:hAnsi="Times New Roman" w:cs="Times New Roman"/>
          <w:color w:val="000000"/>
          <w:sz w:val="24"/>
          <w:szCs w:val="24"/>
        </w:rPr>
        <w:t>КЗЛД</w:t>
      </w:r>
      <w:r w:rsidR="001F6AC7">
        <w:rPr>
          <w:rFonts w:ascii="Times New Roman" w:eastAsia="Times New Roman" w:hAnsi="Times New Roman" w:cs="Times New Roman"/>
          <w:color w:val="000000"/>
          <w:sz w:val="24"/>
          <w:szCs w:val="24"/>
        </w:rPr>
        <w:t xml:space="preserve"> </w:t>
      </w:r>
      <w:r w:rsidR="009D1FA8" w:rsidRPr="00FD4C39">
        <w:rPr>
          <w:rFonts w:ascii="Times New Roman" w:eastAsia="Times New Roman" w:hAnsi="Times New Roman" w:cs="Times New Roman"/>
          <w:color w:val="000000"/>
          <w:sz w:val="24"/>
          <w:szCs w:val="24"/>
        </w:rPr>
        <w:t>чрез пр</w:t>
      </w:r>
      <w:r w:rsidR="001F6AC7">
        <w:rPr>
          <w:rFonts w:ascii="Times New Roman" w:eastAsia="Times New Roman" w:hAnsi="Times New Roman" w:cs="Times New Roman"/>
          <w:color w:val="000000"/>
          <w:sz w:val="24"/>
          <w:szCs w:val="24"/>
        </w:rPr>
        <w:t>овеждане на функционален анализ“</w:t>
      </w:r>
      <w:r w:rsidR="009D1FA8" w:rsidRPr="00FD4C39">
        <w:rPr>
          <w:rFonts w:ascii="Times New Roman" w:eastAsia="Times New Roman" w:hAnsi="Times New Roman" w:cs="Times New Roman"/>
          <w:color w:val="000000"/>
          <w:sz w:val="24"/>
          <w:szCs w:val="24"/>
        </w:rPr>
        <w:t>.</w:t>
      </w:r>
    </w:p>
    <w:p w:rsidR="0002674A" w:rsidRPr="00FD4C39" w:rsidRDefault="004931E5" w:rsidP="0002674A">
      <w:pPr>
        <w:pStyle w:val="ListParagraph"/>
        <w:numPr>
          <w:ilvl w:val="3"/>
          <w:numId w:val="23"/>
        </w:numPr>
        <w:tabs>
          <w:tab w:val="left" w:pos="284"/>
          <w:tab w:val="left" w:pos="993"/>
          <w:tab w:val="left" w:pos="992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Одит на дейностите по проекта</w:t>
      </w:r>
      <w:r w:rsidR="00CF0F1F" w:rsidRPr="00FD4C39">
        <w:rPr>
          <w:rFonts w:ascii="Times New Roman" w:eastAsia="Times New Roman" w:hAnsi="Times New Roman" w:cs="Times New Roman"/>
          <w:sz w:val="24"/>
          <w:szCs w:val="24"/>
        </w:rPr>
        <w:t>“</w:t>
      </w:r>
      <w:r w:rsidR="001F6AC7">
        <w:rPr>
          <w:rFonts w:ascii="Times New Roman" w:eastAsia="Times New Roman" w:hAnsi="Times New Roman" w:cs="Times New Roman"/>
          <w:sz w:val="24"/>
          <w:szCs w:val="24"/>
        </w:rPr>
        <w:t xml:space="preserve">, </w:t>
      </w:r>
      <w:r w:rsidR="009D1FA8" w:rsidRPr="00FD4C39">
        <w:rPr>
          <w:rFonts w:ascii="Times New Roman" w:eastAsia="Times New Roman" w:hAnsi="Times New Roman" w:cs="Times New Roman"/>
          <w:sz w:val="24"/>
          <w:szCs w:val="24"/>
        </w:rPr>
        <w:t>реализиран по проект А12-11-9/06.02.2013</w:t>
      </w:r>
      <w:r w:rsidR="004D42A2">
        <w:rPr>
          <w:rFonts w:ascii="Times New Roman" w:eastAsia="Times New Roman" w:hAnsi="Times New Roman" w:cs="Times New Roman"/>
          <w:sz w:val="24"/>
          <w:szCs w:val="24"/>
        </w:rPr>
        <w:t> г.</w:t>
      </w:r>
      <w:r w:rsidR="009D1FA8" w:rsidRPr="00FD4C39">
        <w:rPr>
          <w:rFonts w:ascii="Times New Roman" w:eastAsia="Times New Roman" w:hAnsi="Times New Roman" w:cs="Times New Roman"/>
          <w:sz w:val="24"/>
          <w:szCs w:val="24"/>
        </w:rPr>
        <w:t>;</w:t>
      </w:r>
    </w:p>
    <w:p w:rsidR="009D1FA8" w:rsidRPr="00FD4C39" w:rsidRDefault="00CF0F1F" w:rsidP="0002674A">
      <w:pPr>
        <w:pStyle w:val="ListParagraph"/>
        <w:numPr>
          <w:ilvl w:val="3"/>
          <w:numId w:val="23"/>
        </w:numPr>
        <w:tabs>
          <w:tab w:val="left" w:pos="284"/>
          <w:tab w:val="left" w:pos="993"/>
          <w:tab w:val="left" w:pos="9923"/>
        </w:tabs>
        <w:spacing w:after="0" w:line="360" w:lineRule="auto"/>
        <w:ind w:left="0" w:firstLine="709"/>
        <w:jc w:val="both"/>
        <w:rPr>
          <w:rFonts w:ascii="Times New Roman" w:eastAsia="Times New Roman" w:hAnsi="Times New Roman" w:cs="Times New Roman"/>
          <w:sz w:val="24"/>
          <w:szCs w:val="24"/>
        </w:rPr>
      </w:pPr>
      <w:r w:rsidRPr="00FD4C39">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bCs/>
          <w:kern w:val="28"/>
          <w:sz w:val="24"/>
          <w:szCs w:val="24"/>
        </w:rPr>
        <w:t>Обучение на лектори</w:t>
      </w:r>
      <w:r w:rsidR="004D42A2">
        <w:rPr>
          <w:rFonts w:ascii="Times New Roman" w:eastAsia="Times New Roman" w:hAnsi="Times New Roman" w:cs="Times New Roman"/>
          <w:bCs/>
          <w:kern w:val="28"/>
          <w:sz w:val="24"/>
          <w:szCs w:val="24"/>
        </w:rPr>
        <w:t xml:space="preserve"> – </w:t>
      </w:r>
      <w:proofErr w:type="spellStart"/>
      <w:r w:rsidR="009D1FA8" w:rsidRPr="00FD4C39">
        <w:rPr>
          <w:rFonts w:ascii="Times New Roman" w:eastAsia="Times New Roman" w:hAnsi="Times New Roman" w:cs="Times New Roman"/>
          <w:bCs/>
          <w:kern w:val="28"/>
          <w:sz w:val="24"/>
          <w:szCs w:val="24"/>
        </w:rPr>
        <w:t>надграждащ</w:t>
      </w:r>
      <w:proofErr w:type="spellEnd"/>
      <w:r w:rsidR="009D1FA8" w:rsidRPr="00FD4C39">
        <w:rPr>
          <w:rFonts w:ascii="Times New Roman" w:eastAsia="Times New Roman" w:hAnsi="Times New Roman" w:cs="Times New Roman"/>
          <w:bCs/>
          <w:kern w:val="28"/>
          <w:sz w:val="24"/>
          <w:szCs w:val="24"/>
        </w:rPr>
        <w:t xml:space="preserve"> модул</w:t>
      </w:r>
      <w:r w:rsidR="001F6AC7">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 xml:space="preserve">, по проект </w:t>
      </w:r>
      <w:r w:rsidR="004931E5" w:rsidRPr="00FD4C39">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 xml:space="preserve">Насърчаване на професионалното развитие на служителите на КЗЛД чрез прилагане на система от обучения съобразно техните професионални задължения”, Оперативна програма </w:t>
      </w:r>
      <w:r w:rsidR="004931E5" w:rsidRPr="00FD4C39">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Административен капацитет</w:t>
      </w:r>
      <w:r w:rsidR="001F6AC7">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 xml:space="preserve"> (ОПАК), с номер на дог</w:t>
      </w:r>
      <w:r w:rsidR="001F6AC7">
        <w:rPr>
          <w:rFonts w:ascii="Times New Roman" w:eastAsia="Times New Roman" w:hAnsi="Times New Roman" w:cs="Times New Roman"/>
          <w:kern w:val="28"/>
          <w:sz w:val="24"/>
          <w:szCs w:val="24"/>
        </w:rPr>
        <w:t>овор за финансиране ЦА12-22-56/</w:t>
      </w:r>
      <w:r w:rsidR="009D1FA8" w:rsidRPr="00FD4C39">
        <w:rPr>
          <w:rFonts w:ascii="Times New Roman" w:eastAsia="Times New Roman" w:hAnsi="Times New Roman" w:cs="Times New Roman"/>
          <w:kern w:val="28"/>
          <w:sz w:val="24"/>
          <w:szCs w:val="24"/>
        </w:rPr>
        <w:t>4.07.2013</w:t>
      </w:r>
      <w:r w:rsidR="004D42A2">
        <w:rPr>
          <w:rFonts w:ascii="Times New Roman" w:eastAsia="Times New Roman" w:hAnsi="Times New Roman" w:cs="Times New Roman"/>
          <w:kern w:val="28"/>
          <w:sz w:val="24"/>
          <w:szCs w:val="24"/>
        </w:rPr>
        <w:t> г.</w:t>
      </w:r>
      <w:r w:rsidR="009D1FA8" w:rsidRPr="00FD4C39">
        <w:rPr>
          <w:rFonts w:ascii="Times New Roman" w:eastAsia="Times New Roman" w:hAnsi="Times New Roman" w:cs="Times New Roman"/>
          <w:kern w:val="28"/>
          <w:sz w:val="24"/>
          <w:szCs w:val="24"/>
        </w:rPr>
        <w:t xml:space="preserve">, приоритетна ос ІІ </w:t>
      </w:r>
      <w:r w:rsidR="004931E5" w:rsidRPr="00FD4C39">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Управление на човешките ресурси</w:t>
      </w:r>
      <w:r w:rsidR="001F6AC7">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 xml:space="preserve">, </w:t>
      </w:r>
      <w:proofErr w:type="spellStart"/>
      <w:r w:rsidR="009D1FA8" w:rsidRPr="00FD4C39">
        <w:rPr>
          <w:rFonts w:ascii="Times New Roman" w:eastAsia="Times New Roman" w:hAnsi="Times New Roman" w:cs="Times New Roman"/>
          <w:kern w:val="28"/>
          <w:sz w:val="24"/>
          <w:szCs w:val="24"/>
        </w:rPr>
        <w:t>подприоритет</w:t>
      </w:r>
      <w:proofErr w:type="spellEnd"/>
      <w:r w:rsidR="009D1FA8" w:rsidRPr="00FD4C39">
        <w:rPr>
          <w:rFonts w:ascii="Times New Roman" w:eastAsia="Times New Roman" w:hAnsi="Times New Roman" w:cs="Times New Roman"/>
          <w:kern w:val="28"/>
          <w:sz w:val="24"/>
          <w:szCs w:val="24"/>
        </w:rPr>
        <w:t xml:space="preserve"> 2.</w:t>
      </w:r>
      <w:proofErr w:type="spellStart"/>
      <w:r w:rsidR="009D1FA8" w:rsidRPr="00FD4C39">
        <w:rPr>
          <w:rFonts w:ascii="Times New Roman" w:eastAsia="Times New Roman" w:hAnsi="Times New Roman" w:cs="Times New Roman"/>
          <w:kern w:val="28"/>
          <w:sz w:val="24"/>
          <w:szCs w:val="24"/>
        </w:rPr>
        <w:t>2</w:t>
      </w:r>
      <w:proofErr w:type="spellEnd"/>
      <w:r w:rsidR="009D1FA8" w:rsidRPr="00FD4C39">
        <w:rPr>
          <w:rFonts w:ascii="Times New Roman" w:eastAsia="Times New Roman" w:hAnsi="Times New Roman" w:cs="Times New Roman"/>
          <w:kern w:val="28"/>
          <w:sz w:val="24"/>
          <w:szCs w:val="24"/>
        </w:rPr>
        <w:t xml:space="preserve">. </w:t>
      </w:r>
      <w:r w:rsidR="004931E5" w:rsidRPr="00FD4C39">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Компетентна и ефективна държавна администрация</w:t>
      </w:r>
      <w:r w:rsidR="001F6AC7">
        <w:rPr>
          <w:rFonts w:ascii="Times New Roman" w:eastAsia="Times New Roman" w:hAnsi="Times New Roman" w:cs="Times New Roman"/>
          <w:kern w:val="28"/>
          <w:sz w:val="24"/>
          <w:szCs w:val="24"/>
        </w:rPr>
        <w:t>“</w:t>
      </w:r>
      <w:r w:rsidR="009D1FA8" w:rsidRPr="00FD4C39">
        <w:rPr>
          <w:rFonts w:ascii="Times New Roman" w:eastAsia="Times New Roman" w:hAnsi="Times New Roman" w:cs="Times New Roman"/>
          <w:kern w:val="28"/>
          <w:sz w:val="24"/>
          <w:szCs w:val="24"/>
        </w:rPr>
        <w:t xml:space="preserve">, бюджетна линия BG051PO002/12/2.2-08, </w:t>
      </w:r>
    </w:p>
    <w:p w:rsidR="009D1FA8" w:rsidRPr="00FD4C39" w:rsidRDefault="004931E5" w:rsidP="0002674A">
      <w:pPr>
        <w:pStyle w:val="ListParagraph"/>
        <w:numPr>
          <w:ilvl w:val="3"/>
          <w:numId w:val="23"/>
        </w:numPr>
        <w:tabs>
          <w:tab w:val="left" w:pos="993"/>
        </w:tabs>
        <w:spacing w:after="0" w:line="360" w:lineRule="auto"/>
        <w:ind w:left="0" w:firstLine="709"/>
        <w:jc w:val="both"/>
        <w:rPr>
          <w:rFonts w:ascii="Times New Roman" w:hAnsi="Times New Roman" w:cs="Times New Roman"/>
          <w:bCs/>
          <w:sz w:val="24"/>
          <w:szCs w:val="24"/>
        </w:rPr>
      </w:pPr>
      <w:r w:rsidRPr="00FD4C39">
        <w:rPr>
          <w:rFonts w:ascii="Times New Roman" w:hAnsi="Times New Roman" w:cs="Times New Roman"/>
          <w:bCs/>
          <w:sz w:val="24"/>
          <w:szCs w:val="24"/>
        </w:rPr>
        <w:t>„</w:t>
      </w:r>
      <w:r w:rsidR="009D1FA8" w:rsidRPr="00FD4C39">
        <w:rPr>
          <w:rFonts w:ascii="Times New Roman" w:hAnsi="Times New Roman" w:cs="Times New Roman"/>
          <w:sz w:val="24"/>
          <w:szCs w:val="24"/>
        </w:rPr>
        <w:t xml:space="preserve">Обучение на служители от дирекция </w:t>
      </w:r>
      <w:r w:rsidRPr="00FD4C39">
        <w:rPr>
          <w:rFonts w:ascii="Times New Roman" w:hAnsi="Times New Roman" w:cs="Times New Roman"/>
          <w:sz w:val="24"/>
          <w:szCs w:val="24"/>
        </w:rPr>
        <w:t>„</w:t>
      </w:r>
      <w:r w:rsidR="009D1FA8" w:rsidRPr="00FD4C39">
        <w:rPr>
          <w:rFonts w:ascii="Times New Roman" w:hAnsi="Times New Roman" w:cs="Times New Roman"/>
          <w:sz w:val="24"/>
          <w:szCs w:val="24"/>
        </w:rPr>
        <w:t>Информационни фондове и системи</w:t>
      </w:r>
      <w:r w:rsidR="001F6AC7">
        <w:rPr>
          <w:rFonts w:ascii="Times New Roman" w:hAnsi="Times New Roman" w:cs="Times New Roman"/>
          <w:sz w:val="24"/>
          <w:szCs w:val="24"/>
        </w:rPr>
        <w:t>“</w:t>
      </w:r>
      <w:r w:rsidR="009D1FA8" w:rsidRPr="00FD4C39">
        <w:rPr>
          <w:rFonts w:ascii="Times New Roman" w:hAnsi="Times New Roman" w:cs="Times New Roman"/>
          <w:sz w:val="24"/>
          <w:szCs w:val="24"/>
        </w:rPr>
        <w:t xml:space="preserve"> за администратори на база данни </w:t>
      </w:r>
      <w:proofErr w:type="spellStart"/>
      <w:r w:rsidR="009D1FA8" w:rsidRPr="00FD4C39">
        <w:rPr>
          <w:rFonts w:ascii="Times New Roman" w:hAnsi="Times New Roman" w:cs="Times New Roman"/>
          <w:sz w:val="24"/>
          <w:szCs w:val="24"/>
        </w:rPr>
        <w:t>Oracle</w:t>
      </w:r>
      <w:proofErr w:type="spellEnd"/>
      <w:r w:rsidR="001F6AC7">
        <w:rPr>
          <w:rFonts w:ascii="Times New Roman" w:hAnsi="Times New Roman" w:cs="Times New Roman"/>
          <w:bCs/>
          <w:sz w:val="24"/>
          <w:szCs w:val="24"/>
        </w:rPr>
        <w:t>“</w:t>
      </w:r>
      <w:r w:rsidR="009D1FA8" w:rsidRPr="00FD4C39">
        <w:rPr>
          <w:rFonts w:ascii="Times New Roman" w:hAnsi="Times New Roman" w:cs="Times New Roman"/>
          <w:bCs/>
          <w:sz w:val="24"/>
          <w:szCs w:val="24"/>
        </w:rPr>
        <w:t xml:space="preserve">, реализирана по проект </w:t>
      </w:r>
      <w:r w:rsidRPr="00FD4C39">
        <w:rPr>
          <w:rFonts w:ascii="Times New Roman" w:hAnsi="Times New Roman" w:cs="Times New Roman"/>
          <w:bCs/>
          <w:sz w:val="24"/>
          <w:szCs w:val="24"/>
        </w:rPr>
        <w:t>„</w:t>
      </w:r>
      <w:r w:rsidR="009D1FA8" w:rsidRPr="00FD4C39">
        <w:rPr>
          <w:rFonts w:ascii="Times New Roman" w:hAnsi="Times New Roman" w:cs="Times New Roman"/>
          <w:bCs/>
          <w:sz w:val="24"/>
          <w:szCs w:val="24"/>
        </w:rPr>
        <w:t xml:space="preserve">Повишаване на административния капацитет на </w:t>
      </w:r>
      <w:r w:rsidR="00FE7018" w:rsidRPr="00FD4C39">
        <w:rPr>
          <w:rFonts w:ascii="Times New Roman" w:hAnsi="Times New Roman" w:cs="Times New Roman"/>
          <w:bCs/>
          <w:sz w:val="24"/>
          <w:szCs w:val="24"/>
        </w:rPr>
        <w:t>КЗЛД</w:t>
      </w:r>
      <w:r w:rsidR="001F6AC7">
        <w:rPr>
          <w:rFonts w:ascii="Times New Roman" w:hAnsi="Times New Roman" w:cs="Times New Roman"/>
          <w:bCs/>
          <w:sz w:val="24"/>
          <w:szCs w:val="24"/>
        </w:rPr>
        <w:t xml:space="preserve"> </w:t>
      </w:r>
      <w:r w:rsidR="009D1FA8" w:rsidRPr="00FD4C39">
        <w:rPr>
          <w:rFonts w:ascii="Times New Roman" w:hAnsi="Times New Roman" w:cs="Times New Roman"/>
          <w:bCs/>
          <w:sz w:val="24"/>
          <w:szCs w:val="24"/>
        </w:rPr>
        <w:t>за работа с бази данни, информационни системи и работа в екип</w:t>
      </w:r>
      <w:r w:rsidR="001F6AC7">
        <w:rPr>
          <w:rFonts w:ascii="Times New Roman" w:hAnsi="Times New Roman" w:cs="Times New Roman"/>
          <w:bCs/>
          <w:sz w:val="24"/>
          <w:szCs w:val="24"/>
        </w:rPr>
        <w:t>“</w:t>
      </w:r>
      <w:r w:rsidR="009D1FA8" w:rsidRPr="00FD4C39">
        <w:rPr>
          <w:rFonts w:ascii="Times New Roman" w:hAnsi="Times New Roman" w:cs="Times New Roman"/>
          <w:bCs/>
          <w:sz w:val="24"/>
          <w:szCs w:val="24"/>
        </w:rPr>
        <w:t xml:space="preserve">, Оперативна програма </w:t>
      </w:r>
      <w:r w:rsidRPr="00FD4C39">
        <w:rPr>
          <w:rFonts w:ascii="Times New Roman" w:hAnsi="Times New Roman" w:cs="Times New Roman"/>
          <w:bCs/>
          <w:sz w:val="24"/>
          <w:szCs w:val="24"/>
        </w:rPr>
        <w:t>„</w:t>
      </w:r>
      <w:r w:rsidR="001F6AC7">
        <w:rPr>
          <w:rFonts w:ascii="Times New Roman" w:hAnsi="Times New Roman" w:cs="Times New Roman"/>
          <w:bCs/>
          <w:sz w:val="24"/>
          <w:szCs w:val="24"/>
        </w:rPr>
        <w:t>Административен капацитет“ (ОПАК), с номер на договор за</w:t>
      </w:r>
      <w:r w:rsidR="009D1FA8" w:rsidRPr="00FD4C39">
        <w:rPr>
          <w:rFonts w:ascii="Times New Roman" w:eastAsia="Times New Roman" w:hAnsi="Times New Roman" w:cs="Times New Roman"/>
          <w:color w:val="000000"/>
          <w:sz w:val="24"/>
          <w:szCs w:val="24"/>
        </w:rPr>
        <w:t xml:space="preserve"> безвъзмездна помощ </w:t>
      </w:r>
      <w:r w:rsidR="009A2D9F" w:rsidRPr="00FD4C39">
        <w:rPr>
          <w:rFonts w:ascii="Times New Roman" w:eastAsia="Times New Roman" w:hAnsi="Times New Roman" w:cs="Times New Roman"/>
          <w:color w:val="000000"/>
          <w:sz w:val="24"/>
          <w:szCs w:val="24"/>
        </w:rPr>
        <w:t>№ </w:t>
      </w:r>
      <w:r w:rsidR="001F6AC7">
        <w:rPr>
          <w:rFonts w:ascii="Times New Roman" w:hAnsi="Times New Roman" w:cs="Times New Roman"/>
          <w:bCs/>
          <w:sz w:val="24"/>
          <w:szCs w:val="24"/>
        </w:rPr>
        <w:t>ЦА12-22-57/</w:t>
      </w:r>
      <w:r w:rsidR="009D1FA8" w:rsidRPr="00FD4C39">
        <w:rPr>
          <w:rFonts w:ascii="Times New Roman" w:hAnsi="Times New Roman" w:cs="Times New Roman"/>
          <w:bCs/>
          <w:sz w:val="24"/>
          <w:szCs w:val="24"/>
        </w:rPr>
        <w:t xml:space="preserve">4.07.2013г., приоритетна ос ІІ </w:t>
      </w:r>
      <w:r w:rsidRPr="00FD4C39">
        <w:rPr>
          <w:rFonts w:ascii="Times New Roman" w:hAnsi="Times New Roman" w:cs="Times New Roman"/>
          <w:bCs/>
          <w:sz w:val="24"/>
          <w:szCs w:val="24"/>
        </w:rPr>
        <w:t>„</w:t>
      </w:r>
      <w:r w:rsidR="009D1FA8" w:rsidRPr="00FD4C39">
        <w:rPr>
          <w:rFonts w:ascii="Times New Roman" w:hAnsi="Times New Roman" w:cs="Times New Roman"/>
          <w:bCs/>
          <w:sz w:val="24"/>
          <w:szCs w:val="24"/>
        </w:rPr>
        <w:t>Управление на човешките ресурси</w:t>
      </w:r>
      <w:r w:rsidR="001F6AC7">
        <w:rPr>
          <w:rFonts w:ascii="Times New Roman" w:hAnsi="Times New Roman" w:cs="Times New Roman"/>
          <w:bCs/>
          <w:sz w:val="24"/>
          <w:szCs w:val="24"/>
        </w:rPr>
        <w:t>“</w:t>
      </w:r>
      <w:r w:rsidR="009D1FA8" w:rsidRPr="00FD4C39">
        <w:rPr>
          <w:rFonts w:ascii="Times New Roman" w:hAnsi="Times New Roman" w:cs="Times New Roman"/>
          <w:bCs/>
          <w:sz w:val="24"/>
          <w:szCs w:val="24"/>
        </w:rPr>
        <w:t xml:space="preserve">, </w:t>
      </w:r>
      <w:proofErr w:type="spellStart"/>
      <w:r w:rsidR="009D1FA8" w:rsidRPr="00FD4C39">
        <w:rPr>
          <w:rFonts w:ascii="Times New Roman" w:hAnsi="Times New Roman" w:cs="Times New Roman"/>
          <w:bCs/>
          <w:sz w:val="24"/>
          <w:szCs w:val="24"/>
        </w:rPr>
        <w:t>подприоритет</w:t>
      </w:r>
      <w:proofErr w:type="spellEnd"/>
      <w:r w:rsidR="009D1FA8" w:rsidRPr="00FD4C39">
        <w:rPr>
          <w:rFonts w:ascii="Times New Roman" w:hAnsi="Times New Roman" w:cs="Times New Roman"/>
          <w:bCs/>
          <w:sz w:val="24"/>
          <w:szCs w:val="24"/>
        </w:rPr>
        <w:t xml:space="preserve"> 2.</w:t>
      </w:r>
      <w:proofErr w:type="spellStart"/>
      <w:r w:rsidR="009D1FA8" w:rsidRPr="00FD4C39">
        <w:rPr>
          <w:rFonts w:ascii="Times New Roman" w:hAnsi="Times New Roman" w:cs="Times New Roman"/>
          <w:bCs/>
          <w:sz w:val="24"/>
          <w:szCs w:val="24"/>
        </w:rPr>
        <w:t>2</w:t>
      </w:r>
      <w:proofErr w:type="spellEnd"/>
      <w:r w:rsidR="009D1FA8" w:rsidRPr="00FD4C39">
        <w:rPr>
          <w:rFonts w:ascii="Times New Roman" w:hAnsi="Times New Roman" w:cs="Times New Roman"/>
          <w:bCs/>
          <w:sz w:val="24"/>
          <w:szCs w:val="24"/>
        </w:rPr>
        <w:t xml:space="preserve">. </w:t>
      </w:r>
      <w:r w:rsidRPr="00FD4C39">
        <w:rPr>
          <w:rFonts w:ascii="Times New Roman" w:hAnsi="Times New Roman" w:cs="Times New Roman"/>
          <w:bCs/>
          <w:sz w:val="24"/>
          <w:szCs w:val="24"/>
        </w:rPr>
        <w:t>„</w:t>
      </w:r>
      <w:r w:rsidR="009D1FA8" w:rsidRPr="00FD4C39">
        <w:rPr>
          <w:rFonts w:ascii="Times New Roman" w:hAnsi="Times New Roman" w:cs="Times New Roman"/>
          <w:bCs/>
          <w:sz w:val="24"/>
          <w:szCs w:val="24"/>
        </w:rPr>
        <w:t>Компетентна и ефективна държавн</w:t>
      </w:r>
      <w:r w:rsidR="001F6AC7">
        <w:rPr>
          <w:rFonts w:ascii="Times New Roman" w:hAnsi="Times New Roman" w:cs="Times New Roman"/>
          <w:bCs/>
          <w:sz w:val="24"/>
          <w:szCs w:val="24"/>
        </w:rPr>
        <w:t>а администрация“</w:t>
      </w:r>
      <w:r w:rsidR="009D1FA8" w:rsidRPr="00FD4C39">
        <w:rPr>
          <w:rFonts w:ascii="Times New Roman" w:hAnsi="Times New Roman" w:cs="Times New Roman"/>
          <w:bCs/>
          <w:sz w:val="24"/>
          <w:szCs w:val="24"/>
        </w:rPr>
        <w:t>, бюджетна линия BG051PO002/12/2.2-08,</w:t>
      </w:r>
    </w:p>
    <w:p w:rsidR="009D1FA8" w:rsidRPr="00FD4C39" w:rsidRDefault="004931E5" w:rsidP="0002674A">
      <w:pPr>
        <w:pStyle w:val="ListParagraph"/>
        <w:numPr>
          <w:ilvl w:val="3"/>
          <w:numId w:val="23"/>
        </w:numPr>
        <w:tabs>
          <w:tab w:val="left" w:pos="993"/>
        </w:tabs>
        <w:spacing w:after="0" w:line="360" w:lineRule="auto"/>
        <w:ind w:left="0" w:firstLine="709"/>
        <w:jc w:val="both"/>
        <w:rPr>
          <w:rFonts w:ascii="Times New Roman" w:eastAsia="Times New Roman" w:hAnsi="Times New Roman" w:cs="Times New Roman"/>
          <w:color w:val="000000"/>
          <w:sz w:val="24"/>
          <w:szCs w:val="24"/>
        </w:rPr>
      </w:pPr>
      <w:r w:rsidRPr="00FD4C39">
        <w:rPr>
          <w:rFonts w:ascii="Times New Roman" w:hAnsi="Times New Roman" w:cs="Times New Roman"/>
          <w:sz w:val="24"/>
          <w:szCs w:val="24"/>
        </w:rPr>
        <w:t>„</w:t>
      </w:r>
      <w:r w:rsidR="009D1FA8" w:rsidRPr="00FD4C39">
        <w:rPr>
          <w:rFonts w:ascii="Times New Roman" w:hAnsi="Times New Roman" w:cs="Times New Roman"/>
          <w:sz w:val="24"/>
          <w:szCs w:val="24"/>
        </w:rPr>
        <w:t xml:space="preserve">Обучение за служителите на отдел </w:t>
      </w:r>
      <w:r w:rsidRPr="00FD4C39">
        <w:rPr>
          <w:rFonts w:ascii="Times New Roman" w:hAnsi="Times New Roman" w:cs="Times New Roman"/>
          <w:sz w:val="24"/>
          <w:szCs w:val="24"/>
        </w:rPr>
        <w:t>„</w:t>
      </w:r>
      <w:r w:rsidR="001F6AC7">
        <w:rPr>
          <w:rFonts w:ascii="Times New Roman" w:hAnsi="Times New Roman" w:cs="Times New Roman"/>
          <w:sz w:val="24"/>
          <w:szCs w:val="24"/>
        </w:rPr>
        <w:t>Регистър и Архив“</w:t>
      </w:r>
      <w:r w:rsidR="009D1FA8" w:rsidRPr="00FD4C39">
        <w:rPr>
          <w:rFonts w:ascii="Times New Roman" w:hAnsi="Times New Roman" w:cs="Times New Roman"/>
          <w:sz w:val="24"/>
          <w:szCs w:val="24"/>
        </w:rPr>
        <w:t xml:space="preserve"> в дирекция </w:t>
      </w:r>
      <w:r w:rsidRPr="00FD4C39">
        <w:rPr>
          <w:rFonts w:ascii="Times New Roman" w:hAnsi="Times New Roman" w:cs="Times New Roman"/>
          <w:sz w:val="24"/>
          <w:szCs w:val="24"/>
        </w:rPr>
        <w:t>„</w:t>
      </w:r>
      <w:r w:rsidR="009D1FA8" w:rsidRPr="00FD4C39">
        <w:rPr>
          <w:rFonts w:ascii="Times New Roman" w:hAnsi="Times New Roman" w:cs="Times New Roman"/>
          <w:sz w:val="24"/>
          <w:szCs w:val="24"/>
        </w:rPr>
        <w:t>И</w:t>
      </w:r>
      <w:r w:rsidR="001F6AC7">
        <w:rPr>
          <w:rFonts w:ascii="Times New Roman" w:hAnsi="Times New Roman" w:cs="Times New Roman"/>
          <w:sz w:val="24"/>
          <w:szCs w:val="24"/>
        </w:rPr>
        <w:t xml:space="preserve">нформационни фондове и системи“ </w:t>
      </w:r>
      <w:r w:rsidR="009D1FA8" w:rsidRPr="00FD4C39">
        <w:rPr>
          <w:rFonts w:ascii="Times New Roman" w:hAnsi="Times New Roman" w:cs="Times New Roman"/>
          <w:sz w:val="24"/>
          <w:szCs w:val="24"/>
        </w:rPr>
        <w:t>за работа в екип и постигане на екипните цели</w:t>
      </w:r>
      <w:r w:rsidR="001F6AC7">
        <w:rPr>
          <w:rFonts w:ascii="Times New Roman" w:hAnsi="Times New Roman" w:cs="Times New Roman"/>
          <w:sz w:val="24"/>
          <w:szCs w:val="24"/>
        </w:rPr>
        <w:t>“</w:t>
      </w:r>
      <w:r w:rsidR="009D1FA8" w:rsidRPr="00FD4C39">
        <w:rPr>
          <w:rFonts w:ascii="Times New Roman" w:hAnsi="Times New Roman" w:cs="Times New Roman"/>
          <w:bCs/>
          <w:sz w:val="24"/>
          <w:szCs w:val="24"/>
        </w:rPr>
        <w:t xml:space="preserve">, реализирана по проект </w:t>
      </w:r>
      <w:r w:rsidRPr="00FD4C39">
        <w:rPr>
          <w:rFonts w:ascii="Times New Roman" w:hAnsi="Times New Roman" w:cs="Times New Roman"/>
          <w:bCs/>
          <w:sz w:val="24"/>
          <w:szCs w:val="24"/>
        </w:rPr>
        <w:t>„</w:t>
      </w:r>
      <w:r w:rsidR="009D1FA8" w:rsidRPr="00FD4C39">
        <w:rPr>
          <w:rFonts w:ascii="Times New Roman" w:hAnsi="Times New Roman" w:cs="Times New Roman"/>
          <w:bCs/>
          <w:sz w:val="24"/>
          <w:szCs w:val="24"/>
        </w:rPr>
        <w:t xml:space="preserve">Повишаване на административния капацитет на </w:t>
      </w:r>
      <w:r w:rsidR="00FE7018" w:rsidRPr="00FD4C39">
        <w:rPr>
          <w:rFonts w:ascii="Times New Roman" w:hAnsi="Times New Roman" w:cs="Times New Roman"/>
          <w:bCs/>
          <w:sz w:val="24"/>
          <w:szCs w:val="24"/>
        </w:rPr>
        <w:t>КЗЛД</w:t>
      </w:r>
      <w:r w:rsidR="0030729B">
        <w:rPr>
          <w:rFonts w:ascii="Times New Roman" w:hAnsi="Times New Roman" w:cs="Times New Roman"/>
          <w:bCs/>
          <w:sz w:val="24"/>
          <w:szCs w:val="24"/>
        </w:rPr>
        <w:t xml:space="preserve"> </w:t>
      </w:r>
      <w:r w:rsidR="009D1FA8" w:rsidRPr="00FD4C39">
        <w:rPr>
          <w:rFonts w:ascii="Times New Roman" w:hAnsi="Times New Roman" w:cs="Times New Roman"/>
          <w:bCs/>
          <w:sz w:val="24"/>
          <w:szCs w:val="24"/>
        </w:rPr>
        <w:t>за работа с бази данни, информационни системи и работа в екип</w:t>
      </w:r>
      <w:r w:rsidR="0030729B">
        <w:rPr>
          <w:rFonts w:ascii="Times New Roman" w:hAnsi="Times New Roman" w:cs="Times New Roman"/>
          <w:bCs/>
          <w:sz w:val="24"/>
          <w:szCs w:val="24"/>
        </w:rPr>
        <w:t>“</w:t>
      </w:r>
      <w:r w:rsidR="009D1FA8" w:rsidRPr="00FD4C39">
        <w:rPr>
          <w:rFonts w:ascii="Times New Roman" w:hAnsi="Times New Roman" w:cs="Times New Roman"/>
          <w:bCs/>
          <w:sz w:val="24"/>
          <w:szCs w:val="24"/>
        </w:rPr>
        <w:t xml:space="preserve">, Оперативна програма </w:t>
      </w:r>
      <w:r w:rsidRPr="00FD4C39">
        <w:rPr>
          <w:rFonts w:ascii="Times New Roman" w:hAnsi="Times New Roman" w:cs="Times New Roman"/>
          <w:bCs/>
          <w:sz w:val="24"/>
          <w:szCs w:val="24"/>
        </w:rPr>
        <w:t>„</w:t>
      </w:r>
      <w:r w:rsidR="009D1FA8" w:rsidRPr="00FD4C39">
        <w:rPr>
          <w:rFonts w:ascii="Times New Roman" w:hAnsi="Times New Roman" w:cs="Times New Roman"/>
          <w:bCs/>
          <w:sz w:val="24"/>
          <w:szCs w:val="24"/>
        </w:rPr>
        <w:t>Административен капацитет</w:t>
      </w:r>
      <w:r w:rsidR="0030729B">
        <w:rPr>
          <w:rFonts w:ascii="Times New Roman" w:hAnsi="Times New Roman" w:cs="Times New Roman"/>
          <w:bCs/>
          <w:sz w:val="24"/>
          <w:szCs w:val="24"/>
        </w:rPr>
        <w:t xml:space="preserve">“ </w:t>
      </w:r>
      <w:r w:rsidR="009D1FA8" w:rsidRPr="00FD4C39">
        <w:rPr>
          <w:rFonts w:ascii="Times New Roman" w:hAnsi="Times New Roman" w:cs="Times New Roman"/>
          <w:bCs/>
          <w:sz w:val="24"/>
          <w:szCs w:val="24"/>
        </w:rPr>
        <w:t xml:space="preserve">(ОПАК), с номер на договор за </w:t>
      </w:r>
      <w:r w:rsidR="009D1FA8" w:rsidRPr="00FD4C39">
        <w:rPr>
          <w:rFonts w:ascii="Times New Roman" w:eastAsia="Times New Roman" w:hAnsi="Times New Roman" w:cs="Times New Roman"/>
          <w:color w:val="000000"/>
          <w:sz w:val="24"/>
          <w:szCs w:val="24"/>
        </w:rPr>
        <w:t xml:space="preserve">безвъзмездна помощ </w:t>
      </w:r>
      <w:r w:rsidR="0030729B">
        <w:rPr>
          <w:rFonts w:ascii="Times New Roman" w:hAnsi="Times New Roman" w:cs="Times New Roman"/>
          <w:bCs/>
          <w:sz w:val="24"/>
          <w:szCs w:val="24"/>
        </w:rPr>
        <w:t>ЦА12-22-57/</w:t>
      </w:r>
      <w:r w:rsidR="009D1FA8" w:rsidRPr="00FD4C39">
        <w:rPr>
          <w:rFonts w:ascii="Times New Roman" w:hAnsi="Times New Roman" w:cs="Times New Roman"/>
          <w:bCs/>
          <w:sz w:val="24"/>
          <w:szCs w:val="24"/>
        </w:rPr>
        <w:t>4.07.2013</w:t>
      </w:r>
      <w:r w:rsidR="004D42A2">
        <w:rPr>
          <w:rFonts w:ascii="Times New Roman" w:hAnsi="Times New Roman" w:cs="Times New Roman"/>
          <w:bCs/>
          <w:sz w:val="24"/>
          <w:szCs w:val="24"/>
        </w:rPr>
        <w:t> г.</w:t>
      </w:r>
    </w:p>
    <w:p w:rsidR="009D1FA8" w:rsidRPr="00FD4C39" w:rsidRDefault="004931E5" w:rsidP="0002674A">
      <w:pPr>
        <w:pStyle w:val="ListParagraph"/>
        <w:numPr>
          <w:ilvl w:val="3"/>
          <w:numId w:val="23"/>
        </w:numPr>
        <w:tabs>
          <w:tab w:val="left" w:pos="993"/>
        </w:tabs>
        <w:spacing w:after="0" w:line="360" w:lineRule="auto"/>
        <w:ind w:left="0" w:firstLine="709"/>
        <w:jc w:val="both"/>
        <w:rPr>
          <w:rFonts w:ascii="Times New Roman" w:eastAsia="Times New Roman" w:hAnsi="Times New Roman" w:cs="Times New Roman"/>
          <w:color w:val="000000"/>
          <w:sz w:val="24"/>
          <w:szCs w:val="24"/>
        </w:rPr>
      </w:pPr>
      <w:r w:rsidRPr="00FD4C39">
        <w:rPr>
          <w:rFonts w:ascii="Times New Roman" w:eastAsia="Times New Roman" w:hAnsi="Times New Roman" w:cs="Times New Roman"/>
          <w:sz w:val="24"/>
          <w:szCs w:val="24"/>
        </w:rPr>
        <w:lastRenderedPageBreak/>
        <w:t>„</w:t>
      </w:r>
      <w:r w:rsidR="009D1FA8" w:rsidRPr="00FD4C39">
        <w:rPr>
          <w:rFonts w:ascii="Times New Roman" w:eastAsia="Times New Roman" w:hAnsi="Times New Roman" w:cs="Times New Roman"/>
          <w:color w:val="000000"/>
          <w:sz w:val="24"/>
          <w:szCs w:val="24"/>
        </w:rPr>
        <w:t>Предоставяне на услуги по информация и публичност</w:t>
      </w:r>
      <w:r w:rsidR="001358C3">
        <w:rPr>
          <w:rFonts w:ascii="Times New Roman" w:eastAsia="Times New Roman" w:hAnsi="Times New Roman" w:cs="Times New Roman"/>
          <w:sz w:val="24"/>
          <w:szCs w:val="24"/>
        </w:rPr>
        <w:t>“</w:t>
      </w:r>
      <w:r w:rsidR="009D1FA8" w:rsidRPr="00FD4C39">
        <w:rPr>
          <w:rFonts w:ascii="Times New Roman" w:eastAsia="Times New Roman" w:hAnsi="Times New Roman" w:cs="Times New Roman"/>
          <w:sz w:val="24"/>
          <w:szCs w:val="24"/>
        </w:rPr>
        <w:t xml:space="preserve"> във връзка с</w:t>
      </w:r>
      <w:r w:rsidR="009D1FA8" w:rsidRPr="00FD4C39">
        <w:rPr>
          <w:rFonts w:ascii="Times New Roman" w:eastAsia="Times New Roman" w:hAnsi="Times New Roman" w:cs="Times New Roman"/>
          <w:color w:val="000000"/>
          <w:sz w:val="24"/>
          <w:szCs w:val="24"/>
        </w:rPr>
        <w:t xml:space="preserve"> изпълнението на проект </w:t>
      </w:r>
      <w:r w:rsidRPr="00FD4C39">
        <w:rPr>
          <w:rFonts w:ascii="Times New Roman" w:eastAsia="Times New Roman" w:hAnsi="Times New Roman" w:cs="Times New Roman"/>
          <w:color w:val="000000"/>
          <w:sz w:val="24"/>
          <w:szCs w:val="24"/>
        </w:rPr>
        <w:t>„</w:t>
      </w:r>
      <w:r w:rsidR="009D1FA8" w:rsidRPr="00FD4C39">
        <w:rPr>
          <w:rFonts w:ascii="Times New Roman" w:hAnsi="Times New Roman" w:cs="Times New Roman"/>
          <w:color w:val="000000"/>
          <w:sz w:val="24"/>
          <w:szCs w:val="24"/>
        </w:rPr>
        <w:t xml:space="preserve">Повишаване на административния капацитет на </w:t>
      </w:r>
      <w:r w:rsidR="00FE7018" w:rsidRPr="00FD4C39">
        <w:rPr>
          <w:rFonts w:ascii="Times New Roman" w:hAnsi="Times New Roman" w:cs="Times New Roman"/>
          <w:color w:val="000000"/>
          <w:sz w:val="24"/>
          <w:szCs w:val="24"/>
        </w:rPr>
        <w:t>КЗЛД</w:t>
      </w:r>
      <w:r w:rsidR="001358C3">
        <w:rPr>
          <w:rFonts w:ascii="Times New Roman" w:hAnsi="Times New Roman" w:cs="Times New Roman"/>
          <w:color w:val="000000"/>
          <w:sz w:val="24"/>
          <w:szCs w:val="24"/>
        </w:rPr>
        <w:t xml:space="preserve"> </w:t>
      </w:r>
      <w:r w:rsidR="009D1FA8" w:rsidRPr="00FD4C39">
        <w:rPr>
          <w:rFonts w:ascii="Times New Roman" w:hAnsi="Times New Roman" w:cs="Times New Roman"/>
          <w:color w:val="000000"/>
          <w:sz w:val="24"/>
          <w:szCs w:val="24"/>
        </w:rPr>
        <w:t>за работа с бази данни, информ</w:t>
      </w:r>
      <w:r w:rsidR="001358C3">
        <w:rPr>
          <w:rFonts w:ascii="Times New Roman" w:hAnsi="Times New Roman" w:cs="Times New Roman"/>
          <w:color w:val="000000"/>
          <w:sz w:val="24"/>
          <w:szCs w:val="24"/>
        </w:rPr>
        <w:t>ационни системи и работа в екип“</w:t>
      </w:r>
      <w:r w:rsidR="009D1FA8" w:rsidRPr="00FD4C39">
        <w:rPr>
          <w:rFonts w:ascii="Times New Roman" w:hAnsi="Times New Roman" w:cs="Times New Roman"/>
          <w:bCs/>
          <w:sz w:val="24"/>
          <w:szCs w:val="24"/>
        </w:rPr>
        <w:t xml:space="preserve"> с номер на</w:t>
      </w:r>
      <w:r w:rsidR="009D1FA8" w:rsidRPr="00FD4C39">
        <w:rPr>
          <w:rFonts w:ascii="Times New Roman" w:eastAsia="Times New Roman" w:hAnsi="Times New Roman" w:cs="Times New Roman"/>
          <w:color w:val="000000"/>
          <w:sz w:val="24"/>
          <w:szCs w:val="24"/>
        </w:rPr>
        <w:t xml:space="preserve"> договор за безвъзмездна помощ </w:t>
      </w:r>
      <w:r w:rsidR="009A2D9F" w:rsidRPr="00FD4C39">
        <w:rPr>
          <w:rFonts w:ascii="Times New Roman" w:eastAsia="Times New Roman" w:hAnsi="Times New Roman" w:cs="Times New Roman"/>
          <w:color w:val="000000"/>
          <w:sz w:val="24"/>
          <w:szCs w:val="24"/>
        </w:rPr>
        <w:t>№ </w:t>
      </w:r>
      <w:r w:rsidR="009D1FA8" w:rsidRPr="00FD4C39">
        <w:rPr>
          <w:rFonts w:ascii="Times New Roman" w:hAnsi="Times New Roman" w:cs="Times New Roman"/>
          <w:sz w:val="24"/>
          <w:szCs w:val="24"/>
        </w:rPr>
        <w:t>ЦА12-22-57/04.02.2013</w:t>
      </w:r>
      <w:r w:rsidR="004D42A2">
        <w:rPr>
          <w:rFonts w:ascii="Times New Roman" w:hAnsi="Times New Roman" w:cs="Times New Roman"/>
          <w:i/>
          <w:sz w:val="24"/>
          <w:szCs w:val="24"/>
        </w:rPr>
        <w:t> г.</w:t>
      </w:r>
      <w:r w:rsidR="009D1FA8" w:rsidRPr="00FD4C39">
        <w:rPr>
          <w:rFonts w:ascii="Times New Roman" w:hAnsi="Times New Roman" w:cs="Times New Roman"/>
          <w:sz w:val="24"/>
          <w:szCs w:val="24"/>
        </w:rPr>
        <w:t xml:space="preserve"> </w:t>
      </w:r>
      <w:r w:rsidR="009D1FA8" w:rsidRPr="00FD4C39">
        <w:rPr>
          <w:rFonts w:ascii="Times New Roman" w:eastAsia="Times New Roman" w:hAnsi="Times New Roman" w:cs="Times New Roman"/>
          <w:color w:val="000000"/>
          <w:sz w:val="24"/>
          <w:szCs w:val="24"/>
        </w:rPr>
        <w:t xml:space="preserve">по ОПАК. </w:t>
      </w:r>
    </w:p>
    <w:p w:rsidR="009D1FA8" w:rsidRPr="00FD4C39" w:rsidRDefault="009D1FA8" w:rsidP="007B189E">
      <w:pPr>
        <w:spacing w:after="0" w:line="360" w:lineRule="auto"/>
        <w:ind w:firstLine="709"/>
        <w:jc w:val="both"/>
        <w:rPr>
          <w:rFonts w:ascii="Times New Roman" w:eastAsia="Times New Roman" w:hAnsi="Times New Roman" w:cs="Times New Roman"/>
          <w:sz w:val="24"/>
          <w:szCs w:val="24"/>
        </w:rPr>
      </w:pPr>
    </w:p>
    <w:p w:rsidR="009D1FA8" w:rsidRPr="00FD4C39" w:rsidRDefault="00CD6E3C" w:rsidP="007B189E">
      <w:pPr>
        <w:spacing w:after="0" w:line="360" w:lineRule="auto"/>
        <w:ind w:firstLine="709"/>
        <w:jc w:val="both"/>
        <w:rPr>
          <w:rFonts w:ascii="Times New Roman" w:eastAsiaTheme="minorHAnsi" w:hAnsi="Times New Roman" w:cs="Times New Roman"/>
          <w:b/>
          <w:sz w:val="24"/>
          <w:szCs w:val="24"/>
          <w:lang w:eastAsia="en-US"/>
        </w:rPr>
      </w:pPr>
      <w:r w:rsidRPr="00FD4C39">
        <w:rPr>
          <w:rFonts w:ascii="Times New Roman" w:eastAsiaTheme="minorHAnsi" w:hAnsi="Times New Roman" w:cs="Times New Roman"/>
          <w:b/>
          <w:sz w:val="24"/>
          <w:szCs w:val="24"/>
          <w:lang w:eastAsia="en-US"/>
        </w:rPr>
        <w:t>2</w:t>
      </w:r>
      <w:r w:rsidR="002509A4" w:rsidRPr="00FD4C39">
        <w:rPr>
          <w:rFonts w:ascii="Times New Roman" w:eastAsiaTheme="minorHAnsi" w:hAnsi="Times New Roman" w:cs="Times New Roman"/>
          <w:b/>
          <w:sz w:val="24"/>
          <w:szCs w:val="24"/>
          <w:lang w:eastAsia="en-US"/>
        </w:rPr>
        <w:t>.3.</w:t>
      </w:r>
      <w:r w:rsidR="009D1FA8" w:rsidRPr="00FD4C39">
        <w:rPr>
          <w:rFonts w:ascii="Times New Roman" w:eastAsiaTheme="minorHAnsi" w:hAnsi="Times New Roman" w:cs="Times New Roman"/>
          <w:b/>
          <w:sz w:val="24"/>
          <w:szCs w:val="24"/>
          <w:lang w:eastAsia="en-US"/>
        </w:rPr>
        <w:t xml:space="preserve"> Организиране и провеждане на процедури по Обществени поръчки през 2014 година във връзка със</w:t>
      </w:r>
      <w:r w:rsidRPr="00FD4C39">
        <w:rPr>
          <w:rFonts w:ascii="Times New Roman" w:eastAsiaTheme="minorHAnsi" w:hAnsi="Times New Roman" w:cs="Times New Roman"/>
          <w:b/>
          <w:sz w:val="24"/>
          <w:szCs w:val="24"/>
          <w:lang w:eastAsia="en-US"/>
        </w:rPr>
        <w:t xml:space="preserve"> спечелени нови проекти по ОПАК</w:t>
      </w:r>
    </w:p>
    <w:p w:rsidR="009D1FA8" w:rsidRPr="00FD4C39" w:rsidRDefault="009D1FA8" w:rsidP="007B189E">
      <w:pPr>
        <w:spacing w:after="0" w:line="360" w:lineRule="auto"/>
        <w:ind w:firstLine="709"/>
        <w:jc w:val="both"/>
        <w:rPr>
          <w:rFonts w:ascii="Times New Roman" w:eastAsiaTheme="minorHAnsi" w:hAnsi="Times New Roman" w:cs="Times New Roman"/>
          <w:sz w:val="24"/>
          <w:szCs w:val="24"/>
        </w:rPr>
      </w:pPr>
      <w:r w:rsidRPr="00FD4C39">
        <w:rPr>
          <w:rFonts w:ascii="Times New Roman" w:eastAsiaTheme="minorHAnsi" w:hAnsi="Times New Roman" w:cs="Times New Roman"/>
          <w:sz w:val="24"/>
          <w:szCs w:val="24"/>
          <w:lang w:eastAsia="en-US"/>
        </w:rPr>
        <w:t xml:space="preserve">Във връзка със спечелен проект </w:t>
      </w:r>
      <w:r w:rsidR="004931E5" w:rsidRPr="00FD4C39">
        <w:rPr>
          <w:rFonts w:ascii="Times New Roman" w:eastAsiaTheme="minorHAnsi" w:hAnsi="Times New Roman" w:cs="Times New Roman"/>
          <w:b/>
          <w:sz w:val="24"/>
          <w:szCs w:val="24"/>
          <w:lang w:eastAsia="en-US"/>
        </w:rPr>
        <w:t>„</w:t>
      </w:r>
      <w:r w:rsidRPr="00FD4C39">
        <w:rPr>
          <w:rFonts w:ascii="Times New Roman" w:eastAsiaTheme="minorHAnsi" w:hAnsi="Times New Roman" w:cs="Times New Roman"/>
          <w:b/>
          <w:sz w:val="24"/>
          <w:szCs w:val="24"/>
          <w:lang w:eastAsia="en-US"/>
        </w:rPr>
        <w:t xml:space="preserve">Усъвършенстване и разширяване на електронните услуги, предоставяни на бизнеса и гражданите от </w:t>
      </w:r>
      <w:r w:rsidR="00FE7018" w:rsidRPr="00FD4C39">
        <w:rPr>
          <w:rFonts w:ascii="Times New Roman" w:eastAsiaTheme="minorHAnsi" w:hAnsi="Times New Roman" w:cs="Times New Roman"/>
          <w:b/>
          <w:sz w:val="24"/>
          <w:szCs w:val="24"/>
          <w:lang w:eastAsia="en-US"/>
        </w:rPr>
        <w:t>КЗЛД</w:t>
      </w:r>
      <w:r w:rsidR="00492821" w:rsidRPr="00FD4C39">
        <w:rPr>
          <w:rFonts w:ascii="Times New Roman" w:eastAsiaTheme="minorHAnsi" w:hAnsi="Times New Roman" w:cs="Times New Roman"/>
          <w:b/>
          <w:sz w:val="24"/>
          <w:szCs w:val="24"/>
          <w:lang w:eastAsia="en-US"/>
        </w:rPr>
        <w:t xml:space="preserve"> </w:t>
      </w:r>
      <w:r w:rsidRPr="00FD4C39">
        <w:rPr>
          <w:rFonts w:ascii="Times New Roman" w:eastAsiaTheme="minorHAnsi" w:hAnsi="Times New Roman" w:cs="Times New Roman"/>
          <w:b/>
          <w:sz w:val="24"/>
          <w:szCs w:val="24"/>
          <w:lang w:eastAsia="en-US"/>
        </w:rPr>
        <w:t>и интегрирането им с Единния портал за достъп до ел</w:t>
      </w:r>
      <w:r w:rsidR="001358C3">
        <w:rPr>
          <w:rFonts w:ascii="Times New Roman" w:eastAsiaTheme="minorHAnsi" w:hAnsi="Times New Roman" w:cs="Times New Roman"/>
          <w:b/>
          <w:sz w:val="24"/>
          <w:szCs w:val="24"/>
          <w:lang w:eastAsia="en-US"/>
        </w:rPr>
        <w:t>ектронни административни услуги“</w:t>
      </w:r>
      <w:r w:rsidRPr="00FD4C39">
        <w:rPr>
          <w:rFonts w:ascii="Times New Roman" w:eastAsiaTheme="minorHAnsi" w:hAnsi="Times New Roman" w:cs="Times New Roman"/>
          <w:sz w:val="24"/>
          <w:szCs w:val="24"/>
          <w:lang w:eastAsia="en-US"/>
        </w:rPr>
        <w:t xml:space="preserve">, договор за финансиране с рег. </w:t>
      </w:r>
      <w:r w:rsidR="009A2D9F" w:rsidRPr="00FD4C39">
        <w:rPr>
          <w:rFonts w:ascii="Times New Roman" w:eastAsiaTheme="minorHAnsi" w:hAnsi="Times New Roman" w:cs="Times New Roman"/>
          <w:sz w:val="24"/>
          <w:szCs w:val="24"/>
          <w:lang w:eastAsia="en-US"/>
        </w:rPr>
        <w:t>№ </w:t>
      </w:r>
      <w:r w:rsidRPr="00FD4C39">
        <w:rPr>
          <w:rFonts w:ascii="Times New Roman" w:eastAsiaTheme="minorHAnsi" w:hAnsi="Times New Roman" w:cs="Times New Roman"/>
          <w:sz w:val="24"/>
          <w:szCs w:val="24"/>
          <w:lang w:eastAsia="en-US"/>
        </w:rPr>
        <w:t>13-32-13/11.02.2014</w:t>
      </w:r>
      <w:r w:rsidR="004D42A2">
        <w:rPr>
          <w:rFonts w:ascii="Times New Roman" w:eastAsiaTheme="minorHAnsi" w:hAnsi="Times New Roman" w:cs="Times New Roman"/>
          <w:sz w:val="24"/>
          <w:szCs w:val="24"/>
          <w:lang w:eastAsia="en-US"/>
        </w:rPr>
        <w:t> г.</w:t>
      </w:r>
      <w:r w:rsidRPr="00FD4C39">
        <w:rPr>
          <w:rFonts w:ascii="Times New Roman" w:eastAsiaTheme="minorHAnsi" w:hAnsi="Times New Roman" w:cs="Times New Roman"/>
          <w:sz w:val="24"/>
          <w:szCs w:val="24"/>
          <w:lang w:eastAsia="en-US"/>
        </w:rPr>
        <w:t xml:space="preserve">, приоритетна ос ІІІ </w:t>
      </w:r>
      <w:r w:rsidR="004931E5" w:rsidRPr="00FD4C39">
        <w:rPr>
          <w:rFonts w:ascii="Times New Roman" w:eastAsiaTheme="minorHAnsi" w:hAnsi="Times New Roman" w:cs="Times New Roman"/>
          <w:sz w:val="24"/>
          <w:szCs w:val="24"/>
          <w:lang w:eastAsia="en-US"/>
        </w:rPr>
        <w:t>„</w:t>
      </w:r>
      <w:r w:rsidRPr="00FD4C39">
        <w:rPr>
          <w:rFonts w:ascii="Times New Roman" w:eastAsiaTheme="minorHAnsi" w:hAnsi="Times New Roman" w:cs="Times New Roman"/>
          <w:sz w:val="24"/>
          <w:szCs w:val="24"/>
          <w:lang w:eastAsia="en-US"/>
        </w:rPr>
        <w:t>Качествено административно обслужване и развитие на електронното управление</w:t>
      </w:r>
      <w:r w:rsidR="001358C3">
        <w:rPr>
          <w:rFonts w:ascii="Times New Roman" w:eastAsiaTheme="minorHAnsi" w:hAnsi="Times New Roman" w:cs="Times New Roman"/>
          <w:sz w:val="24"/>
          <w:szCs w:val="24"/>
          <w:lang w:eastAsia="en-US"/>
        </w:rPr>
        <w:t>“</w:t>
      </w:r>
      <w:r w:rsidRPr="00FD4C39">
        <w:rPr>
          <w:rFonts w:ascii="Times New Roman" w:eastAsiaTheme="minorHAnsi" w:hAnsi="Times New Roman" w:cs="Times New Roman"/>
          <w:sz w:val="24"/>
          <w:szCs w:val="24"/>
          <w:lang w:eastAsia="en-US"/>
        </w:rPr>
        <w:t xml:space="preserve">, </w:t>
      </w:r>
      <w:proofErr w:type="spellStart"/>
      <w:r w:rsidRPr="00FD4C39">
        <w:rPr>
          <w:rFonts w:ascii="Times New Roman" w:eastAsiaTheme="minorHAnsi" w:hAnsi="Times New Roman" w:cs="Times New Roman"/>
          <w:sz w:val="24"/>
          <w:szCs w:val="24"/>
          <w:lang w:eastAsia="en-US"/>
        </w:rPr>
        <w:t>подприоритет</w:t>
      </w:r>
      <w:proofErr w:type="spellEnd"/>
      <w:r w:rsidRPr="00FD4C39">
        <w:rPr>
          <w:rFonts w:ascii="Times New Roman" w:eastAsiaTheme="minorHAnsi" w:hAnsi="Times New Roman" w:cs="Times New Roman"/>
          <w:sz w:val="24"/>
          <w:szCs w:val="24"/>
          <w:lang w:eastAsia="en-US"/>
        </w:rPr>
        <w:t xml:space="preserve"> 3.2. </w:t>
      </w:r>
      <w:r w:rsidR="004931E5" w:rsidRPr="00FD4C39">
        <w:rPr>
          <w:rFonts w:ascii="Times New Roman" w:eastAsiaTheme="minorHAnsi" w:hAnsi="Times New Roman" w:cs="Times New Roman"/>
          <w:sz w:val="24"/>
          <w:szCs w:val="24"/>
          <w:lang w:eastAsia="en-US"/>
        </w:rPr>
        <w:t>„</w:t>
      </w:r>
      <w:r w:rsidRPr="00FD4C39">
        <w:rPr>
          <w:rFonts w:ascii="Times New Roman" w:eastAsiaTheme="minorHAnsi" w:hAnsi="Times New Roman" w:cs="Times New Roman"/>
          <w:sz w:val="24"/>
          <w:szCs w:val="24"/>
          <w:lang w:eastAsia="en-US"/>
        </w:rPr>
        <w:t>Стандартна информационно-комуникационна среда и оперативна съвместимост</w:t>
      </w:r>
      <w:r w:rsidR="001358C3">
        <w:rPr>
          <w:rFonts w:ascii="Times New Roman" w:eastAsiaTheme="minorHAnsi" w:hAnsi="Times New Roman" w:cs="Times New Roman"/>
          <w:sz w:val="24"/>
          <w:szCs w:val="24"/>
          <w:lang w:eastAsia="en-US"/>
        </w:rPr>
        <w:t>“</w:t>
      </w:r>
      <w:r w:rsidRPr="00FD4C39">
        <w:rPr>
          <w:rFonts w:ascii="Times New Roman" w:eastAsiaTheme="minorHAnsi" w:hAnsi="Times New Roman" w:cs="Times New Roman"/>
          <w:sz w:val="24"/>
          <w:szCs w:val="24"/>
          <w:lang w:eastAsia="en-US"/>
        </w:rPr>
        <w:t>, бюджетна линия BG051PO002/13/3.2-04, са проведени процедури по</w:t>
      </w:r>
      <w:r w:rsidRPr="00FD4C39">
        <w:rPr>
          <w:rFonts w:ascii="Times New Roman" w:eastAsiaTheme="minorHAnsi" w:hAnsi="Times New Roman" w:cs="Times New Roman"/>
          <w:sz w:val="24"/>
          <w:szCs w:val="24"/>
        </w:rPr>
        <w:t xml:space="preserve"> реда на</w:t>
      </w:r>
      <w:r w:rsidR="00884B97">
        <w:rPr>
          <w:rFonts w:ascii="Times New Roman" w:eastAsiaTheme="minorHAnsi" w:hAnsi="Times New Roman" w:cs="Times New Roman"/>
          <w:sz w:val="24"/>
          <w:szCs w:val="24"/>
        </w:rPr>
        <w:t xml:space="preserve"> чл. </w:t>
      </w:r>
      <w:r w:rsidRPr="00FD4C39">
        <w:rPr>
          <w:rFonts w:ascii="Times New Roman" w:eastAsiaTheme="minorHAnsi" w:hAnsi="Times New Roman" w:cs="Times New Roman"/>
          <w:sz w:val="24"/>
          <w:szCs w:val="24"/>
        </w:rPr>
        <w:t>14,</w:t>
      </w:r>
      <w:r w:rsidR="00884B97">
        <w:rPr>
          <w:rFonts w:ascii="Times New Roman" w:eastAsiaTheme="minorHAnsi" w:hAnsi="Times New Roman" w:cs="Times New Roman"/>
          <w:sz w:val="24"/>
          <w:szCs w:val="24"/>
        </w:rPr>
        <w:t xml:space="preserve"> ал. </w:t>
      </w:r>
      <w:r w:rsidRPr="00FD4C39">
        <w:rPr>
          <w:rFonts w:ascii="Times New Roman" w:eastAsiaTheme="minorHAnsi" w:hAnsi="Times New Roman" w:cs="Times New Roman"/>
          <w:sz w:val="24"/>
          <w:szCs w:val="24"/>
        </w:rPr>
        <w:t>4,</w:t>
      </w:r>
      <w:r w:rsidR="00884B97">
        <w:rPr>
          <w:rFonts w:ascii="Times New Roman" w:eastAsiaTheme="minorHAnsi" w:hAnsi="Times New Roman" w:cs="Times New Roman"/>
          <w:sz w:val="24"/>
          <w:szCs w:val="24"/>
        </w:rPr>
        <w:t xml:space="preserve"> т. </w:t>
      </w:r>
      <w:r w:rsidRPr="00FD4C39">
        <w:rPr>
          <w:rFonts w:ascii="Times New Roman" w:eastAsiaTheme="minorHAnsi" w:hAnsi="Times New Roman" w:cs="Times New Roman"/>
          <w:sz w:val="24"/>
          <w:szCs w:val="24"/>
        </w:rPr>
        <w:t xml:space="preserve">2, при условията и реда на Глава осма </w:t>
      </w:r>
      <w:r w:rsidR="004931E5" w:rsidRPr="00FD4C39">
        <w:rPr>
          <w:rFonts w:ascii="Times New Roman" w:eastAsiaTheme="minorHAnsi" w:hAnsi="Times New Roman" w:cs="Times New Roman"/>
          <w:sz w:val="24"/>
          <w:szCs w:val="24"/>
        </w:rPr>
        <w:t>„</w:t>
      </w:r>
      <w:r w:rsidRPr="00FD4C39">
        <w:rPr>
          <w:rFonts w:ascii="Times New Roman" w:eastAsiaTheme="minorHAnsi" w:hAnsi="Times New Roman" w:cs="Times New Roman"/>
          <w:sz w:val="24"/>
          <w:szCs w:val="24"/>
        </w:rPr>
        <w:t>а</w:t>
      </w:r>
      <w:r w:rsidR="001358C3">
        <w:rPr>
          <w:rFonts w:ascii="Times New Roman" w:eastAsiaTheme="minorHAnsi" w:hAnsi="Times New Roman" w:cs="Times New Roman"/>
          <w:sz w:val="24"/>
          <w:szCs w:val="24"/>
        </w:rPr>
        <w:t>“</w:t>
      </w:r>
      <w:r w:rsidRPr="00FD4C39">
        <w:rPr>
          <w:rFonts w:ascii="Times New Roman" w:eastAsiaTheme="minorHAnsi" w:hAnsi="Times New Roman" w:cs="Times New Roman"/>
          <w:sz w:val="24"/>
          <w:szCs w:val="24"/>
        </w:rPr>
        <w:t xml:space="preserve"> от ЗОП със следните предмети:</w:t>
      </w:r>
    </w:p>
    <w:p w:rsidR="009D1FA8" w:rsidRPr="00FD4C39" w:rsidRDefault="004931E5" w:rsidP="002458B4">
      <w:pPr>
        <w:pStyle w:val="ListParagraph"/>
        <w:numPr>
          <w:ilvl w:val="0"/>
          <w:numId w:val="24"/>
        </w:numPr>
        <w:tabs>
          <w:tab w:val="left" w:pos="993"/>
        </w:tabs>
        <w:spacing w:after="0" w:line="360" w:lineRule="auto"/>
        <w:ind w:left="0" w:firstLine="709"/>
        <w:jc w:val="both"/>
        <w:rPr>
          <w:rFonts w:ascii="Times New Roman" w:eastAsiaTheme="minorHAnsi" w:hAnsi="Times New Roman" w:cs="Times New Roman"/>
          <w:sz w:val="24"/>
          <w:szCs w:val="24"/>
          <w:lang w:eastAsia="en-US"/>
        </w:rPr>
      </w:pPr>
      <w:r w:rsidRPr="00FD4C39">
        <w:rPr>
          <w:rFonts w:ascii="Times New Roman" w:eastAsiaTheme="minorHAnsi" w:hAnsi="Times New Roman" w:cs="Times New Roman"/>
          <w:sz w:val="24"/>
          <w:szCs w:val="24"/>
          <w:lang w:eastAsia="en-US"/>
        </w:rPr>
        <w:t>„</w:t>
      </w:r>
      <w:r w:rsidR="009D1FA8" w:rsidRPr="00FD4C39">
        <w:rPr>
          <w:rFonts w:ascii="Times New Roman" w:eastAsiaTheme="minorHAnsi" w:hAnsi="Times New Roman" w:cs="Times New Roman"/>
          <w:sz w:val="24"/>
          <w:szCs w:val="24"/>
          <w:lang w:eastAsia="en-US"/>
        </w:rPr>
        <w:t>Разработване на инструментариум за извършване на оценка на нивото на въздействие, определяне на мерките за защита на личните данни от АЛД и за и</w:t>
      </w:r>
      <w:r w:rsidR="001358C3">
        <w:rPr>
          <w:rFonts w:ascii="Times New Roman" w:eastAsiaTheme="minorHAnsi" w:hAnsi="Times New Roman" w:cs="Times New Roman"/>
          <w:sz w:val="24"/>
          <w:szCs w:val="24"/>
          <w:lang w:eastAsia="en-US"/>
        </w:rPr>
        <w:t>звършване на инспекции от КЗЛД“</w:t>
      </w:r>
      <w:r w:rsidR="009D1FA8" w:rsidRPr="00FD4C39">
        <w:rPr>
          <w:rFonts w:ascii="Times New Roman" w:eastAsiaTheme="minorHAnsi" w:hAnsi="Times New Roman" w:cs="Times New Roman"/>
          <w:sz w:val="24"/>
          <w:szCs w:val="24"/>
          <w:lang w:eastAsia="en-US"/>
        </w:rPr>
        <w:t>,</w:t>
      </w:r>
    </w:p>
    <w:p w:rsidR="009D1FA8" w:rsidRPr="00FD4C39" w:rsidRDefault="004931E5" w:rsidP="002458B4">
      <w:pPr>
        <w:pStyle w:val="ListParagraph"/>
        <w:numPr>
          <w:ilvl w:val="0"/>
          <w:numId w:val="24"/>
        </w:numPr>
        <w:tabs>
          <w:tab w:val="left" w:pos="993"/>
        </w:tabs>
        <w:spacing w:after="0" w:line="360" w:lineRule="auto"/>
        <w:ind w:left="0" w:firstLine="709"/>
        <w:jc w:val="both"/>
        <w:rPr>
          <w:rFonts w:ascii="Times New Roman" w:eastAsiaTheme="minorHAnsi" w:hAnsi="Times New Roman" w:cs="Times New Roman"/>
          <w:sz w:val="24"/>
          <w:szCs w:val="24"/>
        </w:rPr>
      </w:pPr>
      <w:r w:rsidRPr="00FD4C39">
        <w:rPr>
          <w:rFonts w:ascii="Times New Roman" w:eastAsiaTheme="minorHAnsi" w:hAnsi="Times New Roman" w:cs="Times New Roman"/>
          <w:sz w:val="24"/>
          <w:szCs w:val="24"/>
        </w:rPr>
        <w:t>„</w:t>
      </w:r>
      <w:r w:rsidR="009D1FA8" w:rsidRPr="00FD4C39">
        <w:rPr>
          <w:rFonts w:ascii="Times New Roman" w:eastAsiaTheme="minorHAnsi" w:hAnsi="Times New Roman" w:cs="Times New Roman"/>
          <w:sz w:val="24"/>
          <w:szCs w:val="24"/>
        </w:rPr>
        <w:t>Информация и публичност</w:t>
      </w:r>
      <w:r w:rsidR="001358C3">
        <w:rPr>
          <w:rFonts w:ascii="Times New Roman" w:eastAsiaTheme="minorHAnsi" w:hAnsi="Times New Roman" w:cs="Times New Roman"/>
          <w:sz w:val="24"/>
          <w:szCs w:val="24"/>
        </w:rPr>
        <w:t>“</w:t>
      </w:r>
      <w:r w:rsidR="009D1FA8" w:rsidRPr="00FD4C39">
        <w:rPr>
          <w:rFonts w:ascii="Times New Roman" w:eastAsiaTheme="minorHAnsi" w:hAnsi="Times New Roman" w:cs="Times New Roman"/>
          <w:sz w:val="24"/>
          <w:szCs w:val="24"/>
        </w:rPr>
        <w:t>,</w:t>
      </w:r>
    </w:p>
    <w:p w:rsidR="009D1FA8" w:rsidRPr="00FD4C39" w:rsidRDefault="004931E5" w:rsidP="002458B4">
      <w:pPr>
        <w:pStyle w:val="ListParagraph"/>
        <w:numPr>
          <w:ilvl w:val="0"/>
          <w:numId w:val="24"/>
        </w:numPr>
        <w:tabs>
          <w:tab w:val="left" w:pos="993"/>
        </w:tabs>
        <w:spacing w:after="0" w:line="360" w:lineRule="auto"/>
        <w:ind w:left="0" w:firstLine="709"/>
        <w:jc w:val="both"/>
        <w:rPr>
          <w:rFonts w:ascii="Times New Roman" w:hAnsi="Times New Roman" w:cs="Times New Roman"/>
          <w:sz w:val="24"/>
          <w:szCs w:val="24"/>
        </w:rPr>
      </w:pPr>
      <w:r w:rsidRPr="00FD4C39">
        <w:rPr>
          <w:rFonts w:ascii="Times New Roman" w:hAnsi="Times New Roman" w:cs="Times New Roman"/>
          <w:sz w:val="24"/>
          <w:szCs w:val="24"/>
        </w:rPr>
        <w:t>„</w:t>
      </w:r>
      <w:r w:rsidR="009D1FA8" w:rsidRPr="00FD4C39">
        <w:rPr>
          <w:rFonts w:ascii="Times New Roman" w:hAnsi="Times New Roman" w:cs="Times New Roman"/>
          <w:sz w:val="24"/>
          <w:szCs w:val="24"/>
        </w:rPr>
        <w:t>Извършване на одит</w:t>
      </w:r>
      <w:r w:rsidR="001358C3">
        <w:rPr>
          <w:rFonts w:ascii="Times New Roman" w:hAnsi="Times New Roman" w:cs="Times New Roman"/>
          <w:sz w:val="24"/>
          <w:szCs w:val="24"/>
        </w:rPr>
        <w:t>“</w:t>
      </w:r>
      <w:r w:rsidR="009D1FA8" w:rsidRPr="00FD4C39">
        <w:rPr>
          <w:rFonts w:ascii="Times New Roman" w:hAnsi="Times New Roman" w:cs="Times New Roman"/>
          <w:sz w:val="24"/>
          <w:szCs w:val="24"/>
        </w:rPr>
        <w:t>.</w:t>
      </w:r>
    </w:p>
    <w:p w:rsidR="009D1FA8" w:rsidRPr="00FD4C39" w:rsidRDefault="009D1FA8"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Проведените процедури са приключени успешно в</w:t>
      </w:r>
      <w:r w:rsidR="00A227D6" w:rsidRPr="00FD4C39">
        <w:rPr>
          <w:rFonts w:ascii="Times New Roman" w:hAnsi="Times New Roman" w:cs="Times New Roman"/>
          <w:sz w:val="24"/>
          <w:szCs w:val="24"/>
        </w:rPr>
        <w:t xml:space="preserve"> </w:t>
      </w:r>
      <w:r w:rsidRPr="00FD4C39">
        <w:rPr>
          <w:rFonts w:ascii="Times New Roman" w:hAnsi="Times New Roman" w:cs="Times New Roman"/>
          <w:sz w:val="24"/>
          <w:szCs w:val="24"/>
        </w:rPr>
        <w:t xml:space="preserve"> края на 2014</w:t>
      </w:r>
      <w:r w:rsidR="004D42A2">
        <w:rPr>
          <w:rFonts w:ascii="Times New Roman" w:hAnsi="Times New Roman" w:cs="Times New Roman"/>
          <w:sz w:val="24"/>
          <w:szCs w:val="24"/>
        </w:rPr>
        <w:t> г.</w:t>
      </w:r>
    </w:p>
    <w:p w:rsidR="009D1FA8" w:rsidRPr="00FD4C39" w:rsidRDefault="009D1FA8" w:rsidP="007B189E">
      <w:pPr>
        <w:spacing w:after="0" w:line="360" w:lineRule="auto"/>
        <w:ind w:firstLine="709"/>
        <w:jc w:val="both"/>
        <w:outlineLvl w:val="0"/>
        <w:rPr>
          <w:rFonts w:ascii="Times New Roman" w:eastAsia="Times New Roman" w:hAnsi="Times New Roman" w:cs="Times New Roman"/>
          <w:sz w:val="24"/>
          <w:szCs w:val="24"/>
        </w:rPr>
      </w:pPr>
      <w:r w:rsidRPr="00FD4C39">
        <w:rPr>
          <w:rFonts w:ascii="Times New Roman" w:eastAsia="Times New Roman" w:hAnsi="Times New Roman" w:cs="Times New Roman"/>
          <w:sz w:val="24"/>
          <w:szCs w:val="24"/>
        </w:rPr>
        <w:t xml:space="preserve">Във връзка със спечелен проект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b/>
          <w:sz w:val="24"/>
          <w:szCs w:val="24"/>
        </w:rPr>
        <w:t>Повишаване на квалификацията и надграждане на уменията и компетенциите на служителите на КЗЛД за по-ефективно и ефикасно изпълнение на задълженията им</w:t>
      </w:r>
      <w:r w:rsidR="009F6128">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съгласно Договор, сключен между Министерство</w:t>
      </w:r>
      <w:r w:rsidR="009F6128">
        <w:rPr>
          <w:rFonts w:ascii="Times New Roman" w:eastAsia="Times New Roman" w:hAnsi="Times New Roman" w:cs="Times New Roman"/>
          <w:sz w:val="24"/>
          <w:szCs w:val="24"/>
        </w:rPr>
        <w:t>то</w:t>
      </w:r>
      <w:r w:rsidRPr="00FD4C39">
        <w:rPr>
          <w:rFonts w:ascii="Times New Roman" w:eastAsia="Times New Roman" w:hAnsi="Times New Roman" w:cs="Times New Roman"/>
          <w:sz w:val="24"/>
          <w:szCs w:val="24"/>
        </w:rPr>
        <w:t xml:space="preserve"> на финансите, Управляващ орган на Оперативна програма </w:t>
      </w:r>
      <w:r w:rsidR="004931E5" w:rsidRPr="00FD4C39">
        <w:rPr>
          <w:rFonts w:ascii="Times New Roman" w:eastAsia="Times New Roman" w:hAnsi="Times New Roman" w:cs="Times New Roman"/>
          <w:sz w:val="24"/>
          <w:szCs w:val="24"/>
        </w:rPr>
        <w:t>„</w:t>
      </w:r>
      <w:r w:rsidR="009F6128">
        <w:rPr>
          <w:rFonts w:ascii="Times New Roman" w:eastAsia="Times New Roman" w:hAnsi="Times New Roman" w:cs="Times New Roman"/>
          <w:sz w:val="24"/>
          <w:szCs w:val="24"/>
        </w:rPr>
        <w:t>Административен капацитет“</w:t>
      </w:r>
      <w:r w:rsidRPr="00FD4C39">
        <w:rPr>
          <w:rFonts w:ascii="Times New Roman" w:eastAsia="Times New Roman" w:hAnsi="Times New Roman" w:cs="Times New Roman"/>
          <w:sz w:val="24"/>
          <w:szCs w:val="24"/>
        </w:rPr>
        <w:t xml:space="preserve"> (ОПАК)</w:t>
      </w:r>
      <w:r w:rsidR="004D42A2">
        <w:rPr>
          <w:rFonts w:ascii="Times New Roman" w:eastAsia="Times New Roman" w:hAnsi="Times New Roman" w:cs="Times New Roman"/>
          <w:sz w:val="24"/>
          <w:szCs w:val="24"/>
        </w:rPr>
        <w:t xml:space="preserve"> – </w:t>
      </w:r>
      <w:r w:rsidRPr="00FD4C39">
        <w:rPr>
          <w:rFonts w:ascii="Times New Roman" w:eastAsia="Times New Roman" w:hAnsi="Times New Roman" w:cs="Times New Roman"/>
          <w:sz w:val="24"/>
          <w:szCs w:val="24"/>
        </w:rPr>
        <w:t xml:space="preserve">Дирекция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Оперативна програма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Административен капацитет</w:t>
      </w:r>
      <w:r w:rsidR="009F6128">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и </w:t>
      </w:r>
      <w:r w:rsidR="00FE7018" w:rsidRPr="00FD4C39">
        <w:rPr>
          <w:rFonts w:ascii="Times New Roman" w:eastAsia="Times New Roman" w:hAnsi="Times New Roman" w:cs="Times New Roman"/>
          <w:sz w:val="24"/>
          <w:szCs w:val="24"/>
        </w:rPr>
        <w:t>КЗЛД</w:t>
      </w:r>
      <w:r w:rsidR="009F6128">
        <w:rPr>
          <w:rFonts w:ascii="Times New Roman" w:eastAsia="Times New Roman" w:hAnsi="Times New Roman" w:cs="Times New Roman"/>
          <w:sz w:val="24"/>
          <w:szCs w:val="24"/>
        </w:rPr>
        <w:t xml:space="preserve"> </w:t>
      </w:r>
      <w:r w:rsidRPr="00FD4C39">
        <w:rPr>
          <w:rFonts w:ascii="Times New Roman" w:eastAsia="Times New Roman" w:hAnsi="Times New Roman" w:cs="Times New Roman"/>
          <w:sz w:val="24"/>
          <w:szCs w:val="24"/>
        </w:rPr>
        <w:t xml:space="preserve">за предоставяне на безвъзмездна финансова помощ за изпълнение на Проекта по Оперативна програма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Административен капацитет</w:t>
      </w:r>
      <w:r w:rsidR="009F6128">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w:t>
      </w:r>
      <w:proofErr w:type="spellStart"/>
      <w:r w:rsidRPr="00FD4C39">
        <w:rPr>
          <w:rFonts w:ascii="Times New Roman" w:eastAsia="Times New Roman" w:hAnsi="Times New Roman" w:cs="Times New Roman"/>
          <w:sz w:val="24"/>
          <w:szCs w:val="24"/>
        </w:rPr>
        <w:t>съфинансирана</w:t>
      </w:r>
      <w:proofErr w:type="spellEnd"/>
      <w:r w:rsidRPr="00FD4C39">
        <w:rPr>
          <w:rFonts w:ascii="Times New Roman" w:eastAsia="Times New Roman" w:hAnsi="Times New Roman" w:cs="Times New Roman"/>
          <w:sz w:val="24"/>
          <w:szCs w:val="24"/>
        </w:rPr>
        <w:t xml:space="preserve"> от Европейския съюз чрез Европейския социален фонд, приоритетна ос II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Управление на човешките ресурси</w:t>
      </w:r>
      <w:r w:rsidR="009F6128">
        <w:rPr>
          <w:rFonts w:ascii="Times New Roman" w:eastAsia="Times New Roman" w:hAnsi="Times New Roman" w:cs="Times New Roman"/>
          <w:sz w:val="24"/>
          <w:szCs w:val="24"/>
        </w:rPr>
        <w:t xml:space="preserve">“, </w:t>
      </w:r>
      <w:proofErr w:type="spellStart"/>
      <w:r w:rsidR="009F6128">
        <w:rPr>
          <w:rFonts w:ascii="Times New Roman" w:eastAsia="Times New Roman" w:hAnsi="Times New Roman" w:cs="Times New Roman"/>
          <w:sz w:val="24"/>
          <w:szCs w:val="24"/>
        </w:rPr>
        <w:t>подприоритет</w:t>
      </w:r>
      <w:proofErr w:type="spellEnd"/>
      <w:r w:rsidR="009F6128">
        <w:rPr>
          <w:rFonts w:ascii="Times New Roman" w:eastAsia="Times New Roman" w:hAnsi="Times New Roman" w:cs="Times New Roman"/>
          <w:sz w:val="24"/>
          <w:szCs w:val="24"/>
        </w:rPr>
        <w:t xml:space="preserve"> 2.</w:t>
      </w:r>
      <w:proofErr w:type="spellStart"/>
      <w:r w:rsidR="009F6128">
        <w:rPr>
          <w:rFonts w:ascii="Times New Roman" w:eastAsia="Times New Roman" w:hAnsi="Times New Roman" w:cs="Times New Roman"/>
          <w:sz w:val="24"/>
          <w:szCs w:val="24"/>
        </w:rPr>
        <w:t>2</w:t>
      </w:r>
      <w:proofErr w:type="spellEnd"/>
      <w:r w:rsidR="009F6128">
        <w:rPr>
          <w:rFonts w:ascii="Times New Roman" w:eastAsia="Times New Roman" w:hAnsi="Times New Roman" w:cs="Times New Roman"/>
          <w:sz w:val="24"/>
          <w:szCs w:val="24"/>
        </w:rPr>
        <w:t>. се</w:t>
      </w:r>
      <w:r w:rsidRPr="00FD4C39">
        <w:rPr>
          <w:rFonts w:ascii="Times New Roman" w:eastAsia="Times New Roman" w:hAnsi="Times New Roman" w:cs="Times New Roman"/>
          <w:sz w:val="24"/>
          <w:szCs w:val="24"/>
        </w:rPr>
        <w:t xml:space="preserve"> прове</w:t>
      </w:r>
      <w:r w:rsidR="009F6128">
        <w:rPr>
          <w:rFonts w:ascii="Times New Roman" w:eastAsia="Times New Roman" w:hAnsi="Times New Roman" w:cs="Times New Roman"/>
          <w:sz w:val="24"/>
          <w:szCs w:val="24"/>
        </w:rPr>
        <w:t>жда</w:t>
      </w:r>
      <w:r w:rsidRPr="00FD4C39">
        <w:rPr>
          <w:rFonts w:ascii="Times New Roman" w:eastAsia="Times New Roman" w:hAnsi="Times New Roman" w:cs="Times New Roman"/>
          <w:sz w:val="24"/>
          <w:szCs w:val="24"/>
        </w:rPr>
        <w:t xml:space="preserve"> успешно процедура по реда на</w:t>
      </w:r>
      <w:r w:rsidR="00884B97">
        <w:rPr>
          <w:rFonts w:ascii="Times New Roman" w:eastAsia="Times New Roman" w:hAnsi="Times New Roman" w:cs="Times New Roman"/>
          <w:sz w:val="24"/>
          <w:szCs w:val="24"/>
        </w:rPr>
        <w:t xml:space="preserve"> чл. </w:t>
      </w:r>
      <w:r w:rsidRPr="00FD4C39">
        <w:rPr>
          <w:rFonts w:ascii="Times New Roman" w:eastAsia="Times New Roman" w:hAnsi="Times New Roman" w:cs="Times New Roman"/>
          <w:sz w:val="24"/>
          <w:szCs w:val="24"/>
        </w:rPr>
        <w:t>14,</w:t>
      </w:r>
      <w:r w:rsidR="00884B97">
        <w:rPr>
          <w:rFonts w:ascii="Times New Roman" w:eastAsia="Times New Roman" w:hAnsi="Times New Roman" w:cs="Times New Roman"/>
          <w:sz w:val="24"/>
          <w:szCs w:val="24"/>
        </w:rPr>
        <w:t xml:space="preserve"> ал. </w:t>
      </w:r>
      <w:r w:rsidRPr="00FD4C39">
        <w:rPr>
          <w:rFonts w:ascii="Times New Roman" w:eastAsia="Times New Roman" w:hAnsi="Times New Roman" w:cs="Times New Roman"/>
          <w:sz w:val="24"/>
          <w:szCs w:val="24"/>
        </w:rPr>
        <w:t>4,</w:t>
      </w:r>
      <w:r w:rsidR="00884B97">
        <w:rPr>
          <w:rFonts w:ascii="Times New Roman" w:eastAsia="Times New Roman" w:hAnsi="Times New Roman" w:cs="Times New Roman"/>
          <w:sz w:val="24"/>
          <w:szCs w:val="24"/>
        </w:rPr>
        <w:t xml:space="preserve"> т. </w:t>
      </w:r>
      <w:r w:rsidRPr="00FD4C39">
        <w:rPr>
          <w:rFonts w:ascii="Times New Roman" w:eastAsia="Times New Roman" w:hAnsi="Times New Roman" w:cs="Times New Roman"/>
          <w:sz w:val="24"/>
          <w:szCs w:val="24"/>
        </w:rPr>
        <w:t xml:space="preserve">2, при условията и реда на Глава осма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а</w:t>
      </w:r>
      <w:r w:rsidR="009F6128">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 xml:space="preserve"> от ЗОП с  предмет: </w:t>
      </w:r>
      <w:r w:rsidR="004931E5" w:rsidRPr="00FD4C39">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Информация и публичност</w:t>
      </w:r>
      <w:r w:rsidR="009F6128">
        <w:rPr>
          <w:rFonts w:ascii="Times New Roman" w:eastAsia="Times New Roman" w:hAnsi="Times New Roman" w:cs="Times New Roman"/>
          <w:sz w:val="24"/>
          <w:szCs w:val="24"/>
        </w:rPr>
        <w:t>“</w:t>
      </w:r>
      <w:r w:rsidRPr="00FD4C39">
        <w:rPr>
          <w:rFonts w:ascii="Times New Roman" w:eastAsia="Times New Roman" w:hAnsi="Times New Roman" w:cs="Times New Roman"/>
          <w:sz w:val="24"/>
          <w:szCs w:val="24"/>
        </w:rPr>
        <w:t>.</w:t>
      </w:r>
      <w:r w:rsidRPr="00FD4C39">
        <w:rPr>
          <w:rFonts w:ascii="Times New Roman" w:eastAsia="Times New Roman" w:hAnsi="Times New Roman" w:cs="Times New Roman"/>
          <w:color w:val="FF0000"/>
          <w:sz w:val="24"/>
          <w:szCs w:val="24"/>
        </w:rPr>
        <w:t xml:space="preserve"> </w:t>
      </w:r>
    </w:p>
    <w:p w:rsidR="009D1FA8" w:rsidRPr="00FD4C39" w:rsidRDefault="009D1FA8" w:rsidP="007B189E">
      <w:pPr>
        <w:spacing w:after="0" w:line="360" w:lineRule="auto"/>
        <w:ind w:firstLine="709"/>
        <w:jc w:val="both"/>
        <w:rPr>
          <w:rFonts w:ascii="Times New Roman" w:hAnsi="Times New Roman" w:cs="Times New Roman"/>
          <w:b/>
          <w:sz w:val="24"/>
          <w:szCs w:val="24"/>
        </w:rPr>
      </w:pPr>
    </w:p>
    <w:p w:rsidR="00BA4653" w:rsidRPr="00FD4C39" w:rsidRDefault="00CF08C3" w:rsidP="007B189E">
      <w:pPr>
        <w:spacing w:after="0" w:line="360" w:lineRule="auto"/>
        <w:ind w:firstLine="709"/>
        <w:jc w:val="both"/>
        <w:rPr>
          <w:rFonts w:ascii="Times New Roman" w:hAnsi="Times New Roman" w:cs="Times New Roman"/>
          <w:b/>
          <w:sz w:val="24"/>
          <w:szCs w:val="24"/>
        </w:rPr>
      </w:pPr>
      <w:r w:rsidRPr="00FD4C39">
        <w:rPr>
          <w:rFonts w:ascii="Times New Roman" w:hAnsi="Times New Roman" w:cs="Times New Roman"/>
          <w:b/>
          <w:sz w:val="24"/>
          <w:szCs w:val="24"/>
        </w:rPr>
        <w:lastRenderedPageBreak/>
        <w:t>3</w:t>
      </w:r>
      <w:r w:rsidR="002509A4" w:rsidRPr="00FD4C39">
        <w:rPr>
          <w:rFonts w:ascii="Times New Roman" w:hAnsi="Times New Roman" w:cs="Times New Roman"/>
          <w:b/>
          <w:sz w:val="24"/>
          <w:szCs w:val="24"/>
        </w:rPr>
        <w:t>.</w:t>
      </w:r>
      <w:r w:rsidR="00641210" w:rsidRPr="00FD4C39">
        <w:rPr>
          <w:rFonts w:ascii="Times New Roman" w:hAnsi="Times New Roman" w:cs="Times New Roman"/>
          <w:b/>
          <w:sz w:val="24"/>
          <w:szCs w:val="24"/>
        </w:rPr>
        <w:t xml:space="preserve"> </w:t>
      </w:r>
      <w:r w:rsidR="00BA4653" w:rsidRPr="00FD4C39">
        <w:rPr>
          <w:rFonts w:ascii="Times New Roman" w:hAnsi="Times New Roman" w:cs="Times New Roman"/>
          <w:b/>
          <w:sz w:val="24"/>
          <w:szCs w:val="24"/>
        </w:rPr>
        <w:t>Състояние на внедрените информационни и комуникационни системи в КЗЛД през 2014</w:t>
      </w:r>
      <w:r w:rsidR="004D42A2">
        <w:rPr>
          <w:rFonts w:ascii="Times New Roman" w:hAnsi="Times New Roman" w:cs="Times New Roman"/>
          <w:b/>
          <w:sz w:val="24"/>
          <w:szCs w:val="24"/>
        </w:rPr>
        <w:t> г.</w:t>
      </w:r>
    </w:p>
    <w:p w:rsidR="00BA4653" w:rsidRPr="00FD4C39" w:rsidRDefault="00140732" w:rsidP="007B18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През отчетния период се</w:t>
      </w:r>
      <w:r w:rsidR="00BA4653" w:rsidRPr="00FD4C39">
        <w:rPr>
          <w:rFonts w:ascii="Times New Roman" w:hAnsi="Times New Roman" w:cs="Times New Roman"/>
          <w:sz w:val="24"/>
          <w:szCs w:val="24"/>
        </w:rPr>
        <w:t xml:space="preserve"> </w:t>
      </w:r>
      <w:proofErr w:type="spellStart"/>
      <w:r>
        <w:rPr>
          <w:rFonts w:ascii="Times New Roman" w:hAnsi="Times New Roman" w:cs="Times New Roman"/>
          <w:sz w:val="24"/>
          <w:szCs w:val="24"/>
        </w:rPr>
        <w:t>доусъвършенства</w:t>
      </w:r>
      <w:proofErr w:type="spellEnd"/>
      <w:r w:rsidR="00BA4653" w:rsidRPr="00FD4C39">
        <w:rPr>
          <w:rFonts w:ascii="Times New Roman" w:hAnsi="Times New Roman" w:cs="Times New Roman"/>
          <w:sz w:val="24"/>
          <w:szCs w:val="24"/>
        </w:rPr>
        <w:t xml:space="preserve"> информационната и комуникационна инфраструктура на КЗЛД, благодарение на което към настоящия момент </w:t>
      </w:r>
      <w:r w:rsidR="00FE7018" w:rsidRPr="00FD4C39">
        <w:rPr>
          <w:rFonts w:ascii="Times New Roman" w:hAnsi="Times New Roman" w:cs="Times New Roman"/>
          <w:sz w:val="24"/>
          <w:szCs w:val="24"/>
        </w:rPr>
        <w:t>КЗЛД</w:t>
      </w:r>
      <w:r w:rsidR="00A227D6" w:rsidRPr="00FD4C39">
        <w:rPr>
          <w:rFonts w:ascii="Times New Roman" w:hAnsi="Times New Roman" w:cs="Times New Roman"/>
          <w:sz w:val="24"/>
          <w:szCs w:val="24"/>
        </w:rPr>
        <w:t xml:space="preserve"> </w:t>
      </w:r>
      <w:r w:rsidR="00BA4653" w:rsidRPr="00FD4C39">
        <w:rPr>
          <w:rFonts w:ascii="Times New Roman" w:hAnsi="Times New Roman" w:cs="Times New Roman"/>
          <w:sz w:val="24"/>
          <w:szCs w:val="24"/>
        </w:rPr>
        <w:t xml:space="preserve">разполага със съвременни средства за комуникации и обмен. </w:t>
      </w:r>
    </w:p>
    <w:p w:rsidR="00BA4653" w:rsidRPr="00FD4C39" w:rsidRDefault="00BA4653"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Внедрените автоматизирана система за провеждане на </w:t>
      </w:r>
      <w:proofErr w:type="spellStart"/>
      <w:r w:rsidRPr="00FD4C39">
        <w:rPr>
          <w:rFonts w:ascii="Times New Roman" w:hAnsi="Times New Roman" w:cs="Times New Roman"/>
          <w:sz w:val="24"/>
          <w:szCs w:val="24"/>
        </w:rPr>
        <w:t>безхартиени</w:t>
      </w:r>
      <w:proofErr w:type="spellEnd"/>
      <w:r w:rsidRPr="00FD4C39">
        <w:rPr>
          <w:rFonts w:ascii="Times New Roman" w:hAnsi="Times New Roman" w:cs="Times New Roman"/>
          <w:sz w:val="24"/>
          <w:szCs w:val="24"/>
        </w:rPr>
        <w:t xml:space="preserve"> заседания и електронната система за управление на документооборота и система за контрол по изпълнението на задачите съдействат за по-ефективно осъществяване и обезпечаване дейността на КЗЛД.</w:t>
      </w:r>
    </w:p>
    <w:p w:rsidR="00BA4653" w:rsidRPr="00FD4C39" w:rsidRDefault="00BA4653"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През от</w:t>
      </w:r>
      <w:r w:rsidR="00887F8C" w:rsidRPr="00FD4C39">
        <w:rPr>
          <w:rFonts w:ascii="Times New Roman" w:hAnsi="Times New Roman" w:cs="Times New Roman"/>
          <w:sz w:val="24"/>
          <w:szCs w:val="24"/>
        </w:rPr>
        <w:t xml:space="preserve">четния период </w:t>
      </w:r>
      <w:r w:rsidR="00FE7018" w:rsidRPr="00FD4C39">
        <w:rPr>
          <w:rFonts w:ascii="Times New Roman" w:hAnsi="Times New Roman" w:cs="Times New Roman"/>
          <w:sz w:val="24"/>
          <w:szCs w:val="24"/>
        </w:rPr>
        <w:t>КЗЛД</w:t>
      </w:r>
      <w:r w:rsidR="00887F8C" w:rsidRPr="00FD4C39">
        <w:rPr>
          <w:rFonts w:ascii="Times New Roman" w:hAnsi="Times New Roman" w:cs="Times New Roman"/>
          <w:sz w:val="24"/>
          <w:szCs w:val="24"/>
        </w:rPr>
        <w:t xml:space="preserve"> продължава</w:t>
      </w:r>
      <w:r w:rsidRPr="00FD4C39">
        <w:rPr>
          <w:rFonts w:ascii="Times New Roman" w:hAnsi="Times New Roman" w:cs="Times New Roman"/>
          <w:sz w:val="24"/>
          <w:szCs w:val="24"/>
        </w:rPr>
        <w:t xml:space="preserve"> сътрудничеството си с Изпълнителна агенция </w:t>
      </w:r>
      <w:r w:rsidR="004931E5" w:rsidRPr="00FD4C39">
        <w:rPr>
          <w:rFonts w:ascii="Times New Roman" w:hAnsi="Times New Roman" w:cs="Times New Roman"/>
          <w:sz w:val="24"/>
          <w:szCs w:val="24"/>
        </w:rPr>
        <w:t>„</w:t>
      </w:r>
      <w:r w:rsidRPr="00FD4C39">
        <w:rPr>
          <w:rFonts w:ascii="Times New Roman" w:hAnsi="Times New Roman" w:cs="Times New Roman"/>
          <w:sz w:val="24"/>
          <w:szCs w:val="24"/>
        </w:rPr>
        <w:t>Електронни съобщителни мрежи и информационни системи</w:t>
      </w:r>
      <w:r w:rsidR="00CF0F1F" w:rsidRPr="00FD4C39">
        <w:rPr>
          <w:rFonts w:ascii="Times New Roman" w:hAnsi="Times New Roman" w:cs="Times New Roman"/>
          <w:sz w:val="24"/>
          <w:szCs w:val="24"/>
        </w:rPr>
        <w:t>“</w:t>
      </w:r>
      <w:r w:rsidRPr="00FD4C39">
        <w:rPr>
          <w:rFonts w:ascii="Times New Roman" w:hAnsi="Times New Roman" w:cs="Times New Roman"/>
          <w:sz w:val="24"/>
          <w:szCs w:val="24"/>
        </w:rPr>
        <w:t xml:space="preserve">, която </w:t>
      </w:r>
      <w:r w:rsidR="00140732">
        <w:rPr>
          <w:rFonts w:ascii="Times New Roman" w:hAnsi="Times New Roman" w:cs="Times New Roman"/>
          <w:sz w:val="24"/>
          <w:szCs w:val="24"/>
        </w:rPr>
        <w:t xml:space="preserve">отговаря за </w:t>
      </w:r>
      <w:proofErr w:type="spellStart"/>
      <w:r w:rsidR="00140732">
        <w:rPr>
          <w:rFonts w:ascii="Times New Roman" w:hAnsi="Times New Roman" w:cs="Times New Roman"/>
          <w:sz w:val="24"/>
          <w:szCs w:val="24"/>
        </w:rPr>
        <w:t>GovCERT</w:t>
      </w:r>
      <w:proofErr w:type="spellEnd"/>
      <w:r w:rsidR="00140732">
        <w:rPr>
          <w:rFonts w:ascii="Times New Roman" w:hAnsi="Times New Roman" w:cs="Times New Roman"/>
          <w:sz w:val="24"/>
          <w:szCs w:val="24"/>
        </w:rPr>
        <w:t xml:space="preserve"> </w:t>
      </w:r>
      <w:proofErr w:type="spellStart"/>
      <w:r w:rsidR="00140732">
        <w:rPr>
          <w:rFonts w:ascii="Times New Roman" w:hAnsi="Times New Roman" w:cs="Times New Roman"/>
          <w:sz w:val="24"/>
          <w:szCs w:val="24"/>
        </w:rPr>
        <w:t>Bulgaria</w:t>
      </w:r>
      <w:proofErr w:type="spellEnd"/>
      <w:r w:rsidR="00140732">
        <w:rPr>
          <w:rFonts w:ascii="Times New Roman" w:hAnsi="Times New Roman" w:cs="Times New Roman"/>
          <w:sz w:val="24"/>
          <w:szCs w:val="24"/>
        </w:rPr>
        <w:t xml:space="preserve"> (</w:t>
      </w:r>
      <w:r w:rsidRPr="00FD4C39">
        <w:rPr>
          <w:rFonts w:ascii="Times New Roman" w:hAnsi="Times New Roman" w:cs="Times New Roman"/>
          <w:sz w:val="24"/>
          <w:szCs w:val="24"/>
        </w:rPr>
        <w:t>Национален център за действия при инциденти по отношен</w:t>
      </w:r>
      <w:r w:rsidR="00140732">
        <w:rPr>
          <w:rFonts w:ascii="Times New Roman" w:hAnsi="Times New Roman" w:cs="Times New Roman"/>
          <w:sz w:val="24"/>
          <w:szCs w:val="24"/>
        </w:rPr>
        <w:t>ие на информационната сигурност)</w:t>
      </w:r>
      <w:r w:rsidRPr="00FD4C39">
        <w:rPr>
          <w:rFonts w:ascii="Times New Roman" w:hAnsi="Times New Roman" w:cs="Times New Roman"/>
          <w:sz w:val="24"/>
          <w:szCs w:val="24"/>
        </w:rPr>
        <w:t xml:space="preserve">. </w:t>
      </w:r>
    </w:p>
    <w:p w:rsidR="00BA4653" w:rsidRPr="00FD4C39" w:rsidRDefault="00FE7018"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КЗЛД</w:t>
      </w:r>
      <w:r w:rsidR="00BA4653" w:rsidRPr="00FD4C39">
        <w:rPr>
          <w:rFonts w:ascii="Times New Roman" w:hAnsi="Times New Roman" w:cs="Times New Roman"/>
          <w:sz w:val="24"/>
          <w:szCs w:val="24"/>
        </w:rPr>
        <w:t xml:space="preserve"> </w:t>
      </w:r>
      <w:r w:rsidR="003D04FA" w:rsidRPr="00FD4C39">
        <w:rPr>
          <w:rFonts w:ascii="Times New Roman" w:hAnsi="Times New Roman" w:cs="Times New Roman"/>
          <w:sz w:val="24"/>
          <w:szCs w:val="24"/>
        </w:rPr>
        <w:t>запазва</w:t>
      </w:r>
      <w:r w:rsidR="00BA4653" w:rsidRPr="00FD4C39">
        <w:rPr>
          <w:rFonts w:ascii="Times New Roman" w:hAnsi="Times New Roman" w:cs="Times New Roman"/>
          <w:sz w:val="24"/>
          <w:szCs w:val="24"/>
        </w:rPr>
        <w:t xml:space="preserve"> участието си в Работна група 31 </w:t>
      </w:r>
      <w:r w:rsidR="004931E5" w:rsidRPr="00FD4C39">
        <w:rPr>
          <w:rFonts w:ascii="Times New Roman" w:hAnsi="Times New Roman" w:cs="Times New Roman"/>
          <w:sz w:val="24"/>
          <w:szCs w:val="24"/>
        </w:rPr>
        <w:t>„</w:t>
      </w:r>
      <w:r w:rsidR="00BA4653" w:rsidRPr="00FD4C39">
        <w:rPr>
          <w:rFonts w:ascii="Times New Roman" w:hAnsi="Times New Roman" w:cs="Times New Roman"/>
          <w:sz w:val="24"/>
          <w:szCs w:val="24"/>
        </w:rPr>
        <w:t>Цифрова България 2015</w:t>
      </w:r>
      <w:r w:rsidR="00140732">
        <w:rPr>
          <w:rFonts w:ascii="Times New Roman" w:hAnsi="Times New Roman" w:cs="Times New Roman"/>
          <w:sz w:val="24"/>
          <w:szCs w:val="24"/>
        </w:rPr>
        <w:t>“</w:t>
      </w:r>
      <w:r w:rsidR="00BA4653" w:rsidRPr="00FD4C39">
        <w:rPr>
          <w:rFonts w:ascii="Times New Roman" w:hAnsi="Times New Roman" w:cs="Times New Roman"/>
          <w:sz w:val="24"/>
          <w:szCs w:val="24"/>
        </w:rPr>
        <w:t>, обособена към Министерство</w:t>
      </w:r>
      <w:r w:rsidR="00140732">
        <w:rPr>
          <w:rFonts w:ascii="Times New Roman" w:hAnsi="Times New Roman" w:cs="Times New Roman"/>
          <w:sz w:val="24"/>
          <w:szCs w:val="24"/>
        </w:rPr>
        <w:t>то</w:t>
      </w:r>
      <w:r w:rsidR="00BA4653" w:rsidRPr="00FD4C39">
        <w:rPr>
          <w:rFonts w:ascii="Times New Roman" w:hAnsi="Times New Roman" w:cs="Times New Roman"/>
          <w:sz w:val="24"/>
          <w:szCs w:val="24"/>
        </w:rPr>
        <w:t xml:space="preserve"> на транспорта, информационните технологии и съобщенията.</w:t>
      </w:r>
    </w:p>
    <w:p w:rsidR="00BA4653" w:rsidRPr="00FD4C39" w:rsidRDefault="00BA4653" w:rsidP="007B189E">
      <w:pPr>
        <w:spacing w:after="0" w:line="360" w:lineRule="auto"/>
        <w:ind w:firstLine="709"/>
        <w:jc w:val="both"/>
        <w:rPr>
          <w:rFonts w:ascii="Times New Roman" w:eastAsia="Calibri" w:hAnsi="Times New Roman" w:cs="Times New Roman"/>
          <w:sz w:val="24"/>
          <w:szCs w:val="24"/>
        </w:rPr>
      </w:pPr>
    </w:p>
    <w:p w:rsidR="00F7603A" w:rsidRPr="00FD4C39" w:rsidRDefault="00CF08C3"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b/>
          <w:sz w:val="24"/>
          <w:szCs w:val="24"/>
        </w:rPr>
        <w:t>4</w:t>
      </w:r>
      <w:r w:rsidR="00EF364C" w:rsidRPr="00FD4C39">
        <w:rPr>
          <w:rFonts w:ascii="Times New Roman" w:eastAsia="Calibri" w:hAnsi="Times New Roman" w:cs="Times New Roman"/>
          <w:b/>
          <w:sz w:val="24"/>
          <w:szCs w:val="24"/>
        </w:rPr>
        <w:t>. Финансови ресурси</w:t>
      </w:r>
      <w:r w:rsidR="004D42A2">
        <w:rPr>
          <w:rFonts w:ascii="Times New Roman" w:eastAsia="Calibri" w:hAnsi="Times New Roman" w:cs="Times New Roman"/>
          <w:b/>
          <w:sz w:val="24"/>
          <w:szCs w:val="24"/>
        </w:rPr>
        <w:t xml:space="preserve"> – </w:t>
      </w:r>
      <w:r w:rsidR="00EF364C" w:rsidRPr="00FD4C39">
        <w:rPr>
          <w:rFonts w:ascii="Times New Roman" w:eastAsia="Calibri" w:hAnsi="Times New Roman" w:cs="Times New Roman"/>
          <w:b/>
          <w:sz w:val="24"/>
          <w:szCs w:val="24"/>
        </w:rPr>
        <w:t>обща информация относно разходването на бюджета на КЗЛД за 2014</w:t>
      </w:r>
      <w:r w:rsidR="004D42A2">
        <w:rPr>
          <w:rFonts w:ascii="Times New Roman" w:eastAsia="Calibri" w:hAnsi="Times New Roman" w:cs="Times New Roman"/>
          <w:b/>
          <w:sz w:val="24"/>
          <w:szCs w:val="24"/>
        </w:rPr>
        <w:t> г.</w:t>
      </w:r>
    </w:p>
    <w:p w:rsidR="00A91B05" w:rsidRPr="00FD4C39" w:rsidRDefault="00A91B05" w:rsidP="007B189E">
      <w:pPr>
        <w:tabs>
          <w:tab w:val="left" w:pos="993"/>
        </w:tabs>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Със</w:t>
      </w:r>
      <w:r w:rsidR="00A227D6" w:rsidRPr="00FD4C39">
        <w:rPr>
          <w:rFonts w:ascii="Times New Roman" w:eastAsia="Calibri" w:hAnsi="Times New Roman" w:cs="Times New Roman"/>
          <w:sz w:val="24"/>
          <w:szCs w:val="24"/>
        </w:rPr>
        <w:t xml:space="preserve"> Закона </w:t>
      </w:r>
      <w:r w:rsidRPr="00FD4C39">
        <w:rPr>
          <w:rFonts w:ascii="Times New Roman" w:eastAsia="Calibri" w:hAnsi="Times New Roman" w:cs="Times New Roman"/>
          <w:sz w:val="24"/>
          <w:szCs w:val="24"/>
        </w:rPr>
        <w:t>за държавния бюджет на Република България (ЗДБРБ) за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и ПМС </w:t>
      </w:r>
      <w:r w:rsidR="009A2D9F"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3 от 15.01.2014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за изпълнението на държавния бюджет на Република България за 2014</w:t>
      </w:r>
      <w:r w:rsidR="004D42A2">
        <w:rPr>
          <w:rFonts w:ascii="Times New Roman" w:eastAsia="Calibri" w:hAnsi="Times New Roman" w:cs="Times New Roman"/>
          <w:sz w:val="24"/>
          <w:szCs w:val="24"/>
        </w:rPr>
        <w:t> г.</w:t>
      </w:r>
      <w:r w:rsidR="0088475E">
        <w:rPr>
          <w:rFonts w:ascii="Times New Roman" w:eastAsia="Calibri" w:hAnsi="Times New Roman" w:cs="Times New Roman"/>
          <w:sz w:val="24"/>
          <w:szCs w:val="24"/>
        </w:rPr>
        <w:t xml:space="preserve"> се </w:t>
      </w:r>
      <w:r w:rsidRPr="00FD4C39">
        <w:rPr>
          <w:rFonts w:ascii="Times New Roman" w:eastAsia="Calibri" w:hAnsi="Times New Roman" w:cs="Times New Roman"/>
          <w:sz w:val="24"/>
          <w:szCs w:val="24"/>
        </w:rPr>
        <w:t>утвър</w:t>
      </w:r>
      <w:r w:rsidR="0088475E">
        <w:rPr>
          <w:rFonts w:ascii="Times New Roman" w:eastAsia="Calibri" w:hAnsi="Times New Roman" w:cs="Times New Roman"/>
          <w:sz w:val="24"/>
          <w:szCs w:val="24"/>
        </w:rPr>
        <w:t>ждава</w:t>
      </w:r>
      <w:r w:rsidRPr="00FD4C39">
        <w:rPr>
          <w:rFonts w:ascii="Times New Roman" w:eastAsia="Calibri" w:hAnsi="Times New Roman" w:cs="Times New Roman"/>
          <w:sz w:val="24"/>
          <w:szCs w:val="24"/>
        </w:rPr>
        <w:t xml:space="preserve"> бюджет</w:t>
      </w:r>
      <w:r w:rsidR="0088475E">
        <w:rPr>
          <w:rFonts w:ascii="Times New Roman" w:eastAsia="Calibri" w:hAnsi="Times New Roman" w:cs="Times New Roman"/>
          <w:sz w:val="24"/>
          <w:szCs w:val="24"/>
        </w:rPr>
        <w:t>ът</w:t>
      </w:r>
      <w:r w:rsidRPr="00FD4C39">
        <w:rPr>
          <w:rFonts w:ascii="Times New Roman" w:eastAsia="Calibri" w:hAnsi="Times New Roman" w:cs="Times New Roman"/>
          <w:sz w:val="24"/>
          <w:szCs w:val="24"/>
        </w:rPr>
        <w:t xml:space="preserve"> за дейността на КЗЛД в размер на 2 373 000</w:t>
      </w:r>
      <w:r w:rsidR="000A1260" w:rsidRPr="00FD4C39">
        <w:rPr>
          <w:rFonts w:ascii="Times New Roman" w:eastAsia="Calibri" w:hAnsi="Times New Roman" w:cs="Times New Roman"/>
          <w:sz w:val="24"/>
          <w:szCs w:val="24"/>
        </w:rPr>
        <w:t xml:space="preserve"> лв. </w:t>
      </w:r>
    </w:p>
    <w:p w:rsidR="00A91B05" w:rsidRPr="00FD4C39" w:rsidRDefault="00A91B05" w:rsidP="007B189E">
      <w:pPr>
        <w:tabs>
          <w:tab w:val="left" w:pos="993"/>
        </w:tabs>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През годината бюджетът на </w:t>
      </w:r>
      <w:r w:rsidR="00FE7018" w:rsidRPr="00FD4C39">
        <w:rPr>
          <w:rFonts w:ascii="Times New Roman" w:eastAsia="Calibri" w:hAnsi="Times New Roman" w:cs="Times New Roman"/>
          <w:sz w:val="24"/>
          <w:szCs w:val="24"/>
        </w:rPr>
        <w:t>КЗЛД</w:t>
      </w:r>
      <w:r w:rsidR="000B54A2">
        <w:rPr>
          <w:rFonts w:ascii="Times New Roman" w:eastAsia="Calibri" w:hAnsi="Times New Roman" w:cs="Times New Roman"/>
          <w:sz w:val="24"/>
          <w:szCs w:val="24"/>
        </w:rPr>
        <w:t xml:space="preserve"> се</w:t>
      </w:r>
      <w:r w:rsidRPr="00FD4C39">
        <w:rPr>
          <w:rFonts w:ascii="Times New Roman" w:eastAsia="Calibri" w:hAnsi="Times New Roman" w:cs="Times New Roman"/>
          <w:sz w:val="24"/>
          <w:szCs w:val="24"/>
        </w:rPr>
        <w:t xml:space="preserve"> намал</w:t>
      </w:r>
      <w:r w:rsidR="000B54A2">
        <w:rPr>
          <w:rFonts w:ascii="Times New Roman" w:eastAsia="Calibri" w:hAnsi="Times New Roman" w:cs="Times New Roman"/>
          <w:sz w:val="24"/>
          <w:szCs w:val="24"/>
        </w:rPr>
        <w:t>ява със сума</w:t>
      </w:r>
      <w:r w:rsidRPr="00FD4C39">
        <w:rPr>
          <w:rFonts w:ascii="Times New Roman" w:eastAsia="Calibri" w:hAnsi="Times New Roman" w:cs="Times New Roman"/>
          <w:sz w:val="24"/>
          <w:szCs w:val="24"/>
        </w:rPr>
        <w:t xml:space="preserve"> в размер на 113 000 лв., в изпълнение на </w:t>
      </w:r>
      <w:r w:rsidR="000109FB" w:rsidRPr="00FD4C39">
        <w:rPr>
          <w:rFonts w:ascii="Times New Roman" w:eastAsia="Calibri" w:hAnsi="Times New Roman" w:cs="Times New Roman"/>
          <w:sz w:val="24"/>
          <w:szCs w:val="24"/>
        </w:rPr>
        <w:t>§ </w:t>
      </w:r>
      <w:r w:rsidRPr="00FD4C39">
        <w:rPr>
          <w:rFonts w:ascii="Times New Roman" w:eastAsia="Calibri" w:hAnsi="Times New Roman" w:cs="Times New Roman"/>
          <w:sz w:val="24"/>
          <w:szCs w:val="24"/>
        </w:rPr>
        <w:t>3,</w:t>
      </w:r>
      <w:r w:rsidR="00884B97">
        <w:rPr>
          <w:rFonts w:ascii="Times New Roman" w:eastAsia="Calibri" w:hAnsi="Times New Roman" w:cs="Times New Roman"/>
          <w:sz w:val="24"/>
          <w:szCs w:val="24"/>
        </w:rPr>
        <w:t xml:space="preserve"> т. </w:t>
      </w:r>
      <w:r w:rsidRPr="00FD4C39">
        <w:rPr>
          <w:rFonts w:ascii="Times New Roman" w:eastAsia="Calibri" w:hAnsi="Times New Roman" w:cs="Times New Roman"/>
          <w:sz w:val="24"/>
          <w:szCs w:val="24"/>
        </w:rPr>
        <w:t xml:space="preserve">2 от Заключителните разпоредби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за изменение и допълнение на </w:t>
      </w:r>
      <w:r w:rsidR="00FE7018" w:rsidRPr="00FD4C39">
        <w:rPr>
          <w:rFonts w:ascii="Times New Roman" w:eastAsia="Calibri" w:hAnsi="Times New Roman" w:cs="Times New Roman"/>
          <w:sz w:val="24"/>
          <w:szCs w:val="24"/>
        </w:rPr>
        <w:t>ЗЗЛД</w:t>
      </w:r>
      <w:r w:rsidRPr="00FD4C39">
        <w:rPr>
          <w:rFonts w:ascii="Times New Roman" w:eastAsia="Calibri" w:hAnsi="Times New Roman" w:cs="Times New Roman"/>
          <w:sz w:val="24"/>
          <w:szCs w:val="24"/>
        </w:rPr>
        <w:t xml:space="preserve"> за бюджета на Националната здравноосигурителна каса за 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(ДВ, бр. 67/12.08.2014</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w:t>
      </w:r>
    </w:p>
    <w:p w:rsidR="00A91B05" w:rsidRPr="00FD4C39" w:rsidRDefault="00A91B05" w:rsidP="007B189E">
      <w:pPr>
        <w:tabs>
          <w:tab w:val="left" w:pos="993"/>
        </w:tabs>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След извършените корекции бюджетът на КЗЛД е в размер на 2 260 000 лв.</w:t>
      </w:r>
    </w:p>
    <w:p w:rsidR="00A91B05" w:rsidRPr="00FD4C39" w:rsidRDefault="00A91B05" w:rsidP="007B189E">
      <w:pPr>
        <w:tabs>
          <w:tab w:val="left" w:pos="993"/>
        </w:tabs>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За обезпечаване на дейността на </w:t>
      </w:r>
      <w:r w:rsidR="00FE7018" w:rsidRPr="00FD4C39">
        <w:rPr>
          <w:rFonts w:ascii="Times New Roman" w:eastAsia="Calibri" w:hAnsi="Times New Roman" w:cs="Times New Roman"/>
          <w:sz w:val="24"/>
          <w:szCs w:val="24"/>
        </w:rPr>
        <w:t>КЗЛД</w:t>
      </w:r>
      <w:r w:rsidR="00A227D6" w:rsidRPr="00FD4C39">
        <w:rPr>
          <w:rFonts w:ascii="Times New Roman" w:eastAsia="Calibri" w:hAnsi="Times New Roman" w:cs="Times New Roman"/>
          <w:sz w:val="24"/>
          <w:szCs w:val="24"/>
        </w:rPr>
        <w:t xml:space="preserve"> </w:t>
      </w:r>
      <w:r w:rsidR="000B54A2">
        <w:rPr>
          <w:rFonts w:ascii="Times New Roman" w:eastAsia="Calibri" w:hAnsi="Times New Roman" w:cs="Times New Roman"/>
          <w:sz w:val="24"/>
          <w:szCs w:val="24"/>
        </w:rPr>
        <w:t>и нейната администрация се извършват</w:t>
      </w:r>
      <w:r w:rsidRPr="00FD4C39">
        <w:rPr>
          <w:rFonts w:ascii="Times New Roman" w:eastAsia="Calibri" w:hAnsi="Times New Roman" w:cs="Times New Roman"/>
          <w:sz w:val="24"/>
          <w:szCs w:val="24"/>
        </w:rPr>
        <w:t xml:space="preserve"> разходи общо в размер на 2 239 111</w:t>
      </w:r>
      <w:r w:rsidR="000A1260" w:rsidRPr="00FD4C39">
        <w:rPr>
          <w:rFonts w:ascii="Times New Roman" w:eastAsia="Calibri" w:hAnsi="Times New Roman" w:cs="Times New Roman"/>
          <w:sz w:val="24"/>
          <w:szCs w:val="24"/>
        </w:rPr>
        <w:t> лв.</w:t>
      </w:r>
      <w:r w:rsidR="000B54A2">
        <w:rPr>
          <w:rFonts w:ascii="Times New Roman" w:eastAsia="Calibri" w:hAnsi="Times New Roman" w:cs="Times New Roman"/>
          <w:sz w:val="24"/>
          <w:szCs w:val="24"/>
        </w:rPr>
        <w:t>,</w:t>
      </w:r>
      <w:r w:rsidR="000A1260" w:rsidRPr="00FD4C39">
        <w:rPr>
          <w:rFonts w:ascii="Times New Roman" w:eastAsia="Calibri" w:hAnsi="Times New Roman" w:cs="Times New Roman"/>
          <w:sz w:val="24"/>
          <w:szCs w:val="24"/>
        </w:rPr>
        <w:t xml:space="preserve"> </w:t>
      </w:r>
      <w:r w:rsidR="000B54A2">
        <w:rPr>
          <w:rFonts w:ascii="Times New Roman" w:eastAsia="Calibri" w:hAnsi="Times New Roman" w:cs="Times New Roman"/>
          <w:sz w:val="24"/>
          <w:szCs w:val="24"/>
        </w:rPr>
        <w:t>или 99,08</w:t>
      </w:r>
      <w:r w:rsidRPr="00FD4C39">
        <w:rPr>
          <w:rFonts w:ascii="Times New Roman" w:eastAsia="Calibri" w:hAnsi="Times New Roman" w:cs="Times New Roman"/>
          <w:sz w:val="24"/>
          <w:szCs w:val="24"/>
        </w:rPr>
        <w:t>% от утвърдените разчети за годината. Видовете разход</w:t>
      </w:r>
      <w:r w:rsidR="000B54A2">
        <w:rPr>
          <w:rFonts w:ascii="Times New Roman" w:eastAsia="Calibri" w:hAnsi="Times New Roman" w:cs="Times New Roman"/>
          <w:sz w:val="24"/>
          <w:szCs w:val="24"/>
        </w:rPr>
        <w:t xml:space="preserve">и, отразени по параграфи от ЕБК, </w:t>
      </w:r>
      <w:r w:rsidRPr="00FD4C39">
        <w:rPr>
          <w:rFonts w:ascii="Times New Roman" w:eastAsia="Calibri" w:hAnsi="Times New Roman" w:cs="Times New Roman"/>
          <w:sz w:val="24"/>
          <w:szCs w:val="24"/>
        </w:rPr>
        <w:t>с</w:t>
      </w:r>
      <w:r w:rsidR="000B54A2">
        <w:rPr>
          <w:rFonts w:ascii="Times New Roman" w:eastAsia="Calibri" w:hAnsi="Times New Roman" w:cs="Times New Roman"/>
          <w:sz w:val="24"/>
          <w:szCs w:val="24"/>
        </w:rPr>
        <w:t>е представят</w:t>
      </w:r>
      <w:r w:rsidRPr="00FD4C39">
        <w:rPr>
          <w:rFonts w:ascii="Times New Roman" w:eastAsia="Calibri" w:hAnsi="Times New Roman" w:cs="Times New Roman"/>
          <w:sz w:val="24"/>
          <w:szCs w:val="24"/>
        </w:rPr>
        <w:t xml:space="preserve"> в таблица, както следва: </w:t>
      </w:r>
    </w:p>
    <w:p w:rsidR="00EE4610" w:rsidRPr="00FD4C39" w:rsidRDefault="00EE4610" w:rsidP="007B189E">
      <w:pPr>
        <w:tabs>
          <w:tab w:val="left" w:pos="993"/>
        </w:tabs>
        <w:spacing w:after="0" w:line="360" w:lineRule="auto"/>
        <w:ind w:firstLine="709"/>
        <w:jc w:val="both"/>
        <w:rPr>
          <w:rFonts w:ascii="Times New Roman" w:eastAsia="Calibri" w:hAnsi="Times New Roman" w:cs="Times New Roman"/>
          <w:sz w:val="24"/>
          <w:szCs w:val="24"/>
        </w:rPr>
      </w:pPr>
    </w:p>
    <w:p w:rsidR="00384216" w:rsidRPr="00FD4C39" w:rsidRDefault="00384216" w:rsidP="007B189E">
      <w:pPr>
        <w:tabs>
          <w:tab w:val="left" w:pos="993"/>
        </w:tabs>
        <w:spacing w:after="0" w:line="360" w:lineRule="auto"/>
        <w:ind w:firstLine="709"/>
        <w:jc w:val="both"/>
        <w:rPr>
          <w:rFonts w:ascii="Times New Roman" w:eastAsia="Calibri" w:hAnsi="Times New Roman" w:cs="Times New Roman"/>
          <w:sz w:val="24"/>
          <w:szCs w:val="24"/>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5807"/>
        <w:gridCol w:w="1569"/>
      </w:tblGrid>
      <w:tr w:rsidR="00A91B05" w:rsidRPr="00FD4C39" w:rsidTr="00CF5959">
        <w:trPr>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360" w:lineRule="auto"/>
              <w:jc w:val="center"/>
              <w:rPr>
                <w:rFonts w:ascii="Times New Roman" w:eastAsia="Calibri" w:hAnsi="Times New Roman" w:cs="Times New Roman"/>
                <w:b/>
                <w:bCs/>
                <w:sz w:val="24"/>
                <w:szCs w:val="24"/>
              </w:rPr>
            </w:pPr>
            <w:r w:rsidRPr="00FD4C39">
              <w:rPr>
                <w:rFonts w:ascii="Times New Roman" w:eastAsia="Calibri" w:hAnsi="Times New Roman" w:cs="Times New Roman"/>
                <w:b/>
                <w:bCs/>
                <w:sz w:val="24"/>
                <w:szCs w:val="24"/>
              </w:rPr>
              <w:lastRenderedPageBreak/>
              <w:t>Параграф</w:t>
            </w: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360" w:lineRule="auto"/>
              <w:rPr>
                <w:rFonts w:ascii="Times New Roman" w:eastAsia="Calibri" w:hAnsi="Times New Roman" w:cs="Times New Roman"/>
                <w:b/>
                <w:bCs/>
                <w:sz w:val="24"/>
                <w:szCs w:val="24"/>
              </w:rPr>
            </w:pPr>
            <w:r w:rsidRPr="00FD4C39">
              <w:rPr>
                <w:rFonts w:ascii="Times New Roman" w:eastAsia="Calibri" w:hAnsi="Times New Roman" w:cs="Times New Roman"/>
                <w:b/>
                <w:bCs/>
                <w:sz w:val="24"/>
                <w:szCs w:val="24"/>
              </w:rPr>
              <w:t>Наименование на разходите</w:t>
            </w:r>
          </w:p>
        </w:tc>
        <w:tc>
          <w:tcPr>
            <w:tcW w:w="1569" w:type="dxa"/>
            <w:tcBorders>
              <w:top w:val="single" w:sz="4" w:space="0" w:color="auto"/>
              <w:left w:val="single" w:sz="4" w:space="0" w:color="auto"/>
              <w:bottom w:val="single" w:sz="4" w:space="0" w:color="auto"/>
              <w:right w:val="single" w:sz="4" w:space="0" w:color="auto"/>
            </w:tcBorders>
            <w:vAlign w:val="center"/>
          </w:tcPr>
          <w:p w:rsidR="00A07825" w:rsidRPr="00FD4C39" w:rsidRDefault="00A91B05" w:rsidP="00CF5959">
            <w:pPr>
              <w:tabs>
                <w:tab w:val="left" w:pos="993"/>
              </w:tabs>
              <w:spacing w:after="0" w:line="240" w:lineRule="auto"/>
              <w:jc w:val="center"/>
              <w:rPr>
                <w:rFonts w:ascii="Times New Roman" w:eastAsia="Calibri" w:hAnsi="Times New Roman" w:cs="Times New Roman"/>
                <w:b/>
                <w:bCs/>
                <w:sz w:val="24"/>
                <w:szCs w:val="24"/>
              </w:rPr>
            </w:pPr>
            <w:r w:rsidRPr="00FD4C39">
              <w:rPr>
                <w:rFonts w:ascii="Times New Roman" w:eastAsia="Calibri" w:hAnsi="Times New Roman" w:cs="Times New Roman"/>
                <w:b/>
                <w:bCs/>
                <w:sz w:val="24"/>
                <w:szCs w:val="24"/>
              </w:rPr>
              <w:t>Сума</w:t>
            </w:r>
          </w:p>
          <w:p w:rsidR="00A91B05" w:rsidRPr="00FD4C39" w:rsidRDefault="00A91B05" w:rsidP="00CF5959">
            <w:pPr>
              <w:tabs>
                <w:tab w:val="left" w:pos="993"/>
              </w:tabs>
              <w:spacing w:after="0" w:line="240" w:lineRule="auto"/>
              <w:jc w:val="center"/>
              <w:rPr>
                <w:rFonts w:ascii="Times New Roman" w:eastAsia="Calibri" w:hAnsi="Times New Roman" w:cs="Times New Roman"/>
                <w:b/>
                <w:bCs/>
                <w:sz w:val="24"/>
                <w:szCs w:val="24"/>
              </w:rPr>
            </w:pPr>
            <w:r w:rsidRPr="00FD4C39">
              <w:rPr>
                <w:rFonts w:ascii="Times New Roman" w:eastAsia="Calibri" w:hAnsi="Times New Roman" w:cs="Times New Roman"/>
                <w:b/>
                <w:bCs/>
                <w:sz w:val="24"/>
                <w:szCs w:val="24"/>
              </w:rPr>
              <w:t>(лева)</w:t>
            </w:r>
          </w:p>
        </w:tc>
      </w:tr>
      <w:tr w:rsidR="00A91B05" w:rsidRPr="00FD4C39" w:rsidTr="00CF5959">
        <w:trPr>
          <w:trHeight w:val="563"/>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01-00</w:t>
            </w: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rPr>
                <w:rFonts w:ascii="Times New Roman" w:eastAsia="Calibri" w:hAnsi="Times New Roman" w:cs="Times New Roman"/>
                <w:sz w:val="24"/>
                <w:szCs w:val="24"/>
              </w:rPr>
            </w:pPr>
            <w:r w:rsidRPr="00FD4C39">
              <w:rPr>
                <w:rFonts w:ascii="Times New Roman" w:eastAsia="Calibri" w:hAnsi="Times New Roman" w:cs="Times New Roman"/>
                <w:sz w:val="24"/>
                <w:szCs w:val="24"/>
              </w:rPr>
              <w:t>Заплати и възнаграждения за персонала, нает по трудови и служебни правоотношения</w:t>
            </w:r>
          </w:p>
        </w:tc>
        <w:tc>
          <w:tcPr>
            <w:tcW w:w="1569"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151D5C">
            <w:pPr>
              <w:tabs>
                <w:tab w:val="left" w:pos="993"/>
              </w:tabs>
              <w:spacing w:after="0" w:line="240" w:lineRule="auto"/>
              <w:ind w:right="75"/>
              <w:jc w:val="right"/>
              <w:rPr>
                <w:rFonts w:ascii="Times New Roman" w:eastAsia="Calibri" w:hAnsi="Times New Roman" w:cs="Times New Roman"/>
                <w:sz w:val="24"/>
                <w:szCs w:val="24"/>
              </w:rPr>
            </w:pPr>
            <w:r w:rsidRPr="00FD4C39">
              <w:rPr>
                <w:rFonts w:ascii="Times New Roman" w:eastAsia="Calibri" w:hAnsi="Times New Roman" w:cs="Times New Roman"/>
                <w:sz w:val="24"/>
                <w:szCs w:val="24"/>
              </w:rPr>
              <w:t>1 036 618</w:t>
            </w:r>
          </w:p>
        </w:tc>
      </w:tr>
      <w:tr w:rsidR="00A91B05" w:rsidRPr="00FD4C39" w:rsidTr="00CF5959">
        <w:trPr>
          <w:trHeight w:val="565"/>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02-00</w:t>
            </w: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rPr>
                <w:rFonts w:ascii="Times New Roman" w:eastAsia="Calibri" w:hAnsi="Times New Roman" w:cs="Times New Roman"/>
                <w:sz w:val="24"/>
                <w:szCs w:val="24"/>
              </w:rPr>
            </w:pPr>
            <w:r w:rsidRPr="00FD4C39">
              <w:rPr>
                <w:rFonts w:ascii="Times New Roman" w:eastAsia="Calibri" w:hAnsi="Times New Roman" w:cs="Times New Roman"/>
                <w:sz w:val="24"/>
                <w:szCs w:val="24"/>
              </w:rPr>
              <w:t>Други възнаграждения и плащания за персонала</w:t>
            </w:r>
          </w:p>
        </w:tc>
        <w:tc>
          <w:tcPr>
            <w:tcW w:w="1569"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151D5C">
            <w:pPr>
              <w:tabs>
                <w:tab w:val="left" w:pos="993"/>
              </w:tabs>
              <w:spacing w:after="0" w:line="240" w:lineRule="auto"/>
              <w:ind w:right="75"/>
              <w:jc w:val="right"/>
              <w:rPr>
                <w:rFonts w:ascii="Times New Roman" w:eastAsia="Calibri" w:hAnsi="Times New Roman" w:cs="Times New Roman"/>
                <w:sz w:val="24"/>
                <w:szCs w:val="24"/>
              </w:rPr>
            </w:pPr>
            <w:r w:rsidRPr="00FD4C39">
              <w:rPr>
                <w:rFonts w:ascii="Times New Roman" w:eastAsia="Calibri" w:hAnsi="Times New Roman" w:cs="Times New Roman"/>
                <w:sz w:val="24"/>
                <w:szCs w:val="24"/>
              </w:rPr>
              <w:t>138 336</w:t>
            </w:r>
          </w:p>
        </w:tc>
      </w:tr>
      <w:tr w:rsidR="00A91B05" w:rsidRPr="00FD4C39" w:rsidTr="00CF5959">
        <w:trPr>
          <w:trHeight w:val="395"/>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05-00</w:t>
            </w: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rPr>
                <w:rFonts w:ascii="Times New Roman" w:eastAsia="Calibri" w:hAnsi="Times New Roman" w:cs="Times New Roman"/>
                <w:sz w:val="24"/>
                <w:szCs w:val="24"/>
              </w:rPr>
            </w:pPr>
            <w:r w:rsidRPr="00FD4C39">
              <w:rPr>
                <w:rFonts w:ascii="Times New Roman" w:eastAsia="Calibri" w:hAnsi="Times New Roman" w:cs="Times New Roman"/>
                <w:sz w:val="24"/>
                <w:szCs w:val="24"/>
              </w:rPr>
              <w:t>Задължителни осигурителни вноски от работодатели</w:t>
            </w:r>
          </w:p>
        </w:tc>
        <w:tc>
          <w:tcPr>
            <w:tcW w:w="1569"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151D5C">
            <w:pPr>
              <w:tabs>
                <w:tab w:val="left" w:pos="993"/>
              </w:tabs>
              <w:spacing w:after="0" w:line="240" w:lineRule="auto"/>
              <w:ind w:right="75"/>
              <w:jc w:val="right"/>
              <w:rPr>
                <w:rFonts w:ascii="Times New Roman" w:eastAsia="Calibri" w:hAnsi="Times New Roman" w:cs="Times New Roman"/>
                <w:sz w:val="24"/>
                <w:szCs w:val="24"/>
              </w:rPr>
            </w:pPr>
            <w:r w:rsidRPr="00FD4C39">
              <w:rPr>
                <w:rFonts w:ascii="Times New Roman" w:eastAsia="Calibri" w:hAnsi="Times New Roman" w:cs="Times New Roman"/>
                <w:sz w:val="24"/>
                <w:szCs w:val="24"/>
              </w:rPr>
              <w:t>269 248</w:t>
            </w:r>
          </w:p>
        </w:tc>
      </w:tr>
      <w:tr w:rsidR="00A91B05" w:rsidRPr="00E00B61" w:rsidTr="00CF5959">
        <w:trPr>
          <w:trHeight w:val="557"/>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E00B61" w:rsidRDefault="00A91B05" w:rsidP="00CF5959">
            <w:pPr>
              <w:tabs>
                <w:tab w:val="left" w:pos="993"/>
              </w:tabs>
              <w:spacing w:after="0" w:line="240" w:lineRule="auto"/>
              <w:jc w:val="center"/>
              <w:rPr>
                <w:rFonts w:ascii="Times New Roman" w:eastAsia="Calibri" w:hAnsi="Times New Roman" w:cs="Times New Roman"/>
                <w:sz w:val="24"/>
                <w:szCs w:val="24"/>
              </w:rPr>
            </w:pPr>
            <w:r w:rsidRPr="00E00B61">
              <w:rPr>
                <w:rFonts w:ascii="Times New Roman" w:eastAsia="Calibri" w:hAnsi="Times New Roman" w:cs="Times New Roman"/>
                <w:sz w:val="24"/>
                <w:szCs w:val="24"/>
              </w:rPr>
              <w:t>10-00</w:t>
            </w: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E00B61" w:rsidRDefault="00A91B05" w:rsidP="00CF5959">
            <w:pPr>
              <w:tabs>
                <w:tab w:val="left" w:pos="993"/>
              </w:tabs>
              <w:spacing w:after="0" w:line="240" w:lineRule="auto"/>
              <w:rPr>
                <w:rFonts w:ascii="Times New Roman" w:eastAsia="Calibri" w:hAnsi="Times New Roman" w:cs="Times New Roman"/>
                <w:sz w:val="24"/>
                <w:szCs w:val="24"/>
              </w:rPr>
            </w:pPr>
            <w:r w:rsidRPr="00E00B61">
              <w:rPr>
                <w:rFonts w:ascii="Times New Roman" w:eastAsia="Calibri" w:hAnsi="Times New Roman" w:cs="Times New Roman"/>
                <w:sz w:val="24"/>
                <w:szCs w:val="24"/>
              </w:rPr>
              <w:t>Издръжка</w:t>
            </w:r>
          </w:p>
        </w:tc>
        <w:tc>
          <w:tcPr>
            <w:tcW w:w="1569" w:type="dxa"/>
            <w:tcBorders>
              <w:top w:val="single" w:sz="4" w:space="0" w:color="auto"/>
              <w:left w:val="single" w:sz="4" w:space="0" w:color="auto"/>
              <w:bottom w:val="single" w:sz="4" w:space="0" w:color="auto"/>
              <w:right w:val="single" w:sz="4" w:space="0" w:color="auto"/>
            </w:tcBorders>
            <w:vAlign w:val="center"/>
          </w:tcPr>
          <w:p w:rsidR="00A91B05" w:rsidRPr="00E00B61" w:rsidRDefault="00A91B05" w:rsidP="00151D5C">
            <w:pPr>
              <w:tabs>
                <w:tab w:val="left" w:pos="993"/>
              </w:tabs>
              <w:spacing w:after="0" w:line="240" w:lineRule="auto"/>
              <w:ind w:right="75"/>
              <w:jc w:val="right"/>
              <w:rPr>
                <w:rFonts w:ascii="Times New Roman" w:eastAsia="Calibri" w:hAnsi="Times New Roman" w:cs="Times New Roman"/>
                <w:sz w:val="24"/>
                <w:szCs w:val="24"/>
              </w:rPr>
            </w:pPr>
            <w:r w:rsidRPr="00E00B61">
              <w:rPr>
                <w:rFonts w:ascii="Times New Roman" w:eastAsia="Calibri" w:hAnsi="Times New Roman" w:cs="Times New Roman"/>
                <w:sz w:val="24"/>
                <w:szCs w:val="24"/>
              </w:rPr>
              <w:t>6</w:t>
            </w:r>
            <w:r w:rsidR="00151D5C" w:rsidRPr="00E00B61">
              <w:rPr>
                <w:rFonts w:ascii="Times New Roman" w:eastAsia="Calibri" w:hAnsi="Times New Roman" w:cs="Times New Roman"/>
                <w:sz w:val="24"/>
                <w:szCs w:val="24"/>
              </w:rPr>
              <w:t>6</w:t>
            </w:r>
            <w:r w:rsidRPr="00E00B61">
              <w:rPr>
                <w:rFonts w:ascii="Times New Roman" w:eastAsia="Calibri" w:hAnsi="Times New Roman" w:cs="Times New Roman"/>
                <w:sz w:val="24"/>
                <w:szCs w:val="24"/>
              </w:rPr>
              <w:t xml:space="preserve">7 </w:t>
            </w:r>
            <w:r w:rsidR="00151D5C" w:rsidRPr="00E00B61">
              <w:rPr>
                <w:rFonts w:ascii="Times New Roman" w:eastAsia="Calibri" w:hAnsi="Times New Roman" w:cs="Times New Roman"/>
                <w:sz w:val="24"/>
                <w:szCs w:val="24"/>
              </w:rPr>
              <w:t>357</w:t>
            </w:r>
          </w:p>
        </w:tc>
      </w:tr>
      <w:tr w:rsidR="00151D5C" w:rsidRPr="00FD4C39" w:rsidTr="00CF5959">
        <w:trPr>
          <w:trHeight w:val="556"/>
          <w:jc w:val="center"/>
        </w:trPr>
        <w:tc>
          <w:tcPr>
            <w:tcW w:w="1781" w:type="dxa"/>
            <w:tcBorders>
              <w:top w:val="single" w:sz="4" w:space="0" w:color="auto"/>
              <w:left w:val="single" w:sz="4" w:space="0" w:color="auto"/>
              <w:bottom w:val="single" w:sz="4" w:space="0" w:color="auto"/>
              <w:right w:val="single" w:sz="4" w:space="0" w:color="auto"/>
            </w:tcBorders>
            <w:vAlign w:val="center"/>
          </w:tcPr>
          <w:p w:rsidR="00151D5C" w:rsidRPr="00E00B61" w:rsidRDefault="00151D5C" w:rsidP="00CF5959">
            <w:pPr>
              <w:tabs>
                <w:tab w:val="left" w:pos="993"/>
              </w:tabs>
              <w:spacing w:after="0" w:line="240" w:lineRule="auto"/>
              <w:jc w:val="center"/>
              <w:rPr>
                <w:rFonts w:ascii="Times New Roman" w:eastAsia="Calibri" w:hAnsi="Times New Roman" w:cs="Times New Roman"/>
                <w:sz w:val="24"/>
                <w:szCs w:val="24"/>
                <w:lang w:val="en-US"/>
              </w:rPr>
            </w:pPr>
            <w:r w:rsidRPr="00E00B61">
              <w:rPr>
                <w:rFonts w:ascii="Times New Roman" w:eastAsia="Calibri" w:hAnsi="Times New Roman" w:cs="Times New Roman"/>
                <w:sz w:val="24"/>
                <w:szCs w:val="24"/>
                <w:lang w:val="en-US"/>
              </w:rPr>
              <w:t>19-00</w:t>
            </w:r>
          </w:p>
        </w:tc>
        <w:tc>
          <w:tcPr>
            <w:tcW w:w="5807" w:type="dxa"/>
            <w:tcBorders>
              <w:top w:val="single" w:sz="4" w:space="0" w:color="auto"/>
              <w:left w:val="single" w:sz="4" w:space="0" w:color="auto"/>
              <w:bottom w:val="single" w:sz="4" w:space="0" w:color="auto"/>
              <w:right w:val="single" w:sz="4" w:space="0" w:color="auto"/>
            </w:tcBorders>
            <w:vAlign w:val="center"/>
          </w:tcPr>
          <w:p w:rsidR="00151D5C" w:rsidRPr="00E00B61" w:rsidRDefault="00151D5C" w:rsidP="00CF5959">
            <w:pPr>
              <w:tabs>
                <w:tab w:val="left" w:pos="993"/>
              </w:tabs>
              <w:spacing w:after="0" w:line="240" w:lineRule="auto"/>
              <w:rPr>
                <w:rFonts w:ascii="Times New Roman" w:eastAsia="Calibri" w:hAnsi="Times New Roman" w:cs="Times New Roman"/>
                <w:sz w:val="24"/>
                <w:szCs w:val="24"/>
              </w:rPr>
            </w:pPr>
            <w:r w:rsidRPr="00E00B61">
              <w:rPr>
                <w:rFonts w:ascii="Times New Roman" w:eastAsia="Calibri" w:hAnsi="Times New Roman" w:cs="Times New Roman"/>
                <w:sz w:val="24"/>
                <w:szCs w:val="24"/>
              </w:rPr>
              <w:t>Платени данъци, такси и административни санкции</w:t>
            </w:r>
          </w:p>
        </w:tc>
        <w:tc>
          <w:tcPr>
            <w:tcW w:w="1569" w:type="dxa"/>
            <w:tcBorders>
              <w:top w:val="single" w:sz="4" w:space="0" w:color="auto"/>
              <w:left w:val="single" w:sz="4" w:space="0" w:color="auto"/>
              <w:bottom w:val="single" w:sz="4" w:space="0" w:color="auto"/>
              <w:right w:val="single" w:sz="4" w:space="0" w:color="auto"/>
            </w:tcBorders>
            <w:vAlign w:val="center"/>
          </w:tcPr>
          <w:p w:rsidR="00151D5C" w:rsidRPr="00FD4C39" w:rsidRDefault="00151D5C" w:rsidP="00151D5C">
            <w:pPr>
              <w:tabs>
                <w:tab w:val="left" w:pos="993"/>
              </w:tabs>
              <w:spacing w:after="0" w:line="240" w:lineRule="auto"/>
              <w:ind w:right="75"/>
              <w:jc w:val="right"/>
              <w:rPr>
                <w:rFonts w:ascii="Times New Roman" w:eastAsia="Calibri" w:hAnsi="Times New Roman" w:cs="Times New Roman"/>
                <w:sz w:val="24"/>
                <w:szCs w:val="24"/>
              </w:rPr>
            </w:pPr>
            <w:r w:rsidRPr="00E00B61">
              <w:rPr>
                <w:rFonts w:ascii="Times New Roman" w:eastAsia="Calibri" w:hAnsi="Times New Roman" w:cs="Times New Roman"/>
                <w:sz w:val="24"/>
                <w:szCs w:val="24"/>
              </w:rPr>
              <w:t>9 898</w:t>
            </w:r>
          </w:p>
        </w:tc>
      </w:tr>
      <w:tr w:rsidR="00A91B05" w:rsidRPr="00FD4C39" w:rsidTr="00CF5959">
        <w:trPr>
          <w:trHeight w:val="556"/>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jc w:val="center"/>
              <w:rPr>
                <w:rFonts w:ascii="Times New Roman" w:eastAsia="Calibri" w:hAnsi="Times New Roman" w:cs="Times New Roman"/>
                <w:sz w:val="24"/>
                <w:szCs w:val="24"/>
              </w:rPr>
            </w:pPr>
            <w:r w:rsidRPr="00FD4C39">
              <w:rPr>
                <w:rFonts w:ascii="Times New Roman" w:eastAsia="Calibri" w:hAnsi="Times New Roman" w:cs="Times New Roman"/>
                <w:sz w:val="24"/>
                <w:szCs w:val="24"/>
              </w:rPr>
              <w:t>52-00</w:t>
            </w: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rPr>
                <w:rFonts w:ascii="Times New Roman" w:eastAsia="Calibri" w:hAnsi="Times New Roman" w:cs="Times New Roman"/>
                <w:sz w:val="24"/>
                <w:szCs w:val="24"/>
              </w:rPr>
            </w:pPr>
            <w:r w:rsidRPr="00FD4C39">
              <w:rPr>
                <w:rFonts w:ascii="Times New Roman" w:eastAsia="Calibri" w:hAnsi="Times New Roman" w:cs="Times New Roman"/>
                <w:sz w:val="24"/>
                <w:szCs w:val="24"/>
              </w:rPr>
              <w:t>Придобиване на дълготрайни материални активи</w:t>
            </w:r>
          </w:p>
        </w:tc>
        <w:tc>
          <w:tcPr>
            <w:tcW w:w="1569"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151D5C">
            <w:pPr>
              <w:tabs>
                <w:tab w:val="left" w:pos="993"/>
              </w:tabs>
              <w:spacing w:after="0" w:line="240" w:lineRule="auto"/>
              <w:ind w:right="75"/>
              <w:jc w:val="right"/>
              <w:rPr>
                <w:rFonts w:ascii="Times New Roman" w:eastAsia="Calibri" w:hAnsi="Times New Roman" w:cs="Times New Roman"/>
                <w:sz w:val="24"/>
                <w:szCs w:val="24"/>
              </w:rPr>
            </w:pPr>
            <w:r w:rsidRPr="00FD4C39">
              <w:rPr>
                <w:rFonts w:ascii="Times New Roman" w:eastAsia="Calibri" w:hAnsi="Times New Roman" w:cs="Times New Roman"/>
                <w:sz w:val="24"/>
                <w:szCs w:val="24"/>
              </w:rPr>
              <w:t>117 654</w:t>
            </w:r>
          </w:p>
        </w:tc>
      </w:tr>
      <w:tr w:rsidR="00A91B05" w:rsidRPr="00FD4C39" w:rsidTr="00CF5959">
        <w:trPr>
          <w:trHeight w:val="531"/>
          <w:jc w:val="center"/>
        </w:trPr>
        <w:tc>
          <w:tcPr>
            <w:tcW w:w="1781"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rPr>
                <w:rFonts w:ascii="Times New Roman" w:eastAsia="Calibri"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CF5959">
            <w:pPr>
              <w:tabs>
                <w:tab w:val="left" w:pos="993"/>
              </w:tabs>
              <w:spacing w:after="0" w:line="240" w:lineRule="auto"/>
              <w:rPr>
                <w:rFonts w:ascii="Times New Roman" w:eastAsia="Calibri" w:hAnsi="Times New Roman" w:cs="Times New Roman"/>
                <w:sz w:val="24"/>
                <w:szCs w:val="24"/>
              </w:rPr>
            </w:pPr>
            <w:r w:rsidRPr="00FD4C39">
              <w:rPr>
                <w:rFonts w:ascii="Times New Roman" w:eastAsia="Calibri" w:hAnsi="Times New Roman" w:cs="Times New Roman"/>
                <w:sz w:val="24"/>
                <w:szCs w:val="24"/>
              </w:rPr>
              <w:t>Общо разходи по бюджета</w:t>
            </w:r>
          </w:p>
        </w:tc>
        <w:tc>
          <w:tcPr>
            <w:tcW w:w="1569" w:type="dxa"/>
            <w:tcBorders>
              <w:top w:val="single" w:sz="4" w:space="0" w:color="auto"/>
              <w:left w:val="single" w:sz="4" w:space="0" w:color="auto"/>
              <w:bottom w:val="single" w:sz="4" w:space="0" w:color="auto"/>
              <w:right w:val="single" w:sz="4" w:space="0" w:color="auto"/>
            </w:tcBorders>
            <w:vAlign w:val="center"/>
          </w:tcPr>
          <w:p w:rsidR="00A91B05" w:rsidRPr="00FD4C39" w:rsidRDefault="00A91B05" w:rsidP="00151D5C">
            <w:pPr>
              <w:tabs>
                <w:tab w:val="left" w:pos="993"/>
              </w:tabs>
              <w:spacing w:after="0" w:line="240" w:lineRule="auto"/>
              <w:ind w:right="75"/>
              <w:jc w:val="right"/>
              <w:rPr>
                <w:rFonts w:ascii="Times New Roman" w:eastAsia="Calibri" w:hAnsi="Times New Roman" w:cs="Times New Roman"/>
                <w:sz w:val="24"/>
                <w:szCs w:val="24"/>
              </w:rPr>
            </w:pPr>
            <w:r w:rsidRPr="00FD4C39">
              <w:rPr>
                <w:rFonts w:ascii="Times New Roman" w:eastAsia="Calibri" w:hAnsi="Times New Roman" w:cs="Times New Roman"/>
                <w:sz w:val="24"/>
                <w:szCs w:val="24"/>
              </w:rPr>
              <w:t>2 239 111</w:t>
            </w:r>
          </w:p>
        </w:tc>
      </w:tr>
    </w:tbl>
    <w:p w:rsidR="00A91B05" w:rsidRPr="00FD4C39" w:rsidRDefault="00A91B05" w:rsidP="007B189E">
      <w:pPr>
        <w:spacing w:after="0" w:line="360" w:lineRule="auto"/>
        <w:ind w:firstLine="709"/>
        <w:jc w:val="both"/>
        <w:rPr>
          <w:rFonts w:ascii="Times New Roman" w:eastAsia="Calibri" w:hAnsi="Times New Roman" w:cs="Times New Roman"/>
          <w:b/>
          <w:sz w:val="24"/>
          <w:szCs w:val="24"/>
        </w:rPr>
      </w:pPr>
    </w:p>
    <w:p w:rsidR="00CF5959" w:rsidRPr="00FD4C39" w:rsidRDefault="00CF5959">
      <w:pPr>
        <w:rPr>
          <w:rFonts w:ascii="Times New Roman" w:eastAsia="Calibri" w:hAnsi="Times New Roman" w:cs="Times New Roman"/>
          <w:b/>
          <w:sz w:val="24"/>
          <w:szCs w:val="24"/>
        </w:rPr>
      </w:pPr>
      <w:r w:rsidRPr="00FD4C39">
        <w:rPr>
          <w:rFonts w:ascii="Times New Roman" w:eastAsia="Calibri" w:hAnsi="Times New Roman" w:cs="Times New Roman"/>
          <w:b/>
          <w:sz w:val="24"/>
          <w:szCs w:val="24"/>
        </w:rPr>
        <w:br w:type="page"/>
      </w:r>
    </w:p>
    <w:p w:rsidR="008B37BD" w:rsidRPr="00FD4C39" w:rsidRDefault="00EF364C" w:rsidP="007B189E">
      <w:pPr>
        <w:spacing w:after="0" w:line="360" w:lineRule="auto"/>
        <w:ind w:firstLine="709"/>
        <w:jc w:val="both"/>
        <w:rPr>
          <w:rFonts w:ascii="Times New Roman" w:eastAsia="Calibri" w:hAnsi="Times New Roman" w:cs="Times New Roman"/>
          <w:b/>
          <w:sz w:val="24"/>
          <w:szCs w:val="24"/>
        </w:rPr>
      </w:pPr>
      <w:r w:rsidRPr="00FD4C39">
        <w:rPr>
          <w:rFonts w:ascii="Times New Roman" w:eastAsia="Calibri" w:hAnsi="Times New Roman" w:cs="Times New Roman"/>
          <w:b/>
          <w:sz w:val="24"/>
          <w:szCs w:val="24"/>
        </w:rPr>
        <w:lastRenderedPageBreak/>
        <w:t>XIII. Цели и приоритети на КЗЛД за 2015</w:t>
      </w:r>
      <w:r w:rsidR="004D42A2">
        <w:rPr>
          <w:rFonts w:ascii="Times New Roman" w:eastAsia="Calibri" w:hAnsi="Times New Roman" w:cs="Times New Roman"/>
          <w:b/>
          <w:sz w:val="24"/>
          <w:szCs w:val="24"/>
        </w:rPr>
        <w:t> г.</w:t>
      </w:r>
    </w:p>
    <w:p w:rsidR="00CF5959" w:rsidRPr="00FD4C39" w:rsidRDefault="00CF5959" w:rsidP="007B189E">
      <w:pPr>
        <w:spacing w:after="0" w:line="360" w:lineRule="auto"/>
        <w:ind w:firstLine="709"/>
        <w:jc w:val="both"/>
        <w:rPr>
          <w:rFonts w:ascii="Times New Roman" w:eastAsia="Calibri" w:hAnsi="Times New Roman" w:cs="Times New Roman"/>
          <w:sz w:val="24"/>
          <w:szCs w:val="24"/>
        </w:rPr>
      </w:pPr>
    </w:p>
    <w:p w:rsidR="000F0243" w:rsidRPr="00FD4C39" w:rsidRDefault="00EF36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Стратегическа цел на българското</w:t>
      </w:r>
      <w:r w:rsidR="00227FC7" w:rsidRPr="00FD4C39">
        <w:rPr>
          <w:rFonts w:ascii="Times New Roman" w:eastAsia="Calibri" w:hAnsi="Times New Roman" w:cs="Times New Roman"/>
          <w:sz w:val="24"/>
          <w:szCs w:val="24"/>
        </w:rPr>
        <w:t xml:space="preserve"> правителство е въвеждането на к</w:t>
      </w:r>
      <w:r w:rsidRPr="00FD4C39">
        <w:rPr>
          <w:rFonts w:ascii="Times New Roman" w:eastAsia="Calibri" w:hAnsi="Times New Roman" w:cs="Times New Roman"/>
          <w:sz w:val="24"/>
          <w:szCs w:val="24"/>
        </w:rPr>
        <w:t>омплексното административно обслужване във всички държавни администрации през 2015</w:t>
      </w:r>
      <w:r w:rsidR="004D42A2">
        <w:rPr>
          <w:rFonts w:ascii="Times New Roman" w:eastAsia="Calibri" w:hAnsi="Times New Roman" w:cs="Times New Roman"/>
          <w:sz w:val="24"/>
          <w:szCs w:val="24"/>
        </w:rPr>
        <w:t> г.</w:t>
      </w:r>
      <w:r w:rsidRPr="00FD4C39">
        <w:rPr>
          <w:rFonts w:ascii="Times New Roman" w:eastAsia="Calibri" w:hAnsi="Times New Roman" w:cs="Times New Roman"/>
          <w:sz w:val="24"/>
          <w:szCs w:val="24"/>
        </w:rPr>
        <w:t xml:space="preserve"> Базисният модел на</w:t>
      </w:r>
      <w:r w:rsidR="00227FC7" w:rsidRPr="00FD4C39">
        <w:rPr>
          <w:rFonts w:ascii="Times New Roman" w:eastAsia="Calibri" w:hAnsi="Times New Roman" w:cs="Times New Roman"/>
          <w:sz w:val="24"/>
          <w:szCs w:val="24"/>
        </w:rPr>
        <w:t xml:space="preserve"> комплексното административно обслужване</w:t>
      </w:r>
      <w:r w:rsidRPr="00FD4C39">
        <w:rPr>
          <w:rFonts w:ascii="Times New Roman" w:eastAsia="Calibri" w:hAnsi="Times New Roman" w:cs="Times New Roman"/>
          <w:sz w:val="24"/>
          <w:szCs w:val="24"/>
        </w:rPr>
        <w:t xml:space="preserve"> допълва и </w:t>
      </w:r>
      <w:proofErr w:type="spellStart"/>
      <w:r w:rsidRPr="00FD4C39">
        <w:rPr>
          <w:rFonts w:ascii="Times New Roman" w:eastAsia="Calibri" w:hAnsi="Times New Roman" w:cs="Times New Roman"/>
          <w:sz w:val="24"/>
          <w:szCs w:val="24"/>
        </w:rPr>
        <w:t>надгражда</w:t>
      </w:r>
      <w:proofErr w:type="spellEnd"/>
      <w:r w:rsidRPr="00FD4C39">
        <w:rPr>
          <w:rFonts w:ascii="Times New Roman" w:eastAsia="Calibri" w:hAnsi="Times New Roman" w:cs="Times New Roman"/>
          <w:sz w:val="24"/>
          <w:szCs w:val="24"/>
        </w:rPr>
        <w:t xml:space="preserve"> модела за</w:t>
      </w:r>
      <w:r w:rsidR="009A104C" w:rsidRPr="00FD4C39">
        <w:rPr>
          <w:rFonts w:ascii="Times New Roman" w:eastAsia="Calibri" w:hAnsi="Times New Roman" w:cs="Times New Roman"/>
          <w:sz w:val="24"/>
          <w:szCs w:val="24"/>
        </w:rPr>
        <w:t xml:space="preserve"> административно обслужване на </w:t>
      </w:r>
      <w:r w:rsidRPr="00FD4C39">
        <w:rPr>
          <w:rFonts w:ascii="Times New Roman" w:eastAsia="Calibri" w:hAnsi="Times New Roman" w:cs="Times New Roman"/>
          <w:sz w:val="24"/>
          <w:szCs w:val="24"/>
        </w:rPr>
        <w:t xml:space="preserve">принципа </w:t>
      </w:r>
      <w:r w:rsidR="004931E5" w:rsidRPr="00FD4C39">
        <w:rPr>
          <w:rFonts w:ascii="Times New Roman" w:eastAsia="Calibri" w:hAnsi="Times New Roman" w:cs="Times New Roman"/>
          <w:sz w:val="24"/>
          <w:szCs w:val="24"/>
        </w:rPr>
        <w:t>„</w:t>
      </w:r>
      <w:r w:rsidRPr="00FD4C39">
        <w:rPr>
          <w:rFonts w:ascii="Times New Roman" w:eastAsia="Calibri" w:hAnsi="Times New Roman" w:cs="Times New Roman"/>
          <w:sz w:val="24"/>
          <w:szCs w:val="24"/>
        </w:rPr>
        <w:t>едно гише</w:t>
      </w:r>
      <w:r w:rsidR="00A03123">
        <w:rPr>
          <w:rFonts w:ascii="Times New Roman" w:eastAsia="Calibri" w:hAnsi="Times New Roman" w:cs="Times New Roman"/>
          <w:sz w:val="24"/>
          <w:szCs w:val="24"/>
        </w:rPr>
        <w:t>“</w:t>
      </w:r>
      <w:r w:rsidRPr="00FD4C39">
        <w:rPr>
          <w:rFonts w:ascii="Times New Roman" w:eastAsia="Calibri" w:hAnsi="Times New Roman" w:cs="Times New Roman"/>
          <w:sz w:val="24"/>
          <w:szCs w:val="24"/>
        </w:rPr>
        <w:t xml:space="preserve">. Този процес неминуемо ще окаже влияние и върху дейността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относно усъвършенстване и разширяване на електронните услуги, предоставяни на бизнеса и гражданите от </w:t>
      </w:r>
      <w:r w:rsidR="00FE7018" w:rsidRPr="00FD4C39">
        <w:rPr>
          <w:rFonts w:ascii="Times New Roman" w:eastAsia="Calibri" w:hAnsi="Times New Roman" w:cs="Times New Roman"/>
          <w:sz w:val="24"/>
          <w:szCs w:val="24"/>
        </w:rPr>
        <w:t>КЗЛД</w:t>
      </w:r>
      <w:r w:rsidR="00A31902" w:rsidRPr="00FD4C39">
        <w:rPr>
          <w:rFonts w:ascii="Times New Roman" w:eastAsia="Calibri" w:hAnsi="Times New Roman" w:cs="Times New Roman"/>
          <w:sz w:val="24"/>
          <w:szCs w:val="24"/>
        </w:rPr>
        <w:t xml:space="preserve"> </w:t>
      </w:r>
      <w:r w:rsidRPr="00FD4C39">
        <w:rPr>
          <w:rFonts w:ascii="Times New Roman" w:eastAsia="Calibri" w:hAnsi="Times New Roman" w:cs="Times New Roman"/>
          <w:sz w:val="24"/>
          <w:szCs w:val="24"/>
        </w:rPr>
        <w:t>и интегрирането им с Единния портал за достъп до електронни административни услуги.</w:t>
      </w:r>
    </w:p>
    <w:p w:rsidR="002C69EA" w:rsidRPr="00FD4C39" w:rsidRDefault="00731C73"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При отчитане на натрупания опит в областта на контролната дейност и </w:t>
      </w:r>
      <w:r w:rsidR="00503801" w:rsidRPr="00FD4C39">
        <w:rPr>
          <w:rFonts w:ascii="Times New Roman" w:eastAsia="Calibri" w:hAnsi="Times New Roman" w:cs="Times New Roman"/>
          <w:sz w:val="24"/>
          <w:szCs w:val="24"/>
        </w:rPr>
        <w:t>с цел създаване на условия за еднообразно прилагане на правилата за защита на данните от администратори със сходен предмет на дей</w:t>
      </w:r>
      <w:r w:rsidR="00B21BAA">
        <w:rPr>
          <w:rFonts w:ascii="Times New Roman" w:eastAsia="Calibri" w:hAnsi="Times New Roman" w:cs="Times New Roman"/>
          <w:sz w:val="24"/>
          <w:szCs w:val="24"/>
        </w:rPr>
        <w:t>ност</w:t>
      </w:r>
      <w:r w:rsidR="00503801"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EF364C" w:rsidRPr="00FD4C39">
        <w:rPr>
          <w:rFonts w:ascii="Times New Roman" w:eastAsia="Calibri" w:hAnsi="Times New Roman" w:cs="Times New Roman"/>
          <w:sz w:val="24"/>
          <w:szCs w:val="24"/>
        </w:rPr>
        <w:t xml:space="preserve"> </w:t>
      </w:r>
      <w:r w:rsidR="00B21BAA">
        <w:rPr>
          <w:rFonts w:ascii="Times New Roman" w:eastAsia="Calibri" w:hAnsi="Times New Roman" w:cs="Times New Roman"/>
          <w:sz w:val="24"/>
          <w:szCs w:val="24"/>
        </w:rPr>
        <w:t>залага</w:t>
      </w:r>
      <w:r w:rsidR="00503801" w:rsidRPr="00FD4C39">
        <w:rPr>
          <w:rFonts w:ascii="Times New Roman" w:eastAsia="Calibri" w:hAnsi="Times New Roman" w:cs="Times New Roman"/>
          <w:sz w:val="24"/>
          <w:szCs w:val="24"/>
        </w:rPr>
        <w:t xml:space="preserve"> на промяна в</w:t>
      </w:r>
      <w:r w:rsidR="00EF364C" w:rsidRPr="00FD4C39">
        <w:rPr>
          <w:rFonts w:ascii="Times New Roman" w:eastAsia="Calibri" w:hAnsi="Times New Roman" w:cs="Times New Roman"/>
          <w:sz w:val="24"/>
          <w:szCs w:val="24"/>
        </w:rPr>
        <w:t xml:space="preserve"> подхода за избор на </w:t>
      </w:r>
      <w:r w:rsidR="00FE7018" w:rsidRPr="00FD4C39">
        <w:rPr>
          <w:rFonts w:ascii="Times New Roman" w:eastAsia="Calibri" w:hAnsi="Times New Roman" w:cs="Times New Roman"/>
          <w:sz w:val="24"/>
          <w:szCs w:val="24"/>
        </w:rPr>
        <w:t>АЛД</w:t>
      </w:r>
      <w:r w:rsidR="00A31902" w:rsidRPr="00FD4C39">
        <w:rPr>
          <w:rFonts w:ascii="Times New Roman" w:eastAsia="Calibri" w:hAnsi="Times New Roman" w:cs="Times New Roman"/>
          <w:sz w:val="24"/>
          <w:szCs w:val="24"/>
        </w:rPr>
        <w:t xml:space="preserve"> </w:t>
      </w:r>
      <w:r w:rsidR="00EF364C" w:rsidRPr="00FD4C39">
        <w:rPr>
          <w:rFonts w:ascii="Times New Roman" w:eastAsia="Calibri" w:hAnsi="Times New Roman" w:cs="Times New Roman"/>
          <w:sz w:val="24"/>
          <w:szCs w:val="24"/>
        </w:rPr>
        <w:t>за включване в годишен план за проверки</w:t>
      </w:r>
      <w:r w:rsidR="00B21BAA">
        <w:rPr>
          <w:rFonts w:ascii="Times New Roman" w:eastAsia="Calibri" w:hAnsi="Times New Roman" w:cs="Times New Roman"/>
          <w:sz w:val="24"/>
          <w:szCs w:val="24"/>
        </w:rPr>
        <w:t xml:space="preserve"> и</w:t>
      </w:r>
      <w:r w:rsidR="006418BA" w:rsidRPr="00FD4C39">
        <w:rPr>
          <w:rFonts w:ascii="Times New Roman" w:eastAsia="Calibri" w:hAnsi="Times New Roman" w:cs="Times New Roman"/>
          <w:sz w:val="24"/>
          <w:szCs w:val="24"/>
        </w:rPr>
        <w:t xml:space="preserve"> </w:t>
      </w:r>
      <w:r w:rsidR="00503801" w:rsidRPr="00FD4C39">
        <w:rPr>
          <w:rFonts w:ascii="Times New Roman" w:eastAsia="Calibri" w:hAnsi="Times New Roman" w:cs="Times New Roman"/>
          <w:sz w:val="24"/>
          <w:szCs w:val="24"/>
        </w:rPr>
        <w:t xml:space="preserve">акцентира върху провеждането на секторни проверки. Водещ критерий при дефинирането на </w:t>
      </w:r>
      <w:r w:rsidR="00AD01E5" w:rsidRPr="00FD4C39">
        <w:rPr>
          <w:rFonts w:ascii="Times New Roman" w:eastAsia="Calibri" w:hAnsi="Times New Roman" w:cs="Times New Roman"/>
          <w:sz w:val="24"/>
          <w:szCs w:val="24"/>
        </w:rPr>
        <w:t>с</w:t>
      </w:r>
      <w:r w:rsidR="00EF364C" w:rsidRPr="00FD4C39">
        <w:rPr>
          <w:rFonts w:ascii="Times New Roman" w:eastAsia="Calibri" w:hAnsi="Times New Roman" w:cs="Times New Roman"/>
          <w:sz w:val="24"/>
          <w:szCs w:val="24"/>
        </w:rPr>
        <w:t>ектор</w:t>
      </w:r>
      <w:r w:rsidR="00503801" w:rsidRPr="00FD4C39">
        <w:rPr>
          <w:rFonts w:ascii="Times New Roman" w:eastAsia="Calibri" w:hAnsi="Times New Roman" w:cs="Times New Roman"/>
          <w:sz w:val="24"/>
          <w:szCs w:val="24"/>
        </w:rPr>
        <w:t>ите</w:t>
      </w:r>
      <w:r w:rsidR="00EF364C" w:rsidRPr="00FD4C39">
        <w:rPr>
          <w:rFonts w:ascii="Times New Roman" w:eastAsia="Calibri" w:hAnsi="Times New Roman" w:cs="Times New Roman"/>
          <w:sz w:val="24"/>
          <w:szCs w:val="24"/>
        </w:rPr>
        <w:t xml:space="preserve"> от</w:t>
      </w:r>
      <w:r w:rsidR="009A104C" w:rsidRPr="00FD4C39">
        <w:rPr>
          <w:rFonts w:ascii="Times New Roman" w:eastAsia="Calibri" w:hAnsi="Times New Roman" w:cs="Times New Roman"/>
          <w:sz w:val="24"/>
          <w:szCs w:val="24"/>
        </w:rPr>
        <w:t xml:space="preserve"> обществено-икономическия живот, </w:t>
      </w:r>
      <w:r w:rsidR="00C3594F" w:rsidRPr="00FD4C39">
        <w:rPr>
          <w:rFonts w:ascii="Times New Roman" w:eastAsia="Calibri" w:hAnsi="Times New Roman" w:cs="Times New Roman"/>
          <w:sz w:val="24"/>
          <w:szCs w:val="24"/>
        </w:rPr>
        <w:t xml:space="preserve">които ще </w:t>
      </w:r>
      <w:r w:rsidR="00A31902" w:rsidRPr="00FD4C39">
        <w:rPr>
          <w:rFonts w:ascii="Times New Roman" w:eastAsia="Calibri" w:hAnsi="Times New Roman" w:cs="Times New Roman"/>
          <w:sz w:val="24"/>
          <w:szCs w:val="24"/>
        </w:rPr>
        <w:t>са</w:t>
      </w:r>
      <w:r w:rsidR="00C3594F" w:rsidRPr="00FD4C39">
        <w:rPr>
          <w:rFonts w:ascii="Times New Roman" w:eastAsia="Calibri" w:hAnsi="Times New Roman" w:cs="Times New Roman"/>
          <w:sz w:val="24"/>
          <w:szCs w:val="24"/>
        </w:rPr>
        <w:t xml:space="preserve"> обект на проверка,</w:t>
      </w:r>
      <w:r w:rsidR="00EF364C" w:rsidRPr="00FD4C39">
        <w:rPr>
          <w:rFonts w:ascii="Times New Roman" w:eastAsia="Calibri" w:hAnsi="Times New Roman" w:cs="Times New Roman"/>
          <w:sz w:val="24"/>
          <w:szCs w:val="24"/>
        </w:rPr>
        <w:t xml:space="preserve"> </w:t>
      </w:r>
      <w:r w:rsidR="00A31902" w:rsidRPr="00FD4C39">
        <w:rPr>
          <w:rFonts w:ascii="Times New Roman" w:eastAsia="Calibri" w:hAnsi="Times New Roman" w:cs="Times New Roman"/>
          <w:sz w:val="24"/>
          <w:szCs w:val="24"/>
        </w:rPr>
        <w:t>е</w:t>
      </w:r>
      <w:r w:rsidR="00503801" w:rsidRPr="00FD4C39">
        <w:rPr>
          <w:rFonts w:ascii="Times New Roman" w:eastAsia="Calibri" w:hAnsi="Times New Roman" w:cs="Times New Roman"/>
          <w:sz w:val="24"/>
          <w:szCs w:val="24"/>
        </w:rPr>
        <w:t xml:space="preserve"> </w:t>
      </w:r>
      <w:r w:rsidR="00EF364C" w:rsidRPr="00FD4C39">
        <w:rPr>
          <w:rFonts w:ascii="Times New Roman" w:eastAsia="Calibri" w:hAnsi="Times New Roman" w:cs="Times New Roman"/>
          <w:sz w:val="24"/>
          <w:szCs w:val="24"/>
        </w:rPr>
        <w:t>обработва</w:t>
      </w:r>
      <w:r w:rsidR="00DD1A60" w:rsidRPr="00FD4C39">
        <w:rPr>
          <w:rFonts w:ascii="Times New Roman" w:eastAsia="Calibri" w:hAnsi="Times New Roman" w:cs="Times New Roman"/>
          <w:sz w:val="24"/>
          <w:szCs w:val="24"/>
        </w:rPr>
        <w:t>нето на</w:t>
      </w:r>
      <w:r w:rsidR="00EF364C" w:rsidRPr="00FD4C39">
        <w:rPr>
          <w:rFonts w:ascii="Times New Roman" w:eastAsia="Calibri" w:hAnsi="Times New Roman" w:cs="Times New Roman"/>
          <w:sz w:val="24"/>
          <w:szCs w:val="24"/>
        </w:rPr>
        <w:t xml:space="preserve"> лични данни на изключително голям брой физически лица (например в сектор </w:t>
      </w:r>
      <w:r w:rsidR="004931E5" w:rsidRPr="00FD4C39">
        <w:rPr>
          <w:rFonts w:ascii="Times New Roman" w:eastAsia="Calibri" w:hAnsi="Times New Roman" w:cs="Times New Roman"/>
          <w:sz w:val="24"/>
          <w:szCs w:val="24"/>
        </w:rPr>
        <w:t>„</w:t>
      </w:r>
      <w:r w:rsidR="00B21BAA">
        <w:rPr>
          <w:rFonts w:ascii="Times New Roman" w:eastAsia="Calibri" w:hAnsi="Times New Roman" w:cs="Times New Roman"/>
          <w:sz w:val="24"/>
          <w:szCs w:val="24"/>
        </w:rPr>
        <w:t>Образование“</w:t>
      </w:r>
      <w:r w:rsidR="00EF364C" w:rsidRPr="00FD4C39">
        <w:rPr>
          <w:rFonts w:ascii="Times New Roman" w:eastAsia="Calibri" w:hAnsi="Times New Roman" w:cs="Times New Roman"/>
          <w:sz w:val="24"/>
          <w:szCs w:val="24"/>
        </w:rPr>
        <w:t xml:space="preserve"> и/или </w:t>
      </w:r>
      <w:r w:rsidR="004931E5" w:rsidRPr="00FD4C39">
        <w:rPr>
          <w:rFonts w:ascii="Times New Roman" w:eastAsia="Calibri" w:hAnsi="Times New Roman" w:cs="Times New Roman"/>
          <w:sz w:val="24"/>
          <w:szCs w:val="24"/>
        </w:rPr>
        <w:t>„</w:t>
      </w:r>
      <w:r w:rsidR="00EF364C" w:rsidRPr="00FD4C39">
        <w:rPr>
          <w:rFonts w:ascii="Times New Roman" w:eastAsia="Calibri" w:hAnsi="Times New Roman" w:cs="Times New Roman"/>
          <w:sz w:val="24"/>
          <w:szCs w:val="24"/>
        </w:rPr>
        <w:t>Здравеопазване</w:t>
      </w:r>
      <w:r w:rsidR="00B21BAA">
        <w:rPr>
          <w:rFonts w:ascii="Times New Roman" w:eastAsia="Calibri" w:hAnsi="Times New Roman" w:cs="Times New Roman"/>
          <w:sz w:val="24"/>
          <w:szCs w:val="24"/>
        </w:rPr>
        <w:t>“</w:t>
      </w:r>
      <w:r w:rsidR="00EF364C" w:rsidRPr="00FD4C39">
        <w:rPr>
          <w:rFonts w:ascii="Times New Roman" w:eastAsia="Calibri" w:hAnsi="Times New Roman" w:cs="Times New Roman"/>
          <w:sz w:val="24"/>
          <w:szCs w:val="24"/>
        </w:rPr>
        <w:t>).</w:t>
      </w:r>
    </w:p>
    <w:p w:rsidR="00901150" w:rsidRPr="00FD4C39" w:rsidRDefault="00901150"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 xml:space="preserve">В продължение на политиката си за повишаване на информираността на обществото по проблемите на защитата на данните във фокуса на </w:t>
      </w:r>
      <w:r w:rsidR="00FE7018" w:rsidRPr="00FD4C39">
        <w:rPr>
          <w:rFonts w:ascii="Times New Roman" w:hAnsi="Times New Roman" w:cs="Times New Roman"/>
          <w:sz w:val="24"/>
          <w:szCs w:val="24"/>
        </w:rPr>
        <w:t>КЗЛД</w:t>
      </w:r>
      <w:r w:rsidR="000D3C4E">
        <w:rPr>
          <w:rFonts w:ascii="Times New Roman" w:hAnsi="Times New Roman" w:cs="Times New Roman"/>
          <w:sz w:val="24"/>
          <w:szCs w:val="24"/>
        </w:rPr>
        <w:t xml:space="preserve"> остава</w:t>
      </w:r>
      <w:r w:rsidRPr="00FD4C39">
        <w:rPr>
          <w:rFonts w:ascii="Times New Roman" w:hAnsi="Times New Roman" w:cs="Times New Roman"/>
          <w:sz w:val="24"/>
          <w:szCs w:val="24"/>
        </w:rPr>
        <w:t xml:space="preserve">т уязвими групи в обществото. През предстоящия отчетен период КЗЛД </w:t>
      </w:r>
      <w:r w:rsidR="0033252E" w:rsidRPr="00FD4C39">
        <w:rPr>
          <w:rFonts w:ascii="Times New Roman" w:hAnsi="Times New Roman" w:cs="Times New Roman"/>
          <w:sz w:val="24"/>
          <w:szCs w:val="24"/>
        </w:rPr>
        <w:t xml:space="preserve">ще </w:t>
      </w:r>
      <w:r w:rsidRPr="00FD4C39">
        <w:rPr>
          <w:rFonts w:ascii="Times New Roman" w:hAnsi="Times New Roman" w:cs="Times New Roman"/>
          <w:sz w:val="24"/>
          <w:szCs w:val="24"/>
        </w:rPr>
        <w:t>надгради вече реализираната през 2012</w:t>
      </w:r>
      <w:r w:rsidR="004D42A2">
        <w:rPr>
          <w:rFonts w:ascii="Times New Roman" w:hAnsi="Times New Roman" w:cs="Times New Roman"/>
          <w:sz w:val="24"/>
          <w:szCs w:val="24"/>
        </w:rPr>
        <w:t> г.</w:t>
      </w:r>
      <w:r w:rsidRPr="00FD4C39">
        <w:rPr>
          <w:rFonts w:ascii="Times New Roman" w:hAnsi="Times New Roman" w:cs="Times New Roman"/>
          <w:sz w:val="24"/>
          <w:szCs w:val="24"/>
        </w:rPr>
        <w:t xml:space="preserve"> дейност по отношение защитата на личните данни на децата и подрастващите, като насочи усилията си и към координирано взаимодействие с партньорски институции и заинтересовани страни. Ранната превенция сред уязвими групи от обществото е надеждна гаранция за успешно упражняване на правото на защита на личните данни и недопускане на злоупотреби с него.</w:t>
      </w:r>
    </w:p>
    <w:p w:rsidR="00D42584" w:rsidRPr="00FD4C39" w:rsidRDefault="00D42584"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Във фокуса на вниманиет</w:t>
      </w:r>
      <w:r w:rsidR="000D3C4E">
        <w:rPr>
          <w:rFonts w:ascii="Times New Roman" w:hAnsi="Times New Roman" w:cs="Times New Roman"/>
          <w:sz w:val="24"/>
          <w:szCs w:val="24"/>
        </w:rPr>
        <w:t>о на КЗЛД през 2015</w:t>
      </w:r>
      <w:r w:rsidR="004D42A2">
        <w:rPr>
          <w:rFonts w:ascii="Times New Roman" w:hAnsi="Times New Roman" w:cs="Times New Roman"/>
          <w:sz w:val="24"/>
          <w:szCs w:val="24"/>
        </w:rPr>
        <w:t> г.</w:t>
      </w:r>
      <w:r w:rsidR="000D3C4E">
        <w:rPr>
          <w:rFonts w:ascii="Times New Roman" w:hAnsi="Times New Roman" w:cs="Times New Roman"/>
          <w:sz w:val="24"/>
          <w:szCs w:val="24"/>
        </w:rPr>
        <w:t xml:space="preserve"> е</w:t>
      </w:r>
      <w:r w:rsidRPr="00FD4C39">
        <w:rPr>
          <w:rFonts w:ascii="Times New Roman" w:hAnsi="Times New Roman" w:cs="Times New Roman"/>
          <w:sz w:val="24"/>
          <w:szCs w:val="24"/>
        </w:rPr>
        <w:t xml:space="preserve"> и идентифицираната необходимост от законодателни промени в изборното законодателство</w:t>
      </w:r>
      <w:r w:rsidR="00AB3DDE" w:rsidRPr="00FD4C39">
        <w:rPr>
          <w:rFonts w:ascii="Times New Roman" w:hAnsi="Times New Roman" w:cs="Times New Roman"/>
          <w:sz w:val="24"/>
          <w:szCs w:val="24"/>
        </w:rPr>
        <w:t>,</w:t>
      </w:r>
      <w:r w:rsidRPr="00FD4C39">
        <w:rPr>
          <w:rFonts w:ascii="Times New Roman" w:hAnsi="Times New Roman" w:cs="Times New Roman"/>
          <w:sz w:val="24"/>
          <w:szCs w:val="24"/>
        </w:rPr>
        <w:t xml:space="preserve"> с оглед ясно дефиниране на задълженията на всички субекти в изборния процес и гарантиране на адекватна защита на личните данни на избирателите. </w:t>
      </w:r>
    </w:p>
    <w:p w:rsidR="00AE1DAC" w:rsidRPr="00FD4C39" w:rsidRDefault="004E4BAE"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t xml:space="preserve">С оглед заетите ръководни позиции в органи за защита на данните </w:t>
      </w:r>
      <w:r w:rsidR="00715052" w:rsidRPr="00FD4C39">
        <w:rPr>
          <w:rFonts w:ascii="Times New Roman" w:eastAsia="Calibri" w:hAnsi="Times New Roman" w:cs="Times New Roman"/>
          <w:sz w:val="24"/>
          <w:szCs w:val="24"/>
        </w:rPr>
        <w:t>към</w:t>
      </w:r>
      <w:r w:rsidRPr="00FD4C39">
        <w:rPr>
          <w:rFonts w:ascii="Times New Roman" w:eastAsia="Calibri" w:hAnsi="Times New Roman" w:cs="Times New Roman"/>
          <w:sz w:val="24"/>
          <w:szCs w:val="24"/>
        </w:rPr>
        <w:t xml:space="preserve"> Европейския съюз </w:t>
      </w:r>
      <w:r w:rsidR="00715052" w:rsidRPr="00FD4C39">
        <w:rPr>
          <w:rFonts w:ascii="Times New Roman" w:eastAsia="Calibri" w:hAnsi="Times New Roman" w:cs="Times New Roman"/>
          <w:sz w:val="24"/>
          <w:szCs w:val="24"/>
        </w:rPr>
        <w:t>през 2015</w:t>
      </w:r>
      <w:r w:rsidR="004D42A2">
        <w:rPr>
          <w:rFonts w:ascii="Times New Roman" w:eastAsia="Calibri" w:hAnsi="Times New Roman" w:cs="Times New Roman"/>
          <w:sz w:val="24"/>
          <w:szCs w:val="24"/>
        </w:rPr>
        <w:t> г.</w:t>
      </w:r>
      <w:r w:rsidR="00715052"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ще засили международната си активност на всички нива</w:t>
      </w:r>
      <w:r w:rsidR="00EE180B" w:rsidRPr="00FD4C39">
        <w:rPr>
          <w:rFonts w:ascii="Times New Roman" w:eastAsia="Calibri" w:hAnsi="Times New Roman" w:cs="Times New Roman"/>
          <w:sz w:val="24"/>
          <w:szCs w:val="24"/>
        </w:rPr>
        <w:t xml:space="preserve"> с цел максимален принос в работата на европейските органи за защита на данните</w:t>
      </w:r>
      <w:r w:rsidR="00ED01F6" w:rsidRPr="00FD4C39">
        <w:rPr>
          <w:rFonts w:ascii="Times New Roman" w:eastAsia="Calibri" w:hAnsi="Times New Roman" w:cs="Times New Roman"/>
          <w:sz w:val="24"/>
          <w:szCs w:val="24"/>
        </w:rPr>
        <w:t>,</w:t>
      </w:r>
      <w:r w:rsidR="00DE174B" w:rsidRPr="00FD4C39">
        <w:rPr>
          <w:rFonts w:ascii="Times New Roman" w:eastAsia="Calibri" w:hAnsi="Times New Roman" w:cs="Times New Roman"/>
          <w:sz w:val="24"/>
          <w:szCs w:val="24"/>
        </w:rPr>
        <w:t xml:space="preserve"> формиране на европейските политики</w:t>
      </w:r>
      <w:r w:rsidR="00ED01F6" w:rsidRPr="00FD4C39">
        <w:rPr>
          <w:rFonts w:ascii="Times New Roman" w:eastAsia="Calibri" w:hAnsi="Times New Roman" w:cs="Times New Roman"/>
          <w:sz w:val="24"/>
          <w:szCs w:val="24"/>
        </w:rPr>
        <w:t xml:space="preserve"> и утвърждаване ролята на Република България като</w:t>
      </w:r>
      <w:r w:rsidR="00786CED" w:rsidRPr="00FD4C39">
        <w:rPr>
          <w:rFonts w:ascii="Times New Roman" w:eastAsia="Calibri" w:hAnsi="Times New Roman" w:cs="Times New Roman"/>
          <w:sz w:val="24"/>
          <w:szCs w:val="24"/>
        </w:rPr>
        <w:t xml:space="preserve"> активен </w:t>
      </w:r>
      <w:r w:rsidR="00ED01F6" w:rsidRPr="00FD4C39">
        <w:rPr>
          <w:rFonts w:ascii="Times New Roman" w:eastAsia="Calibri" w:hAnsi="Times New Roman" w:cs="Times New Roman"/>
          <w:sz w:val="24"/>
          <w:szCs w:val="24"/>
        </w:rPr>
        <w:t>член на ЕС.</w:t>
      </w:r>
    </w:p>
    <w:p w:rsidR="004668A0" w:rsidRPr="00FD4C39" w:rsidRDefault="0027784C" w:rsidP="007B189E">
      <w:pPr>
        <w:spacing w:after="0" w:line="360" w:lineRule="auto"/>
        <w:ind w:firstLine="709"/>
        <w:jc w:val="both"/>
        <w:rPr>
          <w:rFonts w:ascii="Times New Roman" w:eastAsia="Calibri" w:hAnsi="Times New Roman" w:cs="Times New Roman"/>
          <w:sz w:val="24"/>
          <w:szCs w:val="24"/>
        </w:rPr>
      </w:pPr>
      <w:r w:rsidRPr="00FD4C39">
        <w:rPr>
          <w:rFonts w:ascii="Times New Roman" w:eastAsia="Calibri" w:hAnsi="Times New Roman" w:cs="Times New Roman"/>
          <w:sz w:val="24"/>
          <w:szCs w:val="24"/>
        </w:rPr>
        <w:lastRenderedPageBreak/>
        <w:t xml:space="preserve">Съществен акцент в работата на </w:t>
      </w:r>
      <w:r w:rsidR="00FE7018" w:rsidRPr="00FD4C39">
        <w:rPr>
          <w:rFonts w:ascii="Times New Roman" w:eastAsia="Calibri" w:hAnsi="Times New Roman" w:cs="Times New Roman"/>
          <w:sz w:val="24"/>
          <w:szCs w:val="24"/>
        </w:rPr>
        <w:t>КЗЛД</w:t>
      </w:r>
      <w:r w:rsidRPr="00FD4C39">
        <w:rPr>
          <w:rFonts w:ascii="Times New Roman" w:eastAsia="Calibri" w:hAnsi="Times New Roman" w:cs="Times New Roman"/>
          <w:sz w:val="24"/>
          <w:szCs w:val="24"/>
        </w:rPr>
        <w:t xml:space="preserve"> в международен план </w:t>
      </w:r>
      <w:r w:rsidR="00ED01F6" w:rsidRPr="00FD4C39">
        <w:rPr>
          <w:rFonts w:ascii="Times New Roman" w:eastAsia="Calibri" w:hAnsi="Times New Roman" w:cs="Times New Roman"/>
          <w:sz w:val="24"/>
          <w:szCs w:val="24"/>
        </w:rPr>
        <w:t>о</w:t>
      </w:r>
      <w:r w:rsidR="00F831BF" w:rsidRPr="00FD4C39">
        <w:rPr>
          <w:rFonts w:ascii="Times New Roman" w:eastAsia="Calibri" w:hAnsi="Times New Roman" w:cs="Times New Roman"/>
          <w:sz w:val="24"/>
          <w:szCs w:val="24"/>
        </w:rPr>
        <w:t>ста</w:t>
      </w:r>
      <w:r w:rsidR="00ED01F6" w:rsidRPr="00FD4C39">
        <w:rPr>
          <w:rFonts w:ascii="Times New Roman" w:eastAsia="Calibri" w:hAnsi="Times New Roman" w:cs="Times New Roman"/>
          <w:sz w:val="24"/>
          <w:szCs w:val="24"/>
        </w:rPr>
        <w:t>ва</w:t>
      </w:r>
      <w:r w:rsidRPr="00FD4C39">
        <w:rPr>
          <w:rFonts w:ascii="Times New Roman" w:eastAsia="Calibri" w:hAnsi="Times New Roman" w:cs="Times New Roman"/>
          <w:sz w:val="24"/>
          <w:szCs w:val="24"/>
        </w:rPr>
        <w:t xml:space="preserve"> подготовка</w:t>
      </w:r>
      <w:r w:rsidR="00A300CF" w:rsidRPr="00FD4C39">
        <w:rPr>
          <w:rFonts w:ascii="Times New Roman" w:eastAsia="Calibri" w:hAnsi="Times New Roman" w:cs="Times New Roman"/>
          <w:sz w:val="24"/>
          <w:szCs w:val="24"/>
        </w:rPr>
        <w:t>та</w:t>
      </w:r>
      <w:r w:rsidR="00FE6846" w:rsidRPr="00FD4C39">
        <w:rPr>
          <w:rFonts w:ascii="Times New Roman" w:eastAsia="Calibri" w:hAnsi="Times New Roman" w:cs="Times New Roman"/>
          <w:sz w:val="24"/>
          <w:szCs w:val="24"/>
        </w:rPr>
        <w:t xml:space="preserve"> на институцията за прилагане на новата правна рамка по защита на личните данни, която след</w:t>
      </w:r>
      <w:r w:rsidR="000D3C4E">
        <w:rPr>
          <w:rFonts w:ascii="Times New Roman" w:eastAsia="Calibri" w:hAnsi="Times New Roman" w:cs="Times New Roman"/>
          <w:sz w:val="24"/>
          <w:szCs w:val="24"/>
        </w:rPr>
        <w:t xml:space="preserve"> тригодишна дискусия</w:t>
      </w:r>
      <w:r w:rsidR="00FE6846" w:rsidRPr="00FD4C39">
        <w:rPr>
          <w:rFonts w:ascii="Times New Roman" w:eastAsia="Calibri" w:hAnsi="Times New Roman" w:cs="Times New Roman"/>
          <w:sz w:val="24"/>
          <w:szCs w:val="24"/>
        </w:rPr>
        <w:t xml:space="preserve"> е във финалния си етап. </w:t>
      </w:r>
      <w:r w:rsidR="0020347D" w:rsidRPr="00FD4C39">
        <w:rPr>
          <w:rFonts w:ascii="Times New Roman" w:eastAsia="Calibri" w:hAnsi="Times New Roman" w:cs="Times New Roman"/>
          <w:sz w:val="24"/>
          <w:szCs w:val="24"/>
        </w:rPr>
        <w:t>И през 2015</w:t>
      </w:r>
      <w:r w:rsidR="004D42A2">
        <w:rPr>
          <w:rFonts w:ascii="Times New Roman" w:eastAsia="Calibri" w:hAnsi="Times New Roman" w:cs="Times New Roman"/>
          <w:sz w:val="24"/>
          <w:szCs w:val="24"/>
        </w:rPr>
        <w:t> г.</w:t>
      </w:r>
      <w:r w:rsidR="0020347D" w:rsidRPr="00FD4C39">
        <w:rPr>
          <w:rFonts w:ascii="Times New Roman" w:eastAsia="Calibri" w:hAnsi="Times New Roman" w:cs="Times New Roman"/>
          <w:sz w:val="24"/>
          <w:szCs w:val="24"/>
        </w:rPr>
        <w:t xml:space="preserve"> о</w:t>
      </w:r>
      <w:r w:rsidR="0078443F" w:rsidRPr="00FD4C39">
        <w:rPr>
          <w:rFonts w:ascii="Times New Roman" w:eastAsia="Calibri" w:hAnsi="Times New Roman" w:cs="Times New Roman"/>
          <w:sz w:val="24"/>
          <w:szCs w:val="24"/>
        </w:rPr>
        <w:t>сновни</w:t>
      </w:r>
      <w:r w:rsidR="00CE24B7" w:rsidRPr="00FD4C39">
        <w:rPr>
          <w:rFonts w:ascii="Times New Roman" w:eastAsia="Calibri" w:hAnsi="Times New Roman" w:cs="Times New Roman"/>
          <w:sz w:val="24"/>
          <w:szCs w:val="24"/>
        </w:rPr>
        <w:t>те</w:t>
      </w:r>
      <w:r w:rsidR="0078443F" w:rsidRPr="00FD4C39">
        <w:rPr>
          <w:rFonts w:ascii="Times New Roman" w:eastAsia="Calibri" w:hAnsi="Times New Roman" w:cs="Times New Roman"/>
          <w:sz w:val="24"/>
          <w:szCs w:val="24"/>
        </w:rPr>
        <w:t xml:space="preserve"> усилия ще бъдат насочени към създаване на необходимите предпоставки за въвеждане на новите европейс</w:t>
      </w:r>
      <w:r w:rsidR="000D3C4E">
        <w:rPr>
          <w:rFonts w:ascii="Times New Roman" w:eastAsia="Calibri" w:hAnsi="Times New Roman" w:cs="Times New Roman"/>
          <w:sz w:val="24"/>
          <w:szCs w:val="24"/>
        </w:rPr>
        <w:t>ки изисквания в национален план</w:t>
      </w:r>
      <w:r w:rsidR="0078443F" w:rsidRPr="00FD4C39">
        <w:rPr>
          <w:rFonts w:ascii="Times New Roman" w:eastAsia="Calibri" w:hAnsi="Times New Roman" w:cs="Times New Roman"/>
          <w:sz w:val="24"/>
          <w:szCs w:val="24"/>
        </w:rPr>
        <w:t xml:space="preserve"> както по отношение широк кръг от </w:t>
      </w:r>
      <w:r w:rsidR="00D21C02" w:rsidRPr="00FD4C39">
        <w:rPr>
          <w:rFonts w:ascii="Times New Roman" w:eastAsia="Calibri" w:hAnsi="Times New Roman" w:cs="Times New Roman"/>
          <w:sz w:val="24"/>
          <w:szCs w:val="24"/>
        </w:rPr>
        <w:t>АЛД</w:t>
      </w:r>
      <w:r w:rsidR="0078443F" w:rsidRPr="00FD4C39">
        <w:rPr>
          <w:rFonts w:ascii="Times New Roman" w:eastAsia="Calibri" w:hAnsi="Times New Roman" w:cs="Times New Roman"/>
          <w:sz w:val="24"/>
          <w:szCs w:val="24"/>
        </w:rPr>
        <w:t>, така и спрямо специфични сектори на д</w:t>
      </w:r>
      <w:r w:rsidR="00F831BF" w:rsidRPr="00FD4C39">
        <w:rPr>
          <w:rFonts w:ascii="Times New Roman" w:eastAsia="Calibri" w:hAnsi="Times New Roman" w:cs="Times New Roman"/>
          <w:sz w:val="24"/>
          <w:szCs w:val="24"/>
        </w:rPr>
        <w:t xml:space="preserve">ейност, каквито са областите </w:t>
      </w:r>
      <w:r w:rsidR="000D3C4E">
        <w:rPr>
          <w:rFonts w:ascii="Times New Roman" w:eastAsia="Calibri" w:hAnsi="Times New Roman" w:cs="Times New Roman"/>
          <w:sz w:val="24"/>
          <w:szCs w:val="24"/>
        </w:rPr>
        <w:t>„П</w:t>
      </w:r>
      <w:r w:rsidR="0078443F" w:rsidRPr="00FD4C39">
        <w:rPr>
          <w:rFonts w:ascii="Times New Roman" w:eastAsia="Calibri" w:hAnsi="Times New Roman" w:cs="Times New Roman"/>
          <w:sz w:val="24"/>
          <w:szCs w:val="24"/>
        </w:rPr>
        <w:t>олиция</w:t>
      </w:r>
      <w:r w:rsidR="000D3C4E">
        <w:rPr>
          <w:rFonts w:ascii="Times New Roman" w:eastAsia="Calibri" w:hAnsi="Times New Roman" w:cs="Times New Roman"/>
          <w:sz w:val="24"/>
          <w:szCs w:val="24"/>
        </w:rPr>
        <w:t>“</w:t>
      </w:r>
      <w:r w:rsidR="0078443F" w:rsidRPr="00FD4C39">
        <w:rPr>
          <w:rFonts w:ascii="Times New Roman" w:eastAsia="Calibri" w:hAnsi="Times New Roman" w:cs="Times New Roman"/>
          <w:sz w:val="24"/>
          <w:szCs w:val="24"/>
        </w:rPr>
        <w:t xml:space="preserve"> и </w:t>
      </w:r>
      <w:r w:rsidR="000D3C4E">
        <w:rPr>
          <w:rFonts w:ascii="Times New Roman" w:eastAsia="Calibri" w:hAnsi="Times New Roman" w:cs="Times New Roman"/>
          <w:sz w:val="24"/>
          <w:szCs w:val="24"/>
        </w:rPr>
        <w:t>„П</w:t>
      </w:r>
      <w:r w:rsidR="0078443F" w:rsidRPr="00FD4C39">
        <w:rPr>
          <w:rFonts w:ascii="Times New Roman" w:eastAsia="Calibri" w:hAnsi="Times New Roman" w:cs="Times New Roman"/>
          <w:sz w:val="24"/>
          <w:szCs w:val="24"/>
        </w:rPr>
        <w:t>равосъдие</w:t>
      </w:r>
      <w:r w:rsidR="000D3C4E">
        <w:rPr>
          <w:rFonts w:ascii="Times New Roman" w:eastAsia="Calibri" w:hAnsi="Times New Roman" w:cs="Times New Roman"/>
          <w:sz w:val="24"/>
          <w:szCs w:val="24"/>
        </w:rPr>
        <w:t>“</w:t>
      </w:r>
      <w:r w:rsidR="0078443F" w:rsidRPr="00FD4C39">
        <w:rPr>
          <w:rFonts w:ascii="Times New Roman" w:eastAsia="Calibri" w:hAnsi="Times New Roman" w:cs="Times New Roman"/>
          <w:sz w:val="24"/>
          <w:szCs w:val="24"/>
        </w:rPr>
        <w:t xml:space="preserve">. </w:t>
      </w:r>
      <w:r w:rsidR="0020347D" w:rsidRPr="00FD4C39">
        <w:rPr>
          <w:rFonts w:ascii="Times New Roman" w:eastAsia="Calibri" w:hAnsi="Times New Roman" w:cs="Times New Roman"/>
          <w:sz w:val="24"/>
          <w:szCs w:val="24"/>
        </w:rPr>
        <w:t>Важен</w:t>
      </w:r>
      <w:r w:rsidR="0078443F" w:rsidRPr="00FD4C39">
        <w:rPr>
          <w:rFonts w:ascii="Times New Roman" w:eastAsia="Calibri" w:hAnsi="Times New Roman" w:cs="Times New Roman"/>
          <w:sz w:val="24"/>
          <w:szCs w:val="24"/>
        </w:rPr>
        <w:t xml:space="preserve"> фактор за </w:t>
      </w:r>
      <w:r w:rsidR="000B699F" w:rsidRPr="00FD4C39">
        <w:rPr>
          <w:rFonts w:ascii="Times New Roman" w:eastAsia="Calibri" w:hAnsi="Times New Roman" w:cs="Times New Roman"/>
          <w:sz w:val="24"/>
          <w:szCs w:val="24"/>
        </w:rPr>
        <w:t xml:space="preserve">успешната подготовка на страната за </w:t>
      </w:r>
      <w:r w:rsidR="00ED01F6" w:rsidRPr="00FD4C39">
        <w:rPr>
          <w:rFonts w:ascii="Times New Roman" w:eastAsia="Calibri" w:hAnsi="Times New Roman" w:cs="Times New Roman"/>
          <w:sz w:val="24"/>
          <w:szCs w:val="24"/>
        </w:rPr>
        <w:t xml:space="preserve">въвеждане на </w:t>
      </w:r>
      <w:r w:rsidR="000B699F" w:rsidRPr="00FD4C39">
        <w:rPr>
          <w:rFonts w:ascii="Times New Roman" w:eastAsia="Calibri" w:hAnsi="Times New Roman" w:cs="Times New Roman"/>
          <w:sz w:val="24"/>
          <w:szCs w:val="24"/>
        </w:rPr>
        <w:t xml:space="preserve">новите завишени стандарти за защита на личните данни е повишаването на професионалната подготовка и специализирана експертиза на </w:t>
      </w:r>
      <w:r w:rsidR="00777E15" w:rsidRPr="00FD4C39">
        <w:rPr>
          <w:rFonts w:ascii="Times New Roman" w:eastAsia="Calibri" w:hAnsi="Times New Roman" w:cs="Times New Roman"/>
          <w:sz w:val="24"/>
          <w:szCs w:val="24"/>
        </w:rPr>
        <w:t>а</w:t>
      </w:r>
      <w:r w:rsidR="000B699F" w:rsidRPr="00FD4C39">
        <w:rPr>
          <w:rFonts w:ascii="Times New Roman" w:eastAsia="Calibri" w:hAnsi="Times New Roman" w:cs="Times New Roman"/>
          <w:sz w:val="24"/>
          <w:szCs w:val="24"/>
        </w:rPr>
        <w:t>дминистрация</w:t>
      </w:r>
      <w:r w:rsidR="00C1683C" w:rsidRPr="00FD4C39">
        <w:rPr>
          <w:rFonts w:ascii="Times New Roman" w:eastAsia="Calibri" w:hAnsi="Times New Roman" w:cs="Times New Roman"/>
          <w:sz w:val="24"/>
          <w:szCs w:val="24"/>
        </w:rPr>
        <w:t>та</w:t>
      </w:r>
      <w:r w:rsidR="000B699F" w:rsidRPr="00FD4C39">
        <w:rPr>
          <w:rFonts w:ascii="Times New Roman" w:eastAsia="Calibri" w:hAnsi="Times New Roman" w:cs="Times New Roman"/>
          <w:sz w:val="24"/>
          <w:szCs w:val="24"/>
        </w:rPr>
        <w:t xml:space="preserve"> на </w:t>
      </w:r>
      <w:r w:rsidR="00FE7018" w:rsidRPr="00FD4C39">
        <w:rPr>
          <w:rFonts w:ascii="Times New Roman" w:eastAsia="Calibri" w:hAnsi="Times New Roman" w:cs="Times New Roman"/>
          <w:sz w:val="24"/>
          <w:szCs w:val="24"/>
        </w:rPr>
        <w:t>КЗЛД</w:t>
      </w:r>
      <w:r w:rsidR="0020347D" w:rsidRPr="00FD4C39">
        <w:rPr>
          <w:rFonts w:ascii="Times New Roman" w:eastAsia="Calibri" w:hAnsi="Times New Roman" w:cs="Times New Roman"/>
          <w:sz w:val="24"/>
          <w:szCs w:val="24"/>
        </w:rPr>
        <w:t>.</w:t>
      </w:r>
      <w:r w:rsidR="000B699F" w:rsidRPr="00FD4C39">
        <w:rPr>
          <w:rFonts w:ascii="Times New Roman" w:eastAsia="Calibri" w:hAnsi="Times New Roman" w:cs="Times New Roman"/>
          <w:sz w:val="24"/>
          <w:szCs w:val="24"/>
        </w:rPr>
        <w:t xml:space="preserve"> </w:t>
      </w:r>
      <w:r w:rsidR="00FE7018" w:rsidRPr="00FD4C39">
        <w:rPr>
          <w:rFonts w:ascii="Times New Roman" w:eastAsia="Calibri" w:hAnsi="Times New Roman" w:cs="Times New Roman"/>
          <w:sz w:val="24"/>
          <w:szCs w:val="24"/>
        </w:rPr>
        <w:t>КЗЛД</w:t>
      </w:r>
      <w:r w:rsidR="009D4D3B" w:rsidRPr="00FD4C39">
        <w:rPr>
          <w:rFonts w:ascii="Times New Roman" w:eastAsia="Calibri" w:hAnsi="Times New Roman" w:cs="Times New Roman"/>
          <w:sz w:val="24"/>
          <w:szCs w:val="24"/>
        </w:rPr>
        <w:t xml:space="preserve"> ще продължи да инвестира в тази сфера. </w:t>
      </w:r>
    </w:p>
    <w:p w:rsidR="004668A0" w:rsidRPr="00FD4C39" w:rsidRDefault="00EB5264" w:rsidP="007B189E">
      <w:pPr>
        <w:spacing w:after="0" w:line="360" w:lineRule="auto"/>
        <w:ind w:firstLine="709"/>
        <w:jc w:val="both"/>
        <w:rPr>
          <w:rFonts w:ascii="Times New Roman" w:eastAsia="Calibri" w:hAnsi="Times New Roman" w:cs="Times New Roman"/>
          <w:sz w:val="24"/>
          <w:szCs w:val="24"/>
        </w:rPr>
      </w:pPr>
      <w:r w:rsidRPr="00FD4C39">
        <w:rPr>
          <w:rFonts w:ascii="Times New Roman" w:hAnsi="Times New Roman" w:cs="Times New Roman"/>
          <w:sz w:val="24"/>
          <w:szCs w:val="24"/>
        </w:rPr>
        <w:t>Друг п</w:t>
      </w:r>
      <w:r w:rsidR="00697772" w:rsidRPr="00FD4C39">
        <w:rPr>
          <w:rFonts w:ascii="Times New Roman" w:hAnsi="Times New Roman" w:cs="Times New Roman"/>
          <w:sz w:val="24"/>
          <w:szCs w:val="24"/>
        </w:rPr>
        <w:t>риоритет</w:t>
      </w:r>
      <w:r w:rsidRPr="00FD4C39">
        <w:rPr>
          <w:rFonts w:ascii="Times New Roman" w:hAnsi="Times New Roman" w:cs="Times New Roman"/>
          <w:sz w:val="24"/>
          <w:szCs w:val="24"/>
        </w:rPr>
        <w:t xml:space="preserve">, свързан с предстоящия финал на европейската реформа, </w:t>
      </w:r>
      <w:r w:rsidR="00191B53" w:rsidRPr="00FD4C39">
        <w:rPr>
          <w:rFonts w:ascii="Times New Roman" w:hAnsi="Times New Roman" w:cs="Times New Roman"/>
          <w:sz w:val="24"/>
          <w:szCs w:val="24"/>
        </w:rPr>
        <w:t xml:space="preserve">който остава актуален в дневния ред на </w:t>
      </w:r>
      <w:r w:rsidR="00FE7018" w:rsidRPr="00FD4C39">
        <w:rPr>
          <w:rFonts w:ascii="Times New Roman" w:hAnsi="Times New Roman" w:cs="Times New Roman"/>
          <w:sz w:val="24"/>
          <w:szCs w:val="24"/>
        </w:rPr>
        <w:t>КЗЛД</w:t>
      </w:r>
      <w:r w:rsidR="00B449D9" w:rsidRPr="00FD4C39">
        <w:rPr>
          <w:rFonts w:ascii="Times New Roman" w:hAnsi="Times New Roman" w:cs="Times New Roman"/>
          <w:sz w:val="24"/>
          <w:szCs w:val="24"/>
        </w:rPr>
        <w:t>,</w:t>
      </w:r>
      <w:r w:rsidR="00191B53" w:rsidRPr="00FD4C39">
        <w:rPr>
          <w:rFonts w:ascii="Times New Roman" w:hAnsi="Times New Roman" w:cs="Times New Roman"/>
          <w:sz w:val="24"/>
          <w:szCs w:val="24"/>
        </w:rPr>
        <w:t xml:space="preserve"> е </w:t>
      </w:r>
      <w:r w:rsidR="004668A0" w:rsidRPr="00FD4C39">
        <w:rPr>
          <w:rFonts w:ascii="Times New Roman" w:hAnsi="Times New Roman" w:cs="Times New Roman"/>
          <w:sz w:val="24"/>
          <w:szCs w:val="24"/>
        </w:rPr>
        <w:t>въвеждането в българ</w:t>
      </w:r>
      <w:r w:rsidR="00191B53" w:rsidRPr="00FD4C39">
        <w:rPr>
          <w:rFonts w:ascii="Times New Roman" w:hAnsi="Times New Roman" w:cs="Times New Roman"/>
          <w:sz w:val="24"/>
          <w:szCs w:val="24"/>
        </w:rPr>
        <w:t xml:space="preserve">ското законодателство на новата </w:t>
      </w:r>
      <w:r w:rsidR="004668A0" w:rsidRPr="00FD4C39">
        <w:rPr>
          <w:rFonts w:ascii="Times New Roman" w:hAnsi="Times New Roman" w:cs="Times New Roman"/>
          <w:sz w:val="24"/>
          <w:szCs w:val="24"/>
        </w:rPr>
        <w:t>фигура</w:t>
      </w:r>
      <w:r w:rsidR="004D42A2">
        <w:rPr>
          <w:rFonts w:ascii="Times New Roman" w:hAnsi="Times New Roman" w:cs="Times New Roman"/>
          <w:sz w:val="24"/>
          <w:szCs w:val="24"/>
        </w:rPr>
        <w:t xml:space="preserve"> – </w:t>
      </w:r>
      <w:r w:rsidR="004668A0" w:rsidRPr="00FD4C39">
        <w:rPr>
          <w:rFonts w:ascii="Times New Roman" w:hAnsi="Times New Roman" w:cs="Times New Roman"/>
          <w:sz w:val="24"/>
          <w:szCs w:val="24"/>
        </w:rPr>
        <w:t>служител по защита на данните</w:t>
      </w:r>
      <w:r w:rsidR="00A300CF" w:rsidRPr="00FD4C39">
        <w:rPr>
          <w:rFonts w:ascii="Times New Roman" w:hAnsi="Times New Roman" w:cs="Times New Roman"/>
          <w:sz w:val="24"/>
          <w:szCs w:val="24"/>
        </w:rPr>
        <w:t>, респ.</w:t>
      </w:r>
      <w:r w:rsidR="004668A0" w:rsidRPr="00FD4C39">
        <w:rPr>
          <w:rFonts w:ascii="Times New Roman" w:hAnsi="Times New Roman" w:cs="Times New Roman"/>
          <w:sz w:val="24"/>
          <w:szCs w:val="24"/>
        </w:rPr>
        <w:t xml:space="preserve"> провеждането на обучение </w:t>
      </w:r>
      <w:r w:rsidR="00A300CF" w:rsidRPr="00FD4C39">
        <w:rPr>
          <w:rFonts w:ascii="Times New Roman" w:hAnsi="Times New Roman" w:cs="Times New Roman"/>
          <w:sz w:val="24"/>
          <w:szCs w:val="24"/>
        </w:rPr>
        <w:t>на тези лица от страна на КЗЛД</w:t>
      </w:r>
      <w:r w:rsidR="004668A0" w:rsidRPr="00FD4C39">
        <w:rPr>
          <w:rFonts w:ascii="Times New Roman" w:hAnsi="Times New Roman" w:cs="Times New Roman"/>
          <w:sz w:val="24"/>
          <w:szCs w:val="24"/>
        </w:rPr>
        <w:t xml:space="preserve">. </w:t>
      </w:r>
      <w:r w:rsidR="00A300CF" w:rsidRPr="00FD4C39">
        <w:rPr>
          <w:rFonts w:ascii="Times New Roman" w:hAnsi="Times New Roman" w:cs="Times New Roman"/>
          <w:sz w:val="24"/>
          <w:szCs w:val="24"/>
        </w:rPr>
        <w:t>Задължителното в</w:t>
      </w:r>
      <w:r w:rsidR="008303A1" w:rsidRPr="00FD4C39">
        <w:rPr>
          <w:rFonts w:ascii="Times New Roman" w:hAnsi="Times New Roman" w:cs="Times New Roman"/>
          <w:sz w:val="24"/>
          <w:szCs w:val="24"/>
        </w:rPr>
        <w:t>ъвеждане на та</w:t>
      </w:r>
      <w:r w:rsidR="00A300CF" w:rsidRPr="00FD4C39">
        <w:rPr>
          <w:rFonts w:ascii="Times New Roman" w:hAnsi="Times New Roman" w:cs="Times New Roman"/>
          <w:sz w:val="24"/>
          <w:szCs w:val="24"/>
        </w:rPr>
        <w:t xml:space="preserve">зи фигура </w:t>
      </w:r>
      <w:r w:rsidR="00CF7D49" w:rsidRPr="00FD4C39">
        <w:rPr>
          <w:rFonts w:ascii="Times New Roman" w:hAnsi="Times New Roman" w:cs="Times New Roman"/>
          <w:sz w:val="24"/>
          <w:szCs w:val="24"/>
        </w:rPr>
        <w:t>ще</w:t>
      </w:r>
      <w:r w:rsidR="008303A1" w:rsidRPr="00FD4C39">
        <w:rPr>
          <w:rFonts w:ascii="Times New Roman" w:hAnsi="Times New Roman" w:cs="Times New Roman"/>
          <w:sz w:val="24"/>
          <w:szCs w:val="24"/>
        </w:rPr>
        <w:t xml:space="preserve"> </w:t>
      </w:r>
      <w:r w:rsidR="00CF7D49" w:rsidRPr="00FD4C39">
        <w:rPr>
          <w:rFonts w:ascii="Times New Roman" w:hAnsi="Times New Roman" w:cs="Times New Roman"/>
          <w:sz w:val="24"/>
          <w:szCs w:val="24"/>
        </w:rPr>
        <w:t>укрепи значително</w:t>
      </w:r>
      <w:r w:rsidR="0007513D" w:rsidRPr="00FD4C39">
        <w:rPr>
          <w:rFonts w:ascii="Times New Roman" w:hAnsi="Times New Roman" w:cs="Times New Roman"/>
          <w:sz w:val="24"/>
          <w:szCs w:val="24"/>
        </w:rPr>
        <w:t xml:space="preserve"> правото на защита на личните данни</w:t>
      </w:r>
      <w:r w:rsidR="008F0EF2" w:rsidRPr="00FD4C39">
        <w:rPr>
          <w:rFonts w:ascii="Times New Roman" w:hAnsi="Times New Roman" w:cs="Times New Roman"/>
          <w:sz w:val="24"/>
          <w:szCs w:val="24"/>
        </w:rPr>
        <w:t xml:space="preserve"> и ще допринесе за пълноценното </w:t>
      </w:r>
      <w:r w:rsidR="0007513D" w:rsidRPr="00FD4C39">
        <w:rPr>
          <w:rFonts w:ascii="Times New Roman" w:hAnsi="Times New Roman" w:cs="Times New Roman"/>
          <w:sz w:val="24"/>
          <w:szCs w:val="24"/>
        </w:rPr>
        <w:t>функциониране на системата за защита на личните данни</w:t>
      </w:r>
      <w:r w:rsidR="008F0EF2" w:rsidRPr="00FD4C39">
        <w:rPr>
          <w:rFonts w:ascii="Times New Roman" w:hAnsi="Times New Roman" w:cs="Times New Roman"/>
          <w:sz w:val="24"/>
          <w:szCs w:val="24"/>
        </w:rPr>
        <w:t xml:space="preserve"> в Република България</w:t>
      </w:r>
      <w:r w:rsidR="0007513D" w:rsidRPr="00FD4C39">
        <w:rPr>
          <w:rFonts w:ascii="Times New Roman" w:hAnsi="Times New Roman" w:cs="Times New Roman"/>
          <w:sz w:val="24"/>
          <w:szCs w:val="24"/>
        </w:rPr>
        <w:t xml:space="preserve">. </w:t>
      </w:r>
    </w:p>
    <w:p w:rsidR="0027784C" w:rsidRPr="00FD4C39" w:rsidRDefault="00FE7018" w:rsidP="007B189E">
      <w:pPr>
        <w:spacing w:after="0" w:line="360" w:lineRule="auto"/>
        <w:ind w:firstLine="709"/>
        <w:jc w:val="both"/>
        <w:rPr>
          <w:rFonts w:ascii="Times New Roman" w:hAnsi="Times New Roman" w:cs="Times New Roman"/>
          <w:sz w:val="24"/>
          <w:szCs w:val="24"/>
        </w:rPr>
      </w:pPr>
      <w:r w:rsidRPr="00FD4C39">
        <w:rPr>
          <w:rFonts w:ascii="Times New Roman" w:hAnsi="Times New Roman" w:cs="Times New Roman"/>
          <w:sz w:val="24"/>
          <w:szCs w:val="24"/>
        </w:rPr>
        <w:t>КЗЛД</w:t>
      </w:r>
      <w:r w:rsidR="00A227D6" w:rsidRPr="00FD4C39">
        <w:rPr>
          <w:rFonts w:ascii="Times New Roman" w:hAnsi="Times New Roman" w:cs="Times New Roman"/>
          <w:sz w:val="24"/>
          <w:szCs w:val="24"/>
        </w:rPr>
        <w:t xml:space="preserve"> </w:t>
      </w:r>
      <w:r w:rsidR="0027784C" w:rsidRPr="00FD4C39">
        <w:rPr>
          <w:rFonts w:ascii="Times New Roman" w:hAnsi="Times New Roman" w:cs="Times New Roman"/>
          <w:sz w:val="24"/>
          <w:szCs w:val="24"/>
        </w:rPr>
        <w:t xml:space="preserve">ще продължи да осъществява активни действия </w:t>
      </w:r>
      <w:r w:rsidR="007B4BE2" w:rsidRPr="00FD4C39">
        <w:rPr>
          <w:rFonts w:ascii="Times New Roman" w:hAnsi="Times New Roman" w:cs="Times New Roman"/>
          <w:sz w:val="24"/>
          <w:szCs w:val="24"/>
        </w:rPr>
        <w:t xml:space="preserve">и </w:t>
      </w:r>
      <w:r w:rsidR="0027784C" w:rsidRPr="00FD4C39">
        <w:rPr>
          <w:rFonts w:ascii="Times New Roman" w:hAnsi="Times New Roman" w:cs="Times New Roman"/>
          <w:sz w:val="24"/>
          <w:szCs w:val="24"/>
        </w:rPr>
        <w:t xml:space="preserve">с оглед </w:t>
      </w:r>
      <w:r w:rsidR="00D63317" w:rsidRPr="00FD4C39">
        <w:rPr>
          <w:rFonts w:ascii="Times New Roman" w:hAnsi="Times New Roman" w:cs="Times New Roman"/>
          <w:sz w:val="24"/>
          <w:szCs w:val="24"/>
        </w:rPr>
        <w:t>реализиране на приоритета на Република България</w:t>
      </w:r>
      <w:r w:rsidR="004D42A2">
        <w:rPr>
          <w:rFonts w:ascii="Times New Roman" w:hAnsi="Times New Roman" w:cs="Times New Roman"/>
          <w:sz w:val="24"/>
          <w:szCs w:val="24"/>
        </w:rPr>
        <w:t xml:space="preserve"> – </w:t>
      </w:r>
      <w:r w:rsidR="00D63317" w:rsidRPr="00FD4C39">
        <w:rPr>
          <w:rFonts w:ascii="Times New Roman" w:hAnsi="Times New Roman" w:cs="Times New Roman"/>
          <w:sz w:val="24"/>
          <w:szCs w:val="24"/>
        </w:rPr>
        <w:t>пълно присъединяване към Шенгенското пространств</w:t>
      </w:r>
      <w:r w:rsidR="007B4BE2" w:rsidRPr="00FD4C39">
        <w:rPr>
          <w:rFonts w:ascii="Times New Roman" w:hAnsi="Times New Roman" w:cs="Times New Roman"/>
          <w:sz w:val="24"/>
          <w:szCs w:val="24"/>
        </w:rPr>
        <w:t>о</w:t>
      </w:r>
      <w:r w:rsidR="00D63317" w:rsidRPr="00FD4C39">
        <w:rPr>
          <w:rFonts w:ascii="Times New Roman" w:hAnsi="Times New Roman" w:cs="Times New Roman"/>
          <w:sz w:val="24"/>
          <w:szCs w:val="24"/>
        </w:rPr>
        <w:t xml:space="preserve">. </w:t>
      </w:r>
    </w:p>
    <w:p w:rsidR="007B0056" w:rsidRPr="00FD4C39" w:rsidRDefault="007B0056" w:rsidP="007B189E">
      <w:pPr>
        <w:spacing w:after="0" w:line="360" w:lineRule="auto"/>
        <w:ind w:firstLine="709"/>
        <w:jc w:val="both"/>
        <w:rPr>
          <w:rFonts w:ascii="Times New Roman" w:eastAsia="Calibri" w:hAnsi="Times New Roman" w:cs="Times New Roman"/>
          <w:sz w:val="24"/>
          <w:szCs w:val="24"/>
        </w:rPr>
      </w:pPr>
    </w:p>
    <w:p w:rsidR="002E5DCF" w:rsidRPr="00FD4C39" w:rsidRDefault="002E5DCF">
      <w:pPr>
        <w:rPr>
          <w:rFonts w:ascii="Times New Roman" w:eastAsia="Calibri" w:hAnsi="Times New Roman" w:cs="Times New Roman"/>
          <w:sz w:val="24"/>
          <w:szCs w:val="24"/>
        </w:rPr>
      </w:pPr>
      <w:r w:rsidRPr="00FD4C39">
        <w:rPr>
          <w:rFonts w:ascii="Times New Roman" w:eastAsia="Calibri" w:hAnsi="Times New Roman" w:cs="Times New Roman"/>
          <w:sz w:val="24"/>
          <w:szCs w:val="24"/>
        </w:rPr>
        <w:br w:type="page"/>
      </w:r>
    </w:p>
    <w:p w:rsidR="002D4140" w:rsidRPr="00FD4C39" w:rsidRDefault="002D4140" w:rsidP="002E5DCF">
      <w:pPr>
        <w:tabs>
          <w:tab w:val="left" w:pos="708"/>
        </w:tabs>
        <w:spacing w:after="0" w:line="360" w:lineRule="auto"/>
        <w:ind w:firstLine="709"/>
        <w:jc w:val="both"/>
        <w:rPr>
          <w:rFonts w:ascii="Times New Roman" w:hAnsi="Times New Roman"/>
          <w:b/>
          <w:bCs/>
          <w:sz w:val="28"/>
          <w:szCs w:val="28"/>
        </w:rPr>
      </w:pPr>
    </w:p>
    <w:p w:rsidR="0022013E" w:rsidRPr="00FD4C39" w:rsidRDefault="0022013E" w:rsidP="0022013E">
      <w:pPr>
        <w:tabs>
          <w:tab w:val="left" w:pos="708"/>
        </w:tabs>
        <w:spacing w:after="0" w:line="360" w:lineRule="auto"/>
        <w:ind w:firstLine="709"/>
        <w:jc w:val="both"/>
        <w:rPr>
          <w:rFonts w:ascii="Times New Roman" w:hAnsi="Times New Roman"/>
          <w:b/>
          <w:bCs/>
          <w:sz w:val="28"/>
          <w:szCs w:val="28"/>
        </w:rPr>
      </w:pPr>
      <w:r w:rsidRPr="00FD4C39">
        <w:rPr>
          <w:rFonts w:ascii="Times New Roman" w:hAnsi="Times New Roman"/>
          <w:b/>
          <w:bCs/>
          <w:sz w:val="28"/>
          <w:szCs w:val="28"/>
        </w:rPr>
        <w:t>Годишният отчет на Комисията за защита на личните данни за дейността й през 2014</w:t>
      </w:r>
      <w:r w:rsidR="004D42A2">
        <w:rPr>
          <w:rFonts w:ascii="Times New Roman" w:hAnsi="Times New Roman"/>
          <w:b/>
          <w:bCs/>
          <w:sz w:val="28"/>
          <w:szCs w:val="28"/>
        </w:rPr>
        <w:t> г.</w:t>
      </w:r>
      <w:r w:rsidRPr="00FD4C39">
        <w:rPr>
          <w:rFonts w:ascii="Times New Roman" w:hAnsi="Times New Roman"/>
          <w:b/>
          <w:bCs/>
          <w:sz w:val="28"/>
          <w:szCs w:val="28"/>
        </w:rPr>
        <w:t xml:space="preserve"> е приет с решение на Комисията на заседание, проведено на 2</w:t>
      </w:r>
      <w:r w:rsidR="006E61FC" w:rsidRPr="00FD4C39">
        <w:rPr>
          <w:rFonts w:ascii="Times New Roman" w:hAnsi="Times New Roman"/>
          <w:b/>
          <w:bCs/>
          <w:sz w:val="28"/>
          <w:szCs w:val="28"/>
        </w:rPr>
        <w:t>2</w:t>
      </w:r>
      <w:r w:rsidRPr="00FD4C39">
        <w:rPr>
          <w:rFonts w:ascii="Times New Roman" w:hAnsi="Times New Roman"/>
          <w:b/>
          <w:bCs/>
          <w:sz w:val="28"/>
          <w:szCs w:val="28"/>
        </w:rPr>
        <w:t xml:space="preserve"> януари 2015</w:t>
      </w:r>
      <w:r w:rsidR="004D42A2">
        <w:rPr>
          <w:rFonts w:ascii="Times New Roman" w:hAnsi="Times New Roman"/>
          <w:b/>
          <w:bCs/>
          <w:sz w:val="28"/>
          <w:szCs w:val="28"/>
        </w:rPr>
        <w:t> г.</w:t>
      </w:r>
      <w:r w:rsidRPr="00FD4C39">
        <w:rPr>
          <w:rFonts w:ascii="Times New Roman" w:hAnsi="Times New Roman"/>
          <w:b/>
          <w:bCs/>
          <w:sz w:val="28"/>
          <w:szCs w:val="28"/>
        </w:rPr>
        <w:t xml:space="preserve"> (Протокол № 4).</w:t>
      </w:r>
    </w:p>
    <w:p w:rsidR="0022013E" w:rsidRPr="00FD4C39" w:rsidRDefault="0022013E" w:rsidP="002E5DCF">
      <w:pPr>
        <w:tabs>
          <w:tab w:val="left" w:pos="708"/>
        </w:tabs>
        <w:spacing w:after="0" w:line="360" w:lineRule="auto"/>
        <w:ind w:firstLine="709"/>
        <w:jc w:val="both"/>
        <w:rPr>
          <w:rFonts w:ascii="Times New Roman" w:hAnsi="Times New Roman"/>
          <w:b/>
          <w:bCs/>
          <w:sz w:val="28"/>
          <w:szCs w:val="28"/>
        </w:rPr>
      </w:pPr>
    </w:p>
    <w:p w:rsidR="002D4140" w:rsidRPr="00FD4C39" w:rsidRDefault="002D4140" w:rsidP="002E5DCF">
      <w:pPr>
        <w:tabs>
          <w:tab w:val="left" w:pos="708"/>
        </w:tabs>
        <w:spacing w:after="0" w:line="360" w:lineRule="auto"/>
        <w:ind w:firstLine="709"/>
        <w:jc w:val="both"/>
        <w:rPr>
          <w:rFonts w:ascii="Times New Roman" w:hAnsi="Times New Roman"/>
          <w:b/>
          <w:bCs/>
          <w:sz w:val="28"/>
          <w:szCs w:val="28"/>
        </w:rPr>
      </w:pPr>
    </w:p>
    <w:p w:rsidR="002E5DCF" w:rsidRPr="00FD4C39" w:rsidRDefault="002E5DCF" w:rsidP="002E5DCF">
      <w:pPr>
        <w:tabs>
          <w:tab w:val="left" w:pos="708"/>
        </w:tabs>
        <w:spacing w:after="0" w:line="360" w:lineRule="auto"/>
        <w:ind w:firstLine="709"/>
        <w:rPr>
          <w:rFonts w:ascii="Times New Roman" w:hAnsi="Times New Roman"/>
          <w:b/>
          <w:bCs/>
          <w:sz w:val="28"/>
          <w:szCs w:val="28"/>
        </w:rPr>
      </w:pPr>
    </w:p>
    <w:p w:rsidR="002E5DCF" w:rsidRPr="00FD4C39" w:rsidRDefault="002E5DCF" w:rsidP="002E5DCF">
      <w:pPr>
        <w:tabs>
          <w:tab w:val="left" w:pos="708"/>
        </w:tabs>
        <w:spacing w:after="0" w:line="360" w:lineRule="auto"/>
        <w:ind w:firstLine="709"/>
        <w:rPr>
          <w:rFonts w:ascii="Times New Roman" w:hAnsi="Times New Roman"/>
          <w:b/>
          <w:bCs/>
          <w:sz w:val="28"/>
          <w:szCs w:val="28"/>
        </w:rPr>
      </w:pPr>
    </w:p>
    <w:p w:rsidR="002E5DCF" w:rsidRPr="00FD4C39" w:rsidRDefault="002E5DCF" w:rsidP="00410DAF">
      <w:pPr>
        <w:tabs>
          <w:tab w:val="left" w:pos="5245"/>
        </w:tabs>
        <w:spacing w:line="360" w:lineRule="auto"/>
        <w:ind w:firstLine="709"/>
        <w:rPr>
          <w:rFonts w:ascii="Times New Roman" w:hAnsi="Times New Roman"/>
          <w:b/>
          <w:sz w:val="28"/>
          <w:szCs w:val="28"/>
        </w:rPr>
      </w:pPr>
      <w:r w:rsidRPr="00FD4C39">
        <w:rPr>
          <w:rFonts w:ascii="Times New Roman" w:hAnsi="Times New Roman"/>
          <w:b/>
          <w:sz w:val="28"/>
          <w:szCs w:val="28"/>
        </w:rPr>
        <w:t>ПРЕДСЕДАТЕЛ:</w:t>
      </w:r>
      <w:r w:rsidR="00410DAF">
        <w:rPr>
          <w:rFonts w:ascii="Times New Roman" w:hAnsi="Times New Roman"/>
          <w:b/>
          <w:sz w:val="28"/>
          <w:szCs w:val="28"/>
        </w:rPr>
        <w:tab/>
      </w:r>
      <w:r w:rsidRPr="00FD4C39">
        <w:rPr>
          <w:rFonts w:ascii="Times New Roman" w:hAnsi="Times New Roman"/>
          <w:b/>
          <w:sz w:val="28"/>
          <w:szCs w:val="28"/>
        </w:rPr>
        <w:t>ЧЛЕНОВЕ:</w:t>
      </w:r>
    </w:p>
    <w:p w:rsidR="002E5DCF" w:rsidRPr="00FD4C39" w:rsidRDefault="002E5DCF" w:rsidP="00410DAF">
      <w:pPr>
        <w:tabs>
          <w:tab w:val="left" w:pos="1276"/>
          <w:tab w:val="left" w:pos="5812"/>
        </w:tabs>
        <w:spacing w:line="360" w:lineRule="auto"/>
        <w:ind w:firstLine="709"/>
        <w:rPr>
          <w:rFonts w:ascii="Times New Roman" w:hAnsi="Times New Roman"/>
          <w:b/>
          <w:sz w:val="28"/>
          <w:szCs w:val="28"/>
        </w:rPr>
      </w:pPr>
      <w:r w:rsidRPr="00FD4C39">
        <w:rPr>
          <w:rFonts w:ascii="Times New Roman" w:hAnsi="Times New Roman"/>
          <w:b/>
          <w:sz w:val="28"/>
          <w:szCs w:val="28"/>
        </w:rPr>
        <w:tab/>
        <w:t>Ве</w:t>
      </w:r>
      <w:r w:rsidR="008470A0">
        <w:rPr>
          <w:rFonts w:ascii="Times New Roman" w:hAnsi="Times New Roman"/>
          <w:b/>
          <w:sz w:val="28"/>
          <w:szCs w:val="28"/>
        </w:rPr>
        <w:t xml:space="preserve">нцислав Караджов </w:t>
      </w:r>
      <w:r w:rsidR="00410DAF">
        <w:rPr>
          <w:rFonts w:ascii="Times New Roman" w:hAnsi="Times New Roman"/>
          <w:b/>
          <w:sz w:val="28"/>
          <w:szCs w:val="28"/>
        </w:rPr>
        <w:t xml:space="preserve"> /п/</w:t>
      </w:r>
      <w:r w:rsidR="00410DAF">
        <w:rPr>
          <w:rFonts w:ascii="Times New Roman" w:hAnsi="Times New Roman"/>
          <w:b/>
          <w:sz w:val="28"/>
          <w:szCs w:val="28"/>
        </w:rPr>
        <w:tab/>
      </w:r>
      <w:r w:rsidR="008470A0">
        <w:rPr>
          <w:rFonts w:ascii="Times New Roman" w:hAnsi="Times New Roman"/>
          <w:b/>
          <w:sz w:val="28"/>
          <w:szCs w:val="28"/>
        </w:rPr>
        <w:t xml:space="preserve">Цанко Цолов </w:t>
      </w:r>
      <w:r w:rsidR="006C4779">
        <w:rPr>
          <w:rFonts w:ascii="Times New Roman" w:hAnsi="Times New Roman"/>
          <w:b/>
          <w:sz w:val="28"/>
          <w:szCs w:val="28"/>
        </w:rPr>
        <w:t xml:space="preserve"> </w:t>
      </w:r>
      <w:r w:rsidR="00410DAF">
        <w:rPr>
          <w:rFonts w:ascii="Times New Roman" w:hAnsi="Times New Roman"/>
          <w:b/>
          <w:sz w:val="28"/>
          <w:szCs w:val="28"/>
        </w:rPr>
        <w:t>/п/</w:t>
      </w:r>
    </w:p>
    <w:p w:rsidR="002E5DCF" w:rsidRPr="00FD4C39" w:rsidRDefault="008470A0" w:rsidP="00410DAF">
      <w:pPr>
        <w:spacing w:line="360" w:lineRule="auto"/>
        <w:ind w:firstLine="5812"/>
        <w:rPr>
          <w:rFonts w:ascii="Times New Roman" w:hAnsi="Times New Roman"/>
          <w:b/>
          <w:sz w:val="28"/>
          <w:szCs w:val="28"/>
        </w:rPr>
      </w:pPr>
      <w:r>
        <w:rPr>
          <w:rFonts w:ascii="Times New Roman" w:hAnsi="Times New Roman"/>
          <w:b/>
          <w:sz w:val="28"/>
          <w:szCs w:val="28"/>
        </w:rPr>
        <w:t xml:space="preserve">Цветелин </w:t>
      </w:r>
      <w:proofErr w:type="spellStart"/>
      <w:r>
        <w:rPr>
          <w:rFonts w:ascii="Times New Roman" w:hAnsi="Times New Roman"/>
          <w:b/>
          <w:sz w:val="28"/>
          <w:szCs w:val="28"/>
        </w:rPr>
        <w:t>Софрониев</w:t>
      </w:r>
      <w:proofErr w:type="spellEnd"/>
      <w:r>
        <w:rPr>
          <w:rFonts w:ascii="Times New Roman" w:hAnsi="Times New Roman"/>
          <w:b/>
          <w:sz w:val="28"/>
          <w:szCs w:val="28"/>
        </w:rPr>
        <w:t xml:space="preserve"> </w:t>
      </w:r>
      <w:r w:rsidR="006C4779">
        <w:rPr>
          <w:rFonts w:ascii="Times New Roman" w:hAnsi="Times New Roman"/>
          <w:b/>
          <w:sz w:val="28"/>
          <w:szCs w:val="28"/>
        </w:rPr>
        <w:t xml:space="preserve"> </w:t>
      </w:r>
      <w:r w:rsidR="00410DAF">
        <w:rPr>
          <w:rFonts w:ascii="Times New Roman" w:hAnsi="Times New Roman"/>
          <w:b/>
          <w:sz w:val="28"/>
          <w:szCs w:val="28"/>
        </w:rPr>
        <w:t>/п/</w:t>
      </w:r>
    </w:p>
    <w:p w:rsidR="002E5DCF" w:rsidRPr="00FD4C39" w:rsidRDefault="008470A0" w:rsidP="00410DAF">
      <w:pPr>
        <w:spacing w:line="360" w:lineRule="auto"/>
        <w:ind w:firstLine="5812"/>
        <w:rPr>
          <w:rFonts w:ascii="Times New Roman" w:hAnsi="Times New Roman"/>
          <w:b/>
          <w:sz w:val="28"/>
          <w:szCs w:val="28"/>
        </w:rPr>
      </w:pPr>
      <w:r>
        <w:rPr>
          <w:rFonts w:ascii="Times New Roman" w:hAnsi="Times New Roman"/>
          <w:b/>
          <w:sz w:val="28"/>
          <w:szCs w:val="28"/>
        </w:rPr>
        <w:t xml:space="preserve">Мария Матева </w:t>
      </w:r>
      <w:r w:rsidR="00410DAF">
        <w:rPr>
          <w:rFonts w:ascii="Times New Roman" w:hAnsi="Times New Roman"/>
          <w:b/>
          <w:sz w:val="28"/>
          <w:szCs w:val="28"/>
        </w:rPr>
        <w:t xml:space="preserve"> /п</w:t>
      </w:r>
    </w:p>
    <w:p w:rsidR="002E5DCF" w:rsidRPr="00FD4C39" w:rsidRDefault="008470A0" w:rsidP="00410DAF">
      <w:pPr>
        <w:spacing w:line="360" w:lineRule="auto"/>
        <w:ind w:firstLine="5812"/>
        <w:jc w:val="both"/>
        <w:rPr>
          <w:rFonts w:ascii="Times New Roman" w:hAnsi="Times New Roman"/>
          <w:sz w:val="28"/>
          <w:szCs w:val="28"/>
        </w:rPr>
      </w:pPr>
      <w:r>
        <w:rPr>
          <w:rFonts w:ascii="Times New Roman" w:hAnsi="Times New Roman"/>
          <w:b/>
          <w:sz w:val="28"/>
          <w:szCs w:val="28"/>
        </w:rPr>
        <w:t xml:space="preserve">Веселин Целков </w:t>
      </w:r>
      <w:r w:rsidR="006C4779">
        <w:rPr>
          <w:rFonts w:ascii="Times New Roman" w:hAnsi="Times New Roman"/>
          <w:b/>
          <w:sz w:val="28"/>
          <w:szCs w:val="28"/>
        </w:rPr>
        <w:t xml:space="preserve"> </w:t>
      </w:r>
      <w:r w:rsidR="00410DAF">
        <w:rPr>
          <w:rFonts w:ascii="Times New Roman" w:hAnsi="Times New Roman"/>
          <w:b/>
          <w:sz w:val="28"/>
          <w:szCs w:val="28"/>
        </w:rPr>
        <w:t>/п/</w:t>
      </w:r>
    </w:p>
    <w:p w:rsidR="002E5DCF" w:rsidRPr="00FD4C39" w:rsidRDefault="002E5DCF" w:rsidP="007B189E">
      <w:pPr>
        <w:spacing w:after="0" w:line="360" w:lineRule="auto"/>
        <w:ind w:firstLine="709"/>
        <w:jc w:val="both"/>
        <w:rPr>
          <w:rFonts w:ascii="Times New Roman" w:eastAsia="Calibri" w:hAnsi="Times New Roman" w:cs="Times New Roman"/>
          <w:sz w:val="24"/>
          <w:szCs w:val="24"/>
        </w:rPr>
      </w:pPr>
    </w:p>
    <w:sectPr w:rsidR="002E5DCF" w:rsidRPr="00FD4C39" w:rsidSect="00131BC2">
      <w:footerReference w:type="default" r:id="rId22"/>
      <w:pgSz w:w="11907" w:h="16840" w:code="9"/>
      <w:pgMar w:top="1418" w:right="1134" w:bottom="1418" w:left="1701" w:header="680"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8CD21" w15:done="0"/>
  <w15:commentEx w15:paraId="07522B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6C" w:rsidRDefault="00A51D6C" w:rsidP="00B779FA">
      <w:pPr>
        <w:spacing w:after="0" w:line="240" w:lineRule="auto"/>
      </w:pPr>
      <w:r>
        <w:separator/>
      </w:r>
    </w:p>
  </w:endnote>
  <w:endnote w:type="continuationSeparator" w:id="0">
    <w:p w:rsidR="00A51D6C" w:rsidRDefault="00A51D6C" w:rsidP="00B7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97595"/>
      <w:docPartObj>
        <w:docPartGallery w:val="Page Numbers (Bottom of Page)"/>
        <w:docPartUnique/>
      </w:docPartObj>
    </w:sdtPr>
    <w:sdtEndPr>
      <w:rPr>
        <w:noProof/>
      </w:rPr>
    </w:sdtEndPr>
    <w:sdtContent>
      <w:p w:rsidR="004A6E93" w:rsidRDefault="004A6E93">
        <w:pPr>
          <w:pStyle w:val="Footer"/>
          <w:jc w:val="right"/>
        </w:pPr>
        <w:r>
          <w:fldChar w:fldCharType="begin"/>
        </w:r>
        <w:r>
          <w:instrText xml:space="preserve"> PAGE   \* MERGEFORMAT </w:instrText>
        </w:r>
        <w:r>
          <w:fldChar w:fldCharType="separate"/>
        </w:r>
        <w:r w:rsidR="0073247A">
          <w:rPr>
            <w:noProof/>
          </w:rPr>
          <w:t>102</w:t>
        </w:r>
        <w:r>
          <w:rPr>
            <w:noProof/>
          </w:rPr>
          <w:fldChar w:fldCharType="end"/>
        </w:r>
      </w:p>
    </w:sdtContent>
  </w:sdt>
  <w:p w:rsidR="004A6E93" w:rsidRDefault="004A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6C" w:rsidRDefault="00A51D6C" w:rsidP="00B779FA">
      <w:pPr>
        <w:spacing w:after="0" w:line="240" w:lineRule="auto"/>
      </w:pPr>
      <w:r>
        <w:separator/>
      </w:r>
    </w:p>
  </w:footnote>
  <w:footnote w:type="continuationSeparator" w:id="0">
    <w:p w:rsidR="00A51D6C" w:rsidRDefault="00A51D6C" w:rsidP="00B779FA">
      <w:pPr>
        <w:spacing w:after="0" w:line="240" w:lineRule="auto"/>
      </w:pPr>
      <w:r>
        <w:continuationSeparator/>
      </w:r>
    </w:p>
  </w:footnote>
  <w:footnote w:id="1">
    <w:p w:rsidR="004A6E93" w:rsidRDefault="004A6E93" w:rsidP="00A473BF">
      <w:pPr>
        <w:pStyle w:val="FootnoteText"/>
        <w:jc w:val="both"/>
      </w:pPr>
      <w:r>
        <w:rPr>
          <w:rStyle w:val="FootnoteReference"/>
        </w:rPr>
        <w:footnoteRef/>
      </w:r>
      <w:r>
        <w:t xml:space="preserve"> </w:t>
      </w:r>
      <w:r w:rsidRPr="000B664A">
        <w:rPr>
          <w:rFonts w:ascii="Times New Roman" w:hAnsi="Times New Roman"/>
          <w:sz w:val="18"/>
          <w:szCs w:val="18"/>
        </w:rPr>
        <w:t xml:space="preserve">Списък от дружества на територията на САЩ, които приемат да спазват и прилагат </w:t>
      </w:r>
      <w:r w:rsidRPr="000B664A">
        <w:rPr>
          <w:rStyle w:val="FontStyle17"/>
          <w:sz w:val="18"/>
          <w:szCs w:val="18"/>
        </w:rPr>
        <w:t xml:space="preserve">решение на ЕК </w:t>
      </w:r>
      <w:r w:rsidRPr="000B664A">
        <w:rPr>
          <w:rFonts w:ascii="Times New Roman" w:hAnsi="Times New Roman"/>
          <w:sz w:val="18"/>
          <w:szCs w:val="18"/>
        </w:rPr>
        <w:t>№ </w:t>
      </w:r>
      <w:r w:rsidRPr="000B664A">
        <w:rPr>
          <w:rStyle w:val="FontStyle17"/>
          <w:sz w:val="18"/>
          <w:szCs w:val="18"/>
        </w:rPr>
        <w:t xml:space="preserve">2000/520/ ЕО </w:t>
      </w:r>
      <w:r w:rsidRPr="000B664A">
        <w:rPr>
          <w:rFonts w:ascii="Times New Roman" w:hAnsi="Times New Roman"/>
          <w:sz w:val="18"/>
          <w:szCs w:val="18"/>
        </w:rPr>
        <w:t xml:space="preserve">от 26.07.2000 г. </w:t>
      </w:r>
      <w:r w:rsidRPr="000B664A">
        <w:rPr>
          <w:rStyle w:val="FontStyle17"/>
          <w:sz w:val="18"/>
          <w:szCs w:val="18"/>
        </w:rPr>
        <w:t>относно адекватността на защитата, гарантирана от принципите за „сфера на неприкосновеност на личния живот и свързаните с това често задавани въпроси</w:t>
      </w:r>
      <w:r>
        <w:rPr>
          <w:rStyle w:val="FontStyle17"/>
          <w:sz w:val="18"/>
          <w:szCs w:val="18"/>
        </w:rPr>
        <w:t>“</w:t>
      </w:r>
      <w:r w:rsidRPr="000B664A">
        <w:rPr>
          <w:rStyle w:val="FontStyle17"/>
          <w:sz w:val="18"/>
          <w:szCs w:val="18"/>
        </w:rPr>
        <w:t>. Списъкът е публикуван на интернет страницата на Департамента по търговия на САЩ и периодично се актуализира.</w:t>
      </w:r>
    </w:p>
  </w:footnote>
  <w:footnote w:id="2">
    <w:p w:rsidR="004A6E93" w:rsidRDefault="004A6E93">
      <w:pPr>
        <w:pStyle w:val="FootnoteText"/>
      </w:pPr>
      <w:r>
        <w:rPr>
          <w:rStyle w:val="FootnoteReference"/>
        </w:rPr>
        <w:footnoteRef/>
      </w:r>
      <w:r>
        <w:t xml:space="preserve"> </w:t>
      </w:r>
      <w:r w:rsidRPr="003C140A">
        <w:rPr>
          <w:rFonts w:ascii="Times New Roman" w:hAnsi="Times New Roman"/>
        </w:rPr>
        <w:t xml:space="preserve">Решение на </w:t>
      </w:r>
      <w:r>
        <w:rPr>
          <w:rFonts w:ascii="Times New Roman" w:hAnsi="Times New Roman"/>
        </w:rPr>
        <w:t>С</w:t>
      </w:r>
      <w:r w:rsidRPr="003C140A">
        <w:rPr>
          <w:rFonts w:ascii="Times New Roman" w:hAnsi="Times New Roman"/>
        </w:rPr>
        <w:t>ъда (голям състав) по съединени дела C</w:t>
      </w:r>
      <w:r w:rsidRPr="003C140A">
        <w:rPr>
          <w:rFonts w:ascii="Times New Roman" w:hAnsi="Times New Roman"/>
        </w:rPr>
        <w:noBreakHyphen/>
        <w:t>293/12 и C</w:t>
      </w:r>
      <w:r w:rsidRPr="003C140A">
        <w:rPr>
          <w:rFonts w:ascii="Times New Roman" w:hAnsi="Times New Roman"/>
        </w:rPr>
        <w:noBreakHyphen/>
        <w:t>594/12</w:t>
      </w:r>
      <w:r>
        <w:rPr>
          <w:rFonts w:ascii="Times New Roman" w:hAnsi="Times New Roman"/>
        </w:rPr>
        <w:t xml:space="preserve"> от 8 април 2014 г.</w:t>
      </w:r>
    </w:p>
  </w:footnote>
  <w:footnote w:id="3">
    <w:p w:rsidR="004A6E93" w:rsidRPr="003E2113" w:rsidRDefault="004A6E93" w:rsidP="003E2113">
      <w:pPr>
        <w:jc w:val="both"/>
        <w:rPr>
          <w:rFonts w:ascii="Times New Roman" w:hAnsi="Times New Roman" w:cs="Times New Roman"/>
          <w:sz w:val="20"/>
          <w:szCs w:val="20"/>
        </w:rPr>
      </w:pPr>
      <w:r>
        <w:rPr>
          <w:rStyle w:val="FootnoteReference"/>
        </w:rPr>
        <w:footnoteRef/>
      </w:r>
      <w:r>
        <w:rPr>
          <w:rFonts w:ascii="Times New Roman" w:hAnsi="Times New Roman" w:cs="Times New Roman"/>
          <w:sz w:val="28"/>
          <w:szCs w:val="28"/>
        </w:rPr>
        <w:t xml:space="preserve"> </w:t>
      </w:r>
      <w:r w:rsidRPr="003E2113">
        <w:rPr>
          <w:rFonts w:ascii="Times New Roman" w:hAnsi="Times New Roman" w:cs="Times New Roman"/>
          <w:sz w:val="20"/>
          <w:szCs w:val="20"/>
        </w:rPr>
        <w:t>Делегиран акт е</w:t>
      </w:r>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правно</w:t>
      </w:r>
      <w:r w:rsidRPr="003E2113">
        <w:rPr>
          <w:rFonts w:ascii="Times New Roman" w:hAnsi="Times New Roman" w:cs="Times New Roman"/>
          <w:sz w:val="20"/>
          <w:szCs w:val="20"/>
        </w:rPr>
        <w:t>обвързващ</w:t>
      </w:r>
      <w:proofErr w:type="spellEnd"/>
      <w:r w:rsidRPr="003E2113">
        <w:rPr>
          <w:rFonts w:ascii="Times New Roman" w:hAnsi="Times New Roman" w:cs="Times New Roman"/>
          <w:sz w:val="20"/>
          <w:szCs w:val="20"/>
        </w:rPr>
        <w:t xml:space="preserve"> акт на Европейската комисия, с който се допълват или изменят несъществени елементи от определен законодателен акт. Делегираните актове могат да се приемат под формата на регламенти, директиви и решения. </w:t>
      </w:r>
    </w:p>
    <w:p w:rsidR="004A6E93" w:rsidRDefault="004A6E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9F0"/>
    <w:multiLevelType w:val="hybridMultilevel"/>
    <w:tmpl w:val="B7829932"/>
    <w:lvl w:ilvl="0" w:tplc="87CE54F8">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87CE54F8">
      <w:start w:val="3"/>
      <w:numFmt w:val="bullet"/>
      <w:lvlText w:val="-"/>
      <w:lvlJc w:val="left"/>
      <w:pPr>
        <w:ind w:left="2880" w:hanging="360"/>
      </w:pPr>
      <w:rPr>
        <w:rFonts w:ascii="Times New Roman" w:eastAsia="Calibri" w:hAnsi="Times New Roman" w:cs="Times New Roman"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A785C7A"/>
    <w:multiLevelType w:val="hybridMultilevel"/>
    <w:tmpl w:val="1E88BB80"/>
    <w:lvl w:ilvl="0" w:tplc="87CE54F8">
      <w:start w:val="3"/>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1495785"/>
    <w:multiLevelType w:val="hybridMultilevel"/>
    <w:tmpl w:val="B6849F08"/>
    <w:lvl w:ilvl="0" w:tplc="87CE54F8">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32113C3"/>
    <w:multiLevelType w:val="hybridMultilevel"/>
    <w:tmpl w:val="90801A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87CE54F8">
      <w:start w:val="3"/>
      <w:numFmt w:val="bullet"/>
      <w:lvlText w:val="-"/>
      <w:lvlJc w:val="left"/>
      <w:pPr>
        <w:ind w:left="2629" w:hanging="360"/>
      </w:pPr>
      <w:rPr>
        <w:rFonts w:ascii="Times New Roman" w:eastAsia="Calibri" w:hAnsi="Times New Roman" w:cs="Times New Roman"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3E74C08"/>
    <w:multiLevelType w:val="hybridMultilevel"/>
    <w:tmpl w:val="0AE0B80C"/>
    <w:lvl w:ilvl="0" w:tplc="87CE54F8">
      <w:start w:val="3"/>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40F3223"/>
    <w:multiLevelType w:val="hybridMultilevel"/>
    <w:tmpl w:val="00D6677A"/>
    <w:lvl w:ilvl="0" w:tplc="87CE54F8">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9B6640"/>
    <w:multiLevelType w:val="hybridMultilevel"/>
    <w:tmpl w:val="C72EE174"/>
    <w:lvl w:ilvl="0" w:tplc="87CE54F8">
      <w:start w:val="3"/>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197F538C"/>
    <w:multiLevelType w:val="hybridMultilevel"/>
    <w:tmpl w:val="749861FE"/>
    <w:lvl w:ilvl="0" w:tplc="3D381768">
      <w:start w:val="1"/>
      <w:numFmt w:val="decimal"/>
      <w:suff w:val="space"/>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9C371CF"/>
    <w:multiLevelType w:val="hybridMultilevel"/>
    <w:tmpl w:val="CC5A1058"/>
    <w:lvl w:ilvl="0" w:tplc="87CE54F8">
      <w:start w:val="3"/>
      <w:numFmt w:val="bullet"/>
      <w:lvlText w:val="-"/>
      <w:lvlJc w:val="left"/>
      <w:pPr>
        <w:ind w:left="1631" w:hanging="360"/>
      </w:pPr>
      <w:rPr>
        <w:rFonts w:ascii="Times New Roman" w:eastAsia="Calibri" w:hAnsi="Times New Roman" w:cs="Times New Roman"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9">
    <w:nsid w:val="19EC369C"/>
    <w:multiLevelType w:val="hybridMultilevel"/>
    <w:tmpl w:val="5FEA0288"/>
    <w:lvl w:ilvl="0" w:tplc="87CE54F8">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B734726"/>
    <w:multiLevelType w:val="hybridMultilevel"/>
    <w:tmpl w:val="D11E07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C7E4A00"/>
    <w:multiLevelType w:val="hybridMultilevel"/>
    <w:tmpl w:val="4D0C5148"/>
    <w:lvl w:ilvl="0" w:tplc="87CE54F8">
      <w:start w:val="3"/>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C9525AB"/>
    <w:multiLevelType w:val="hybridMultilevel"/>
    <w:tmpl w:val="58A6470E"/>
    <w:lvl w:ilvl="0" w:tplc="04020001">
      <w:start w:val="1"/>
      <w:numFmt w:val="bullet"/>
      <w:lvlText w:val=""/>
      <w:lvlJc w:val="left"/>
      <w:pPr>
        <w:ind w:left="1495" w:hanging="360"/>
      </w:pPr>
      <w:rPr>
        <w:rFonts w:ascii="Symbol" w:hAnsi="Symbol" w:hint="default"/>
      </w:rPr>
    </w:lvl>
    <w:lvl w:ilvl="1" w:tplc="04020003">
      <w:start w:val="1"/>
      <w:numFmt w:val="bullet"/>
      <w:lvlText w:val="o"/>
      <w:lvlJc w:val="left"/>
      <w:pPr>
        <w:ind w:left="2215" w:hanging="360"/>
      </w:pPr>
      <w:rPr>
        <w:rFonts w:ascii="Courier New" w:hAnsi="Courier New" w:cs="Courier New" w:hint="default"/>
      </w:rPr>
    </w:lvl>
    <w:lvl w:ilvl="2" w:tplc="04020005">
      <w:start w:val="1"/>
      <w:numFmt w:val="bullet"/>
      <w:lvlText w:val=""/>
      <w:lvlJc w:val="left"/>
      <w:pPr>
        <w:ind w:left="2935" w:hanging="360"/>
      </w:pPr>
      <w:rPr>
        <w:rFonts w:ascii="Wingdings" w:hAnsi="Wingdings" w:hint="default"/>
      </w:rPr>
    </w:lvl>
    <w:lvl w:ilvl="3" w:tplc="04020001">
      <w:start w:val="1"/>
      <w:numFmt w:val="bullet"/>
      <w:lvlText w:val=""/>
      <w:lvlJc w:val="left"/>
      <w:pPr>
        <w:ind w:left="3655" w:hanging="360"/>
      </w:pPr>
      <w:rPr>
        <w:rFonts w:ascii="Symbol" w:hAnsi="Symbol" w:hint="default"/>
      </w:rPr>
    </w:lvl>
    <w:lvl w:ilvl="4" w:tplc="04020003">
      <w:start w:val="1"/>
      <w:numFmt w:val="bullet"/>
      <w:lvlText w:val="o"/>
      <w:lvlJc w:val="left"/>
      <w:pPr>
        <w:ind w:left="4375" w:hanging="360"/>
      </w:pPr>
      <w:rPr>
        <w:rFonts w:ascii="Courier New" w:hAnsi="Courier New" w:cs="Courier New" w:hint="default"/>
      </w:rPr>
    </w:lvl>
    <w:lvl w:ilvl="5" w:tplc="04020005">
      <w:start w:val="1"/>
      <w:numFmt w:val="bullet"/>
      <w:lvlText w:val=""/>
      <w:lvlJc w:val="left"/>
      <w:pPr>
        <w:ind w:left="5095" w:hanging="360"/>
      </w:pPr>
      <w:rPr>
        <w:rFonts w:ascii="Wingdings" w:hAnsi="Wingdings" w:hint="default"/>
      </w:rPr>
    </w:lvl>
    <w:lvl w:ilvl="6" w:tplc="04020001">
      <w:start w:val="1"/>
      <w:numFmt w:val="bullet"/>
      <w:lvlText w:val=""/>
      <w:lvlJc w:val="left"/>
      <w:pPr>
        <w:ind w:left="5815" w:hanging="360"/>
      </w:pPr>
      <w:rPr>
        <w:rFonts w:ascii="Symbol" w:hAnsi="Symbol" w:hint="default"/>
      </w:rPr>
    </w:lvl>
    <w:lvl w:ilvl="7" w:tplc="04020003">
      <w:start w:val="1"/>
      <w:numFmt w:val="bullet"/>
      <w:lvlText w:val="o"/>
      <w:lvlJc w:val="left"/>
      <w:pPr>
        <w:ind w:left="6535" w:hanging="360"/>
      </w:pPr>
      <w:rPr>
        <w:rFonts w:ascii="Courier New" w:hAnsi="Courier New" w:cs="Courier New" w:hint="default"/>
      </w:rPr>
    </w:lvl>
    <w:lvl w:ilvl="8" w:tplc="04020005">
      <w:start w:val="1"/>
      <w:numFmt w:val="bullet"/>
      <w:lvlText w:val=""/>
      <w:lvlJc w:val="left"/>
      <w:pPr>
        <w:ind w:left="7255" w:hanging="360"/>
      </w:pPr>
      <w:rPr>
        <w:rFonts w:ascii="Wingdings" w:hAnsi="Wingdings" w:hint="default"/>
      </w:rPr>
    </w:lvl>
  </w:abstractNum>
  <w:abstractNum w:abstractNumId="13">
    <w:nsid w:val="2057637F"/>
    <w:multiLevelType w:val="hybridMultilevel"/>
    <w:tmpl w:val="BACA7F1A"/>
    <w:lvl w:ilvl="0" w:tplc="87CE54F8">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4219C0"/>
    <w:multiLevelType w:val="hybridMultilevel"/>
    <w:tmpl w:val="3132D310"/>
    <w:lvl w:ilvl="0" w:tplc="87CE54F8">
      <w:start w:val="3"/>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2CA73C34"/>
    <w:multiLevelType w:val="hybridMultilevel"/>
    <w:tmpl w:val="B07C2C16"/>
    <w:lvl w:ilvl="0" w:tplc="87CE54F8">
      <w:start w:val="3"/>
      <w:numFmt w:val="bullet"/>
      <w:lvlText w:val="-"/>
      <w:lvlJc w:val="left"/>
      <w:pPr>
        <w:ind w:left="1789"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011342C"/>
    <w:multiLevelType w:val="hybridMultilevel"/>
    <w:tmpl w:val="94E0BF3E"/>
    <w:lvl w:ilvl="0" w:tplc="87CE54F8">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87CE54F8">
      <w:start w:val="3"/>
      <w:numFmt w:val="bullet"/>
      <w:lvlText w:val="-"/>
      <w:lvlJc w:val="left"/>
      <w:pPr>
        <w:ind w:left="3589" w:hanging="360"/>
      </w:pPr>
      <w:rPr>
        <w:rFonts w:ascii="Times New Roman" w:eastAsia="Calibri" w:hAnsi="Times New Roman" w:cs="Times New Roman"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4B6C6A"/>
    <w:multiLevelType w:val="hybridMultilevel"/>
    <w:tmpl w:val="F45031D0"/>
    <w:lvl w:ilvl="0" w:tplc="D980C3CE">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457E2AC3"/>
    <w:multiLevelType w:val="hybridMultilevel"/>
    <w:tmpl w:val="54E67F7C"/>
    <w:lvl w:ilvl="0" w:tplc="87CE54F8">
      <w:start w:val="3"/>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48B86F89"/>
    <w:multiLevelType w:val="hybridMultilevel"/>
    <w:tmpl w:val="549409EC"/>
    <w:lvl w:ilvl="0" w:tplc="87CE54F8">
      <w:start w:val="3"/>
      <w:numFmt w:val="bullet"/>
      <w:lvlText w:val="-"/>
      <w:lvlJc w:val="left"/>
      <w:pPr>
        <w:ind w:left="2149"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CF2B5B"/>
    <w:multiLevelType w:val="hybridMultilevel"/>
    <w:tmpl w:val="E292822E"/>
    <w:lvl w:ilvl="0" w:tplc="87CE54F8">
      <w:start w:val="3"/>
      <w:numFmt w:val="bullet"/>
      <w:lvlText w:val="-"/>
      <w:lvlJc w:val="left"/>
      <w:pPr>
        <w:ind w:left="1495" w:hanging="360"/>
      </w:pPr>
      <w:rPr>
        <w:rFonts w:ascii="Times New Roman" w:eastAsia="Calibri" w:hAnsi="Times New Roman" w:cs="Times New Roman" w:hint="default"/>
      </w:rPr>
    </w:lvl>
    <w:lvl w:ilvl="1" w:tplc="04020003">
      <w:start w:val="1"/>
      <w:numFmt w:val="bullet"/>
      <w:lvlText w:val="o"/>
      <w:lvlJc w:val="left"/>
      <w:pPr>
        <w:ind w:left="2215" w:hanging="360"/>
      </w:pPr>
      <w:rPr>
        <w:rFonts w:ascii="Courier New" w:hAnsi="Courier New" w:cs="Courier New" w:hint="default"/>
      </w:rPr>
    </w:lvl>
    <w:lvl w:ilvl="2" w:tplc="04020005">
      <w:start w:val="1"/>
      <w:numFmt w:val="bullet"/>
      <w:lvlText w:val=""/>
      <w:lvlJc w:val="left"/>
      <w:pPr>
        <w:ind w:left="2935" w:hanging="360"/>
      </w:pPr>
      <w:rPr>
        <w:rFonts w:ascii="Wingdings" w:hAnsi="Wingdings" w:hint="default"/>
      </w:rPr>
    </w:lvl>
    <w:lvl w:ilvl="3" w:tplc="04020001">
      <w:start w:val="1"/>
      <w:numFmt w:val="bullet"/>
      <w:lvlText w:val=""/>
      <w:lvlJc w:val="left"/>
      <w:pPr>
        <w:ind w:left="3655" w:hanging="360"/>
      </w:pPr>
      <w:rPr>
        <w:rFonts w:ascii="Symbol" w:hAnsi="Symbol" w:hint="default"/>
      </w:rPr>
    </w:lvl>
    <w:lvl w:ilvl="4" w:tplc="04020003">
      <w:start w:val="1"/>
      <w:numFmt w:val="bullet"/>
      <w:lvlText w:val="o"/>
      <w:lvlJc w:val="left"/>
      <w:pPr>
        <w:ind w:left="4375" w:hanging="360"/>
      </w:pPr>
      <w:rPr>
        <w:rFonts w:ascii="Courier New" w:hAnsi="Courier New" w:cs="Courier New" w:hint="default"/>
      </w:rPr>
    </w:lvl>
    <w:lvl w:ilvl="5" w:tplc="04020005">
      <w:start w:val="1"/>
      <w:numFmt w:val="bullet"/>
      <w:lvlText w:val=""/>
      <w:lvlJc w:val="left"/>
      <w:pPr>
        <w:ind w:left="5095" w:hanging="360"/>
      </w:pPr>
      <w:rPr>
        <w:rFonts w:ascii="Wingdings" w:hAnsi="Wingdings" w:hint="default"/>
      </w:rPr>
    </w:lvl>
    <w:lvl w:ilvl="6" w:tplc="04020001">
      <w:start w:val="1"/>
      <w:numFmt w:val="bullet"/>
      <w:lvlText w:val=""/>
      <w:lvlJc w:val="left"/>
      <w:pPr>
        <w:ind w:left="5815" w:hanging="360"/>
      </w:pPr>
      <w:rPr>
        <w:rFonts w:ascii="Symbol" w:hAnsi="Symbol" w:hint="default"/>
      </w:rPr>
    </w:lvl>
    <w:lvl w:ilvl="7" w:tplc="04020003">
      <w:start w:val="1"/>
      <w:numFmt w:val="bullet"/>
      <w:lvlText w:val="o"/>
      <w:lvlJc w:val="left"/>
      <w:pPr>
        <w:ind w:left="6535" w:hanging="360"/>
      </w:pPr>
      <w:rPr>
        <w:rFonts w:ascii="Courier New" w:hAnsi="Courier New" w:cs="Courier New" w:hint="default"/>
      </w:rPr>
    </w:lvl>
    <w:lvl w:ilvl="8" w:tplc="04020005">
      <w:start w:val="1"/>
      <w:numFmt w:val="bullet"/>
      <w:lvlText w:val=""/>
      <w:lvlJc w:val="left"/>
      <w:pPr>
        <w:ind w:left="7255" w:hanging="360"/>
      </w:pPr>
      <w:rPr>
        <w:rFonts w:ascii="Wingdings" w:hAnsi="Wingdings" w:hint="default"/>
      </w:rPr>
    </w:lvl>
  </w:abstractNum>
  <w:abstractNum w:abstractNumId="21">
    <w:nsid w:val="4B303A01"/>
    <w:multiLevelType w:val="hybridMultilevel"/>
    <w:tmpl w:val="EFBA6AC2"/>
    <w:lvl w:ilvl="0" w:tplc="87CE54F8">
      <w:start w:val="3"/>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B87025"/>
    <w:multiLevelType w:val="hybridMultilevel"/>
    <w:tmpl w:val="17DA4646"/>
    <w:lvl w:ilvl="0" w:tplc="87CE54F8">
      <w:start w:val="3"/>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5F51724C"/>
    <w:multiLevelType w:val="hybridMultilevel"/>
    <w:tmpl w:val="C3E23906"/>
    <w:lvl w:ilvl="0" w:tplc="A8D8DF4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6B932F15"/>
    <w:multiLevelType w:val="hybridMultilevel"/>
    <w:tmpl w:val="C6A06212"/>
    <w:lvl w:ilvl="0" w:tplc="5E72A07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74D02B7F"/>
    <w:multiLevelType w:val="hybridMultilevel"/>
    <w:tmpl w:val="B9628C16"/>
    <w:lvl w:ilvl="0" w:tplc="87CE54F8">
      <w:start w:val="3"/>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7C6E61A4"/>
    <w:multiLevelType w:val="hybridMultilevel"/>
    <w:tmpl w:val="32AEBA2A"/>
    <w:lvl w:ilvl="0" w:tplc="87CE54F8">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4"/>
  </w:num>
  <w:num w:numId="2">
    <w:abstractNumId w:val="23"/>
  </w:num>
  <w:num w:numId="3">
    <w:abstractNumId w:val="5"/>
  </w:num>
  <w:num w:numId="4">
    <w:abstractNumId w:val="10"/>
  </w:num>
  <w:num w:numId="5">
    <w:abstractNumId w:val="12"/>
  </w:num>
  <w:num w:numId="6">
    <w:abstractNumId w:val="8"/>
  </w:num>
  <w:num w:numId="7">
    <w:abstractNumId w:val="19"/>
  </w:num>
  <w:num w:numId="8">
    <w:abstractNumId w:val="21"/>
  </w:num>
  <w:num w:numId="9">
    <w:abstractNumId w:val="4"/>
  </w:num>
  <w:num w:numId="10">
    <w:abstractNumId w:val="6"/>
  </w:num>
  <w:num w:numId="11">
    <w:abstractNumId w:val="22"/>
  </w:num>
  <w:num w:numId="12">
    <w:abstractNumId w:val="15"/>
  </w:num>
  <w:num w:numId="13">
    <w:abstractNumId w:val="25"/>
  </w:num>
  <w:num w:numId="14">
    <w:abstractNumId w:val="1"/>
  </w:num>
  <w:num w:numId="15">
    <w:abstractNumId w:val="14"/>
  </w:num>
  <w:num w:numId="16">
    <w:abstractNumId w:val="11"/>
  </w:num>
  <w:num w:numId="17">
    <w:abstractNumId w:val="0"/>
  </w:num>
  <w:num w:numId="18">
    <w:abstractNumId w:val="7"/>
  </w:num>
  <w:num w:numId="19">
    <w:abstractNumId w:val="13"/>
  </w:num>
  <w:num w:numId="20">
    <w:abstractNumId w:val="9"/>
  </w:num>
  <w:num w:numId="21">
    <w:abstractNumId w:val="3"/>
  </w:num>
  <w:num w:numId="22">
    <w:abstractNumId w:val="2"/>
  </w:num>
  <w:num w:numId="23">
    <w:abstractNumId w:val="16"/>
  </w:num>
  <w:num w:numId="24">
    <w:abstractNumId w:val="26"/>
  </w:num>
  <w:num w:numId="25">
    <w:abstractNumId w:val="20"/>
  </w:num>
  <w:num w:numId="26">
    <w:abstractNumId w:val="17"/>
  </w:num>
  <w:num w:numId="27">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w15:presenceInfo w15:providerId="None" w15:userId="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22BA0"/>
    <w:rsid w:val="00000793"/>
    <w:rsid w:val="0000092F"/>
    <w:rsid w:val="000010B8"/>
    <w:rsid w:val="00006A80"/>
    <w:rsid w:val="00007075"/>
    <w:rsid w:val="00010439"/>
    <w:rsid w:val="000109FB"/>
    <w:rsid w:val="0001173E"/>
    <w:rsid w:val="0001204E"/>
    <w:rsid w:val="000153A4"/>
    <w:rsid w:val="00022273"/>
    <w:rsid w:val="00023397"/>
    <w:rsid w:val="0002674A"/>
    <w:rsid w:val="00030B69"/>
    <w:rsid w:val="00031B90"/>
    <w:rsid w:val="00035A48"/>
    <w:rsid w:val="00045393"/>
    <w:rsid w:val="000507BF"/>
    <w:rsid w:val="00053134"/>
    <w:rsid w:val="00054693"/>
    <w:rsid w:val="0006009C"/>
    <w:rsid w:val="00062684"/>
    <w:rsid w:val="00067EF3"/>
    <w:rsid w:val="0007239C"/>
    <w:rsid w:val="0007386A"/>
    <w:rsid w:val="0007513D"/>
    <w:rsid w:val="00080002"/>
    <w:rsid w:val="000818FF"/>
    <w:rsid w:val="000827C3"/>
    <w:rsid w:val="000827E5"/>
    <w:rsid w:val="0008391E"/>
    <w:rsid w:val="00085815"/>
    <w:rsid w:val="00085E8A"/>
    <w:rsid w:val="00085EB2"/>
    <w:rsid w:val="00087171"/>
    <w:rsid w:val="00090F78"/>
    <w:rsid w:val="0009507B"/>
    <w:rsid w:val="00095278"/>
    <w:rsid w:val="0009536A"/>
    <w:rsid w:val="00095C49"/>
    <w:rsid w:val="000962DA"/>
    <w:rsid w:val="000963FF"/>
    <w:rsid w:val="00096501"/>
    <w:rsid w:val="00096555"/>
    <w:rsid w:val="00097B3F"/>
    <w:rsid w:val="000A1260"/>
    <w:rsid w:val="000A1613"/>
    <w:rsid w:val="000A6720"/>
    <w:rsid w:val="000A6CCA"/>
    <w:rsid w:val="000B3058"/>
    <w:rsid w:val="000B34DD"/>
    <w:rsid w:val="000B3E22"/>
    <w:rsid w:val="000B53C4"/>
    <w:rsid w:val="000B54A2"/>
    <w:rsid w:val="000B5652"/>
    <w:rsid w:val="000B64D6"/>
    <w:rsid w:val="000B664A"/>
    <w:rsid w:val="000B699F"/>
    <w:rsid w:val="000C0260"/>
    <w:rsid w:val="000C04D8"/>
    <w:rsid w:val="000C0501"/>
    <w:rsid w:val="000C3200"/>
    <w:rsid w:val="000C45FF"/>
    <w:rsid w:val="000C4E4A"/>
    <w:rsid w:val="000C5878"/>
    <w:rsid w:val="000C5EB3"/>
    <w:rsid w:val="000D1643"/>
    <w:rsid w:val="000D1AEB"/>
    <w:rsid w:val="000D3C4E"/>
    <w:rsid w:val="000D4948"/>
    <w:rsid w:val="000D4DB8"/>
    <w:rsid w:val="000D5489"/>
    <w:rsid w:val="000D557B"/>
    <w:rsid w:val="000D57CF"/>
    <w:rsid w:val="000E1A6D"/>
    <w:rsid w:val="000E200A"/>
    <w:rsid w:val="000E3433"/>
    <w:rsid w:val="000E4493"/>
    <w:rsid w:val="000E4CE0"/>
    <w:rsid w:val="000E6431"/>
    <w:rsid w:val="000E65D9"/>
    <w:rsid w:val="000E75E4"/>
    <w:rsid w:val="000E7C28"/>
    <w:rsid w:val="000F0243"/>
    <w:rsid w:val="000F0FC6"/>
    <w:rsid w:val="000F163F"/>
    <w:rsid w:val="000F1A9D"/>
    <w:rsid w:val="000F3D0C"/>
    <w:rsid w:val="000F4509"/>
    <w:rsid w:val="000F4F24"/>
    <w:rsid w:val="000F5E56"/>
    <w:rsid w:val="000F6798"/>
    <w:rsid w:val="00100AAF"/>
    <w:rsid w:val="0010273D"/>
    <w:rsid w:val="0010379B"/>
    <w:rsid w:val="001038CA"/>
    <w:rsid w:val="00104777"/>
    <w:rsid w:val="00104B74"/>
    <w:rsid w:val="00104D57"/>
    <w:rsid w:val="00105B63"/>
    <w:rsid w:val="00105D06"/>
    <w:rsid w:val="0011067C"/>
    <w:rsid w:val="00111BC8"/>
    <w:rsid w:val="00112AF4"/>
    <w:rsid w:val="001153A7"/>
    <w:rsid w:val="00116D96"/>
    <w:rsid w:val="00117CA5"/>
    <w:rsid w:val="00121447"/>
    <w:rsid w:val="00122408"/>
    <w:rsid w:val="00126392"/>
    <w:rsid w:val="0012776D"/>
    <w:rsid w:val="00130B52"/>
    <w:rsid w:val="00130F45"/>
    <w:rsid w:val="00130FF4"/>
    <w:rsid w:val="001310BA"/>
    <w:rsid w:val="00131BC2"/>
    <w:rsid w:val="0013400E"/>
    <w:rsid w:val="001353A6"/>
    <w:rsid w:val="001358C3"/>
    <w:rsid w:val="00135D22"/>
    <w:rsid w:val="00136101"/>
    <w:rsid w:val="001371E5"/>
    <w:rsid w:val="00140732"/>
    <w:rsid w:val="0014148C"/>
    <w:rsid w:val="001415B0"/>
    <w:rsid w:val="001419C2"/>
    <w:rsid w:val="00141BDE"/>
    <w:rsid w:val="00142EEA"/>
    <w:rsid w:val="00144A6E"/>
    <w:rsid w:val="00145D15"/>
    <w:rsid w:val="00146ACC"/>
    <w:rsid w:val="0015187B"/>
    <w:rsid w:val="00151D5C"/>
    <w:rsid w:val="00152699"/>
    <w:rsid w:val="001546B2"/>
    <w:rsid w:val="0015635C"/>
    <w:rsid w:val="001563B1"/>
    <w:rsid w:val="0016107E"/>
    <w:rsid w:val="00161490"/>
    <w:rsid w:val="00165649"/>
    <w:rsid w:val="00167B72"/>
    <w:rsid w:val="00167D22"/>
    <w:rsid w:val="00171873"/>
    <w:rsid w:val="00172FDC"/>
    <w:rsid w:val="001732E4"/>
    <w:rsid w:val="001761CC"/>
    <w:rsid w:val="00177534"/>
    <w:rsid w:val="0018300E"/>
    <w:rsid w:val="00183E84"/>
    <w:rsid w:val="0018457C"/>
    <w:rsid w:val="00186157"/>
    <w:rsid w:val="0018633E"/>
    <w:rsid w:val="00187B58"/>
    <w:rsid w:val="00190CE7"/>
    <w:rsid w:val="00191357"/>
    <w:rsid w:val="00191B53"/>
    <w:rsid w:val="00194B1D"/>
    <w:rsid w:val="00197C42"/>
    <w:rsid w:val="001A078A"/>
    <w:rsid w:val="001A38DC"/>
    <w:rsid w:val="001A4A58"/>
    <w:rsid w:val="001A6182"/>
    <w:rsid w:val="001B02E6"/>
    <w:rsid w:val="001B0B38"/>
    <w:rsid w:val="001B2FEA"/>
    <w:rsid w:val="001B4A92"/>
    <w:rsid w:val="001B518F"/>
    <w:rsid w:val="001B6694"/>
    <w:rsid w:val="001B6EA7"/>
    <w:rsid w:val="001C10ED"/>
    <w:rsid w:val="001C163B"/>
    <w:rsid w:val="001C4235"/>
    <w:rsid w:val="001C4842"/>
    <w:rsid w:val="001C5EBD"/>
    <w:rsid w:val="001C7A3B"/>
    <w:rsid w:val="001D040D"/>
    <w:rsid w:val="001D0683"/>
    <w:rsid w:val="001D1163"/>
    <w:rsid w:val="001D3C4C"/>
    <w:rsid w:val="001D3C4F"/>
    <w:rsid w:val="001D4750"/>
    <w:rsid w:val="001D4887"/>
    <w:rsid w:val="001D59BB"/>
    <w:rsid w:val="001D7218"/>
    <w:rsid w:val="001E10C8"/>
    <w:rsid w:val="001E3632"/>
    <w:rsid w:val="001E5EC0"/>
    <w:rsid w:val="001E705B"/>
    <w:rsid w:val="001E7DA0"/>
    <w:rsid w:val="001F0CDB"/>
    <w:rsid w:val="001F1FB8"/>
    <w:rsid w:val="001F20A1"/>
    <w:rsid w:val="001F26C7"/>
    <w:rsid w:val="001F5ED7"/>
    <w:rsid w:val="001F67A4"/>
    <w:rsid w:val="001F6AC7"/>
    <w:rsid w:val="001F77E5"/>
    <w:rsid w:val="00202371"/>
    <w:rsid w:val="00203174"/>
    <w:rsid w:val="0020347D"/>
    <w:rsid w:val="0020461C"/>
    <w:rsid w:val="00204A96"/>
    <w:rsid w:val="002057FA"/>
    <w:rsid w:val="002101ED"/>
    <w:rsid w:val="00210BA7"/>
    <w:rsid w:val="00213B8B"/>
    <w:rsid w:val="00214DB5"/>
    <w:rsid w:val="002151B2"/>
    <w:rsid w:val="0021727C"/>
    <w:rsid w:val="0022013E"/>
    <w:rsid w:val="00220234"/>
    <w:rsid w:val="00224E03"/>
    <w:rsid w:val="002258BB"/>
    <w:rsid w:val="0022601C"/>
    <w:rsid w:val="00226720"/>
    <w:rsid w:val="00227633"/>
    <w:rsid w:val="00227FC7"/>
    <w:rsid w:val="00232313"/>
    <w:rsid w:val="00235B42"/>
    <w:rsid w:val="002364C8"/>
    <w:rsid w:val="00236CF4"/>
    <w:rsid w:val="00240744"/>
    <w:rsid w:val="002407AB"/>
    <w:rsid w:val="00240914"/>
    <w:rsid w:val="0024428B"/>
    <w:rsid w:val="002458B4"/>
    <w:rsid w:val="00245CA2"/>
    <w:rsid w:val="00245D0C"/>
    <w:rsid w:val="002466FF"/>
    <w:rsid w:val="002506B0"/>
    <w:rsid w:val="002509A4"/>
    <w:rsid w:val="002509B8"/>
    <w:rsid w:val="0025118A"/>
    <w:rsid w:val="002519F8"/>
    <w:rsid w:val="0025367A"/>
    <w:rsid w:val="00253EE4"/>
    <w:rsid w:val="00253FC9"/>
    <w:rsid w:val="0025423C"/>
    <w:rsid w:val="002555A6"/>
    <w:rsid w:val="0025692F"/>
    <w:rsid w:val="00256B31"/>
    <w:rsid w:val="002576EC"/>
    <w:rsid w:val="00257A69"/>
    <w:rsid w:val="00260E6E"/>
    <w:rsid w:val="00261FFE"/>
    <w:rsid w:val="00262FD3"/>
    <w:rsid w:val="00263AAE"/>
    <w:rsid w:val="0026486B"/>
    <w:rsid w:val="0026559C"/>
    <w:rsid w:val="002667A9"/>
    <w:rsid w:val="00266814"/>
    <w:rsid w:val="002713C9"/>
    <w:rsid w:val="00271EB4"/>
    <w:rsid w:val="00273933"/>
    <w:rsid w:val="00275422"/>
    <w:rsid w:val="0027548F"/>
    <w:rsid w:val="0027784C"/>
    <w:rsid w:val="002803D1"/>
    <w:rsid w:val="00281E0C"/>
    <w:rsid w:val="00282474"/>
    <w:rsid w:val="00282D4A"/>
    <w:rsid w:val="00283F63"/>
    <w:rsid w:val="00285EA3"/>
    <w:rsid w:val="00286071"/>
    <w:rsid w:val="002868D1"/>
    <w:rsid w:val="00291BD6"/>
    <w:rsid w:val="00291E60"/>
    <w:rsid w:val="00292322"/>
    <w:rsid w:val="00293FC0"/>
    <w:rsid w:val="00294390"/>
    <w:rsid w:val="00294683"/>
    <w:rsid w:val="00295808"/>
    <w:rsid w:val="00295AF1"/>
    <w:rsid w:val="00297FDD"/>
    <w:rsid w:val="002A2A02"/>
    <w:rsid w:val="002A3948"/>
    <w:rsid w:val="002B1B12"/>
    <w:rsid w:val="002B268F"/>
    <w:rsid w:val="002B3456"/>
    <w:rsid w:val="002B3DEF"/>
    <w:rsid w:val="002B792D"/>
    <w:rsid w:val="002C2CFE"/>
    <w:rsid w:val="002C3132"/>
    <w:rsid w:val="002C40AF"/>
    <w:rsid w:val="002C41A2"/>
    <w:rsid w:val="002C441A"/>
    <w:rsid w:val="002C4D5B"/>
    <w:rsid w:val="002C69EA"/>
    <w:rsid w:val="002D02D9"/>
    <w:rsid w:val="002D0D8F"/>
    <w:rsid w:val="002D1555"/>
    <w:rsid w:val="002D16F3"/>
    <w:rsid w:val="002D2FEE"/>
    <w:rsid w:val="002D4140"/>
    <w:rsid w:val="002D4EBC"/>
    <w:rsid w:val="002D6103"/>
    <w:rsid w:val="002D6EF4"/>
    <w:rsid w:val="002E0F76"/>
    <w:rsid w:val="002E34A5"/>
    <w:rsid w:val="002E357E"/>
    <w:rsid w:val="002E5DCF"/>
    <w:rsid w:val="002E634B"/>
    <w:rsid w:val="002E681A"/>
    <w:rsid w:val="002F2108"/>
    <w:rsid w:val="002F4282"/>
    <w:rsid w:val="002F5CCE"/>
    <w:rsid w:val="002F65F1"/>
    <w:rsid w:val="002F68E6"/>
    <w:rsid w:val="003005B9"/>
    <w:rsid w:val="003016FC"/>
    <w:rsid w:val="00303F15"/>
    <w:rsid w:val="0030729B"/>
    <w:rsid w:val="003072A9"/>
    <w:rsid w:val="00307C7C"/>
    <w:rsid w:val="00307CF4"/>
    <w:rsid w:val="00310832"/>
    <w:rsid w:val="00313255"/>
    <w:rsid w:val="003150CD"/>
    <w:rsid w:val="00315F41"/>
    <w:rsid w:val="003174F1"/>
    <w:rsid w:val="00320900"/>
    <w:rsid w:val="003219F7"/>
    <w:rsid w:val="00321EDF"/>
    <w:rsid w:val="0032384C"/>
    <w:rsid w:val="00324A1C"/>
    <w:rsid w:val="00325AF4"/>
    <w:rsid w:val="00325DB4"/>
    <w:rsid w:val="00326B15"/>
    <w:rsid w:val="00327990"/>
    <w:rsid w:val="0033252E"/>
    <w:rsid w:val="0033284D"/>
    <w:rsid w:val="0033350A"/>
    <w:rsid w:val="003341F5"/>
    <w:rsid w:val="00335C11"/>
    <w:rsid w:val="00337A94"/>
    <w:rsid w:val="00337D84"/>
    <w:rsid w:val="0034018B"/>
    <w:rsid w:val="00341E43"/>
    <w:rsid w:val="003436E6"/>
    <w:rsid w:val="0034456C"/>
    <w:rsid w:val="003445C8"/>
    <w:rsid w:val="00345694"/>
    <w:rsid w:val="00345898"/>
    <w:rsid w:val="003466F4"/>
    <w:rsid w:val="0034724D"/>
    <w:rsid w:val="00347E4F"/>
    <w:rsid w:val="00351E1E"/>
    <w:rsid w:val="00353091"/>
    <w:rsid w:val="0035338A"/>
    <w:rsid w:val="003566D2"/>
    <w:rsid w:val="00363CC0"/>
    <w:rsid w:val="003677B0"/>
    <w:rsid w:val="00367A89"/>
    <w:rsid w:val="00372C02"/>
    <w:rsid w:val="00373C6A"/>
    <w:rsid w:val="003740CA"/>
    <w:rsid w:val="0037424A"/>
    <w:rsid w:val="003753E5"/>
    <w:rsid w:val="00375B87"/>
    <w:rsid w:val="003776A9"/>
    <w:rsid w:val="00380068"/>
    <w:rsid w:val="00380ACE"/>
    <w:rsid w:val="00382E04"/>
    <w:rsid w:val="00383E4B"/>
    <w:rsid w:val="0038405F"/>
    <w:rsid w:val="00384216"/>
    <w:rsid w:val="00384D36"/>
    <w:rsid w:val="00387525"/>
    <w:rsid w:val="0039005E"/>
    <w:rsid w:val="00390496"/>
    <w:rsid w:val="003914D9"/>
    <w:rsid w:val="00393C33"/>
    <w:rsid w:val="003966EA"/>
    <w:rsid w:val="003969A4"/>
    <w:rsid w:val="00396CC9"/>
    <w:rsid w:val="003A5196"/>
    <w:rsid w:val="003A700E"/>
    <w:rsid w:val="003B222F"/>
    <w:rsid w:val="003B2E80"/>
    <w:rsid w:val="003B3CF9"/>
    <w:rsid w:val="003B6B95"/>
    <w:rsid w:val="003B7455"/>
    <w:rsid w:val="003C1DC4"/>
    <w:rsid w:val="003C30E2"/>
    <w:rsid w:val="003C4001"/>
    <w:rsid w:val="003C45CF"/>
    <w:rsid w:val="003C790A"/>
    <w:rsid w:val="003C7A48"/>
    <w:rsid w:val="003D04FA"/>
    <w:rsid w:val="003D2611"/>
    <w:rsid w:val="003D45A9"/>
    <w:rsid w:val="003D53E3"/>
    <w:rsid w:val="003D57F4"/>
    <w:rsid w:val="003D7665"/>
    <w:rsid w:val="003D7C3C"/>
    <w:rsid w:val="003E077C"/>
    <w:rsid w:val="003E1C00"/>
    <w:rsid w:val="003E2113"/>
    <w:rsid w:val="003E2B37"/>
    <w:rsid w:val="003E5FFA"/>
    <w:rsid w:val="003E7392"/>
    <w:rsid w:val="003F1220"/>
    <w:rsid w:val="003F2A4B"/>
    <w:rsid w:val="003F2D0F"/>
    <w:rsid w:val="003F4453"/>
    <w:rsid w:val="00400863"/>
    <w:rsid w:val="004008BA"/>
    <w:rsid w:val="00400E48"/>
    <w:rsid w:val="00404443"/>
    <w:rsid w:val="004057A9"/>
    <w:rsid w:val="00410DAF"/>
    <w:rsid w:val="00412ACF"/>
    <w:rsid w:val="004153B5"/>
    <w:rsid w:val="004164BB"/>
    <w:rsid w:val="00416676"/>
    <w:rsid w:val="00417472"/>
    <w:rsid w:val="00417DC1"/>
    <w:rsid w:val="00420870"/>
    <w:rsid w:val="00422609"/>
    <w:rsid w:val="00425BC2"/>
    <w:rsid w:val="00427E89"/>
    <w:rsid w:val="00430792"/>
    <w:rsid w:val="00431DFB"/>
    <w:rsid w:val="00434B02"/>
    <w:rsid w:val="00434FC9"/>
    <w:rsid w:val="00435126"/>
    <w:rsid w:val="0043659B"/>
    <w:rsid w:val="00440078"/>
    <w:rsid w:val="0044159A"/>
    <w:rsid w:val="00443780"/>
    <w:rsid w:val="00446724"/>
    <w:rsid w:val="00451954"/>
    <w:rsid w:val="00455A37"/>
    <w:rsid w:val="00463561"/>
    <w:rsid w:val="0046460D"/>
    <w:rsid w:val="00464A41"/>
    <w:rsid w:val="0046529E"/>
    <w:rsid w:val="004668A0"/>
    <w:rsid w:val="00467090"/>
    <w:rsid w:val="00467656"/>
    <w:rsid w:val="00470145"/>
    <w:rsid w:val="0047187E"/>
    <w:rsid w:val="00472DC6"/>
    <w:rsid w:val="00473B1B"/>
    <w:rsid w:val="00474CD0"/>
    <w:rsid w:val="0047640F"/>
    <w:rsid w:val="004767D3"/>
    <w:rsid w:val="00480B68"/>
    <w:rsid w:val="00484526"/>
    <w:rsid w:val="00484701"/>
    <w:rsid w:val="00484CD8"/>
    <w:rsid w:val="00484D5F"/>
    <w:rsid w:val="00484E17"/>
    <w:rsid w:val="00486B90"/>
    <w:rsid w:val="00487238"/>
    <w:rsid w:val="00487900"/>
    <w:rsid w:val="00487BBB"/>
    <w:rsid w:val="00492821"/>
    <w:rsid w:val="0049300A"/>
    <w:rsid w:val="004931E5"/>
    <w:rsid w:val="004938B2"/>
    <w:rsid w:val="00493DAC"/>
    <w:rsid w:val="00497530"/>
    <w:rsid w:val="004975B7"/>
    <w:rsid w:val="004A0168"/>
    <w:rsid w:val="004A3933"/>
    <w:rsid w:val="004A3F77"/>
    <w:rsid w:val="004A4B78"/>
    <w:rsid w:val="004A6E93"/>
    <w:rsid w:val="004A7123"/>
    <w:rsid w:val="004A7F9C"/>
    <w:rsid w:val="004B1119"/>
    <w:rsid w:val="004B19A6"/>
    <w:rsid w:val="004B4A9B"/>
    <w:rsid w:val="004B50C2"/>
    <w:rsid w:val="004B599D"/>
    <w:rsid w:val="004B5D5C"/>
    <w:rsid w:val="004C07A3"/>
    <w:rsid w:val="004C1CC5"/>
    <w:rsid w:val="004C1E11"/>
    <w:rsid w:val="004C56F6"/>
    <w:rsid w:val="004C5A76"/>
    <w:rsid w:val="004C7734"/>
    <w:rsid w:val="004D3377"/>
    <w:rsid w:val="004D3635"/>
    <w:rsid w:val="004D3755"/>
    <w:rsid w:val="004D42A2"/>
    <w:rsid w:val="004D7F04"/>
    <w:rsid w:val="004E147A"/>
    <w:rsid w:val="004E14FB"/>
    <w:rsid w:val="004E166F"/>
    <w:rsid w:val="004E180D"/>
    <w:rsid w:val="004E2AA2"/>
    <w:rsid w:val="004E4BAE"/>
    <w:rsid w:val="004E76A6"/>
    <w:rsid w:val="004F07AE"/>
    <w:rsid w:val="004F12B9"/>
    <w:rsid w:val="004F71A1"/>
    <w:rsid w:val="004F72FE"/>
    <w:rsid w:val="00501E8E"/>
    <w:rsid w:val="00502B54"/>
    <w:rsid w:val="00503573"/>
    <w:rsid w:val="00503801"/>
    <w:rsid w:val="00505C7D"/>
    <w:rsid w:val="00506315"/>
    <w:rsid w:val="0050691A"/>
    <w:rsid w:val="00507192"/>
    <w:rsid w:val="00507811"/>
    <w:rsid w:val="0051252A"/>
    <w:rsid w:val="00512978"/>
    <w:rsid w:val="0051524E"/>
    <w:rsid w:val="00516087"/>
    <w:rsid w:val="005206ED"/>
    <w:rsid w:val="005243A3"/>
    <w:rsid w:val="00525A6C"/>
    <w:rsid w:val="0053028E"/>
    <w:rsid w:val="005309DF"/>
    <w:rsid w:val="00530A1A"/>
    <w:rsid w:val="005319B2"/>
    <w:rsid w:val="00532646"/>
    <w:rsid w:val="00532A06"/>
    <w:rsid w:val="00532F4C"/>
    <w:rsid w:val="00533B7D"/>
    <w:rsid w:val="00533E38"/>
    <w:rsid w:val="00534152"/>
    <w:rsid w:val="00536D94"/>
    <w:rsid w:val="00540278"/>
    <w:rsid w:val="00541B14"/>
    <w:rsid w:val="00543788"/>
    <w:rsid w:val="005446A7"/>
    <w:rsid w:val="00545620"/>
    <w:rsid w:val="00546EDA"/>
    <w:rsid w:val="005470AF"/>
    <w:rsid w:val="00551F03"/>
    <w:rsid w:val="0055278F"/>
    <w:rsid w:val="0055563B"/>
    <w:rsid w:val="00563259"/>
    <w:rsid w:val="00570A32"/>
    <w:rsid w:val="00571BE9"/>
    <w:rsid w:val="005752F7"/>
    <w:rsid w:val="00576ED6"/>
    <w:rsid w:val="00580030"/>
    <w:rsid w:val="00581EFB"/>
    <w:rsid w:val="00583A80"/>
    <w:rsid w:val="00584525"/>
    <w:rsid w:val="00584E3A"/>
    <w:rsid w:val="00586810"/>
    <w:rsid w:val="00586F8B"/>
    <w:rsid w:val="0058717D"/>
    <w:rsid w:val="00591867"/>
    <w:rsid w:val="00591884"/>
    <w:rsid w:val="005925B7"/>
    <w:rsid w:val="00592831"/>
    <w:rsid w:val="005929DC"/>
    <w:rsid w:val="005943E2"/>
    <w:rsid w:val="005949C9"/>
    <w:rsid w:val="00596DE7"/>
    <w:rsid w:val="005A0414"/>
    <w:rsid w:val="005A1FB4"/>
    <w:rsid w:val="005A233F"/>
    <w:rsid w:val="005A2581"/>
    <w:rsid w:val="005A2CBD"/>
    <w:rsid w:val="005A2F07"/>
    <w:rsid w:val="005A7677"/>
    <w:rsid w:val="005A7FA3"/>
    <w:rsid w:val="005B0335"/>
    <w:rsid w:val="005B2637"/>
    <w:rsid w:val="005B2ED9"/>
    <w:rsid w:val="005B53B2"/>
    <w:rsid w:val="005B540C"/>
    <w:rsid w:val="005B6FE9"/>
    <w:rsid w:val="005C1D0E"/>
    <w:rsid w:val="005C62D7"/>
    <w:rsid w:val="005C7319"/>
    <w:rsid w:val="005C7C32"/>
    <w:rsid w:val="005D015E"/>
    <w:rsid w:val="005D0384"/>
    <w:rsid w:val="005D108E"/>
    <w:rsid w:val="005D2FB5"/>
    <w:rsid w:val="005D452A"/>
    <w:rsid w:val="005D6416"/>
    <w:rsid w:val="005E02D5"/>
    <w:rsid w:val="005E0A03"/>
    <w:rsid w:val="005E1C6F"/>
    <w:rsid w:val="005E4357"/>
    <w:rsid w:val="005E5690"/>
    <w:rsid w:val="005E62BD"/>
    <w:rsid w:val="005E6E9F"/>
    <w:rsid w:val="005E7BE6"/>
    <w:rsid w:val="005F5458"/>
    <w:rsid w:val="005F6FA2"/>
    <w:rsid w:val="00601C5D"/>
    <w:rsid w:val="006022A6"/>
    <w:rsid w:val="00604105"/>
    <w:rsid w:val="00604685"/>
    <w:rsid w:val="00604923"/>
    <w:rsid w:val="006053AE"/>
    <w:rsid w:val="0060637E"/>
    <w:rsid w:val="00607A85"/>
    <w:rsid w:val="00607CD9"/>
    <w:rsid w:val="006120BE"/>
    <w:rsid w:val="00612BE8"/>
    <w:rsid w:val="00614D9A"/>
    <w:rsid w:val="00614E83"/>
    <w:rsid w:val="00616030"/>
    <w:rsid w:val="00620E13"/>
    <w:rsid w:val="00621FA6"/>
    <w:rsid w:val="00624380"/>
    <w:rsid w:val="006258A5"/>
    <w:rsid w:val="00627E0D"/>
    <w:rsid w:val="00630711"/>
    <w:rsid w:val="00630D0B"/>
    <w:rsid w:val="00631573"/>
    <w:rsid w:val="006337AC"/>
    <w:rsid w:val="00634789"/>
    <w:rsid w:val="006350BE"/>
    <w:rsid w:val="0063671D"/>
    <w:rsid w:val="00636E55"/>
    <w:rsid w:val="00637238"/>
    <w:rsid w:val="0063760D"/>
    <w:rsid w:val="00637A4A"/>
    <w:rsid w:val="00641210"/>
    <w:rsid w:val="006418BA"/>
    <w:rsid w:val="006429EB"/>
    <w:rsid w:val="0064532C"/>
    <w:rsid w:val="0064780F"/>
    <w:rsid w:val="0065359C"/>
    <w:rsid w:val="00653892"/>
    <w:rsid w:val="00654C6A"/>
    <w:rsid w:val="00655205"/>
    <w:rsid w:val="006608E3"/>
    <w:rsid w:val="00660919"/>
    <w:rsid w:val="00660A8D"/>
    <w:rsid w:val="0066137F"/>
    <w:rsid w:val="00661808"/>
    <w:rsid w:val="0066188C"/>
    <w:rsid w:val="00662269"/>
    <w:rsid w:val="00663F6C"/>
    <w:rsid w:val="0066649D"/>
    <w:rsid w:val="0067000C"/>
    <w:rsid w:val="00671D64"/>
    <w:rsid w:val="00671E96"/>
    <w:rsid w:val="00672265"/>
    <w:rsid w:val="00672F17"/>
    <w:rsid w:val="00673417"/>
    <w:rsid w:val="006737DC"/>
    <w:rsid w:val="0067601E"/>
    <w:rsid w:val="0067748B"/>
    <w:rsid w:val="006805F9"/>
    <w:rsid w:val="00680B80"/>
    <w:rsid w:val="00680E44"/>
    <w:rsid w:val="0068204A"/>
    <w:rsid w:val="0068227C"/>
    <w:rsid w:val="00683213"/>
    <w:rsid w:val="00683C3D"/>
    <w:rsid w:val="006840D6"/>
    <w:rsid w:val="00685D01"/>
    <w:rsid w:val="0068621A"/>
    <w:rsid w:val="00686232"/>
    <w:rsid w:val="0069074F"/>
    <w:rsid w:val="006923EE"/>
    <w:rsid w:val="0069463D"/>
    <w:rsid w:val="00694795"/>
    <w:rsid w:val="00695797"/>
    <w:rsid w:val="006958D8"/>
    <w:rsid w:val="00695EBF"/>
    <w:rsid w:val="006961FB"/>
    <w:rsid w:val="00696D3C"/>
    <w:rsid w:val="00697772"/>
    <w:rsid w:val="006A0D6F"/>
    <w:rsid w:val="006A0FDC"/>
    <w:rsid w:val="006A369C"/>
    <w:rsid w:val="006A49B6"/>
    <w:rsid w:val="006A5470"/>
    <w:rsid w:val="006B09D2"/>
    <w:rsid w:val="006B0CA4"/>
    <w:rsid w:val="006B46B5"/>
    <w:rsid w:val="006B51DB"/>
    <w:rsid w:val="006B525C"/>
    <w:rsid w:val="006B565E"/>
    <w:rsid w:val="006B5A06"/>
    <w:rsid w:val="006B6ED8"/>
    <w:rsid w:val="006B783F"/>
    <w:rsid w:val="006C092C"/>
    <w:rsid w:val="006C0FDE"/>
    <w:rsid w:val="006C3F12"/>
    <w:rsid w:val="006C4779"/>
    <w:rsid w:val="006C54D8"/>
    <w:rsid w:val="006C63D2"/>
    <w:rsid w:val="006D0C4A"/>
    <w:rsid w:val="006D0DCF"/>
    <w:rsid w:val="006D0F40"/>
    <w:rsid w:val="006D16C4"/>
    <w:rsid w:val="006D470B"/>
    <w:rsid w:val="006D6C67"/>
    <w:rsid w:val="006E1B8C"/>
    <w:rsid w:val="006E3E9B"/>
    <w:rsid w:val="006E61FC"/>
    <w:rsid w:val="006E6BD4"/>
    <w:rsid w:val="006E6FFB"/>
    <w:rsid w:val="006E73CB"/>
    <w:rsid w:val="006F1211"/>
    <w:rsid w:val="006F3EBB"/>
    <w:rsid w:val="006F6F4B"/>
    <w:rsid w:val="006F7939"/>
    <w:rsid w:val="007002E9"/>
    <w:rsid w:val="007013F4"/>
    <w:rsid w:val="00703280"/>
    <w:rsid w:val="00704168"/>
    <w:rsid w:val="00704C32"/>
    <w:rsid w:val="00705514"/>
    <w:rsid w:val="00705F78"/>
    <w:rsid w:val="007072AC"/>
    <w:rsid w:val="00715052"/>
    <w:rsid w:val="007170EB"/>
    <w:rsid w:val="0071750C"/>
    <w:rsid w:val="0072077B"/>
    <w:rsid w:val="00722453"/>
    <w:rsid w:val="00725458"/>
    <w:rsid w:val="007261A1"/>
    <w:rsid w:val="00726946"/>
    <w:rsid w:val="00727A96"/>
    <w:rsid w:val="00730A6B"/>
    <w:rsid w:val="00731B9D"/>
    <w:rsid w:val="00731C73"/>
    <w:rsid w:val="0073247A"/>
    <w:rsid w:val="007337DD"/>
    <w:rsid w:val="007341CA"/>
    <w:rsid w:val="007407D8"/>
    <w:rsid w:val="00741ECA"/>
    <w:rsid w:val="00741FF5"/>
    <w:rsid w:val="00742630"/>
    <w:rsid w:val="00742C1C"/>
    <w:rsid w:val="00743A47"/>
    <w:rsid w:val="0075053C"/>
    <w:rsid w:val="00750C9A"/>
    <w:rsid w:val="00753697"/>
    <w:rsid w:val="00754173"/>
    <w:rsid w:val="00754BB3"/>
    <w:rsid w:val="00757D63"/>
    <w:rsid w:val="00762227"/>
    <w:rsid w:val="00763CCE"/>
    <w:rsid w:val="00765477"/>
    <w:rsid w:val="00765B16"/>
    <w:rsid w:val="00766690"/>
    <w:rsid w:val="0077099C"/>
    <w:rsid w:val="00772617"/>
    <w:rsid w:val="00772645"/>
    <w:rsid w:val="00775522"/>
    <w:rsid w:val="0077621B"/>
    <w:rsid w:val="007768F7"/>
    <w:rsid w:val="007775A9"/>
    <w:rsid w:val="00777E15"/>
    <w:rsid w:val="00782B91"/>
    <w:rsid w:val="00784057"/>
    <w:rsid w:val="0078443F"/>
    <w:rsid w:val="007853C0"/>
    <w:rsid w:val="0078639D"/>
    <w:rsid w:val="00786BAB"/>
    <w:rsid w:val="00786CED"/>
    <w:rsid w:val="00791021"/>
    <w:rsid w:val="0079196A"/>
    <w:rsid w:val="00793B15"/>
    <w:rsid w:val="00794715"/>
    <w:rsid w:val="007963B3"/>
    <w:rsid w:val="007963B7"/>
    <w:rsid w:val="00797186"/>
    <w:rsid w:val="007A1A3A"/>
    <w:rsid w:val="007A423F"/>
    <w:rsid w:val="007A533F"/>
    <w:rsid w:val="007A5B75"/>
    <w:rsid w:val="007A6172"/>
    <w:rsid w:val="007A6DD2"/>
    <w:rsid w:val="007A7CA7"/>
    <w:rsid w:val="007B0056"/>
    <w:rsid w:val="007B189E"/>
    <w:rsid w:val="007B2630"/>
    <w:rsid w:val="007B3A45"/>
    <w:rsid w:val="007B4BE2"/>
    <w:rsid w:val="007B5B03"/>
    <w:rsid w:val="007B73D0"/>
    <w:rsid w:val="007B75B6"/>
    <w:rsid w:val="007C3924"/>
    <w:rsid w:val="007C397E"/>
    <w:rsid w:val="007C6C1E"/>
    <w:rsid w:val="007D1A1B"/>
    <w:rsid w:val="007D2FC1"/>
    <w:rsid w:val="007D3FC8"/>
    <w:rsid w:val="007D4429"/>
    <w:rsid w:val="007D4EB2"/>
    <w:rsid w:val="007D508C"/>
    <w:rsid w:val="007D7B4A"/>
    <w:rsid w:val="007E0106"/>
    <w:rsid w:val="007E0FE1"/>
    <w:rsid w:val="007E4BAA"/>
    <w:rsid w:val="007E5AE5"/>
    <w:rsid w:val="007F08EC"/>
    <w:rsid w:val="007F0EDE"/>
    <w:rsid w:val="007F4DAF"/>
    <w:rsid w:val="007F6626"/>
    <w:rsid w:val="007F6851"/>
    <w:rsid w:val="007F7D57"/>
    <w:rsid w:val="00803DD6"/>
    <w:rsid w:val="008046FD"/>
    <w:rsid w:val="00806B5B"/>
    <w:rsid w:val="00807C1C"/>
    <w:rsid w:val="00811940"/>
    <w:rsid w:val="008120E0"/>
    <w:rsid w:val="00815F79"/>
    <w:rsid w:val="00817294"/>
    <w:rsid w:val="00817BDD"/>
    <w:rsid w:val="00823341"/>
    <w:rsid w:val="008240E3"/>
    <w:rsid w:val="008246C1"/>
    <w:rsid w:val="00824FB1"/>
    <w:rsid w:val="00825259"/>
    <w:rsid w:val="008271A0"/>
    <w:rsid w:val="008303A1"/>
    <w:rsid w:val="008309CB"/>
    <w:rsid w:val="0083250C"/>
    <w:rsid w:val="008338AC"/>
    <w:rsid w:val="00833BEB"/>
    <w:rsid w:val="0083456B"/>
    <w:rsid w:val="00836EB7"/>
    <w:rsid w:val="00836F25"/>
    <w:rsid w:val="0083731D"/>
    <w:rsid w:val="00837917"/>
    <w:rsid w:val="00840892"/>
    <w:rsid w:val="00842552"/>
    <w:rsid w:val="00842E4B"/>
    <w:rsid w:val="008435B9"/>
    <w:rsid w:val="0084369D"/>
    <w:rsid w:val="00843B85"/>
    <w:rsid w:val="00845E0A"/>
    <w:rsid w:val="008470A0"/>
    <w:rsid w:val="0084722B"/>
    <w:rsid w:val="00852C2D"/>
    <w:rsid w:val="00852CA6"/>
    <w:rsid w:val="00853992"/>
    <w:rsid w:val="00854554"/>
    <w:rsid w:val="00854DB2"/>
    <w:rsid w:val="00856360"/>
    <w:rsid w:val="008574E9"/>
    <w:rsid w:val="008577CC"/>
    <w:rsid w:val="00862ECE"/>
    <w:rsid w:val="0086497A"/>
    <w:rsid w:val="008653E2"/>
    <w:rsid w:val="00865D34"/>
    <w:rsid w:val="00866139"/>
    <w:rsid w:val="008732E2"/>
    <w:rsid w:val="0087341E"/>
    <w:rsid w:val="0087361F"/>
    <w:rsid w:val="00875AEB"/>
    <w:rsid w:val="00876B91"/>
    <w:rsid w:val="0087778F"/>
    <w:rsid w:val="008802AC"/>
    <w:rsid w:val="00881791"/>
    <w:rsid w:val="0088475E"/>
    <w:rsid w:val="00884B97"/>
    <w:rsid w:val="00884DF4"/>
    <w:rsid w:val="00884FF2"/>
    <w:rsid w:val="00887C15"/>
    <w:rsid w:val="00887F8C"/>
    <w:rsid w:val="00892261"/>
    <w:rsid w:val="00895A83"/>
    <w:rsid w:val="00895BF8"/>
    <w:rsid w:val="00895E83"/>
    <w:rsid w:val="008961C8"/>
    <w:rsid w:val="00897302"/>
    <w:rsid w:val="008A02ED"/>
    <w:rsid w:val="008A0591"/>
    <w:rsid w:val="008A0740"/>
    <w:rsid w:val="008A2E55"/>
    <w:rsid w:val="008A4F04"/>
    <w:rsid w:val="008A54BD"/>
    <w:rsid w:val="008A604B"/>
    <w:rsid w:val="008A6CA4"/>
    <w:rsid w:val="008B0F61"/>
    <w:rsid w:val="008B1CBF"/>
    <w:rsid w:val="008B2358"/>
    <w:rsid w:val="008B28F0"/>
    <w:rsid w:val="008B37BD"/>
    <w:rsid w:val="008B6843"/>
    <w:rsid w:val="008B6DE1"/>
    <w:rsid w:val="008B7174"/>
    <w:rsid w:val="008C06DB"/>
    <w:rsid w:val="008C3247"/>
    <w:rsid w:val="008C5A9B"/>
    <w:rsid w:val="008D412F"/>
    <w:rsid w:val="008D4343"/>
    <w:rsid w:val="008D5173"/>
    <w:rsid w:val="008D637F"/>
    <w:rsid w:val="008D7972"/>
    <w:rsid w:val="008E0145"/>
    <w:rsid w:val="008E2F27"/>
    <w:rsid w:val="008E470C"/>
    <w:rsid w:val="008E5238"/>
    <w:rsid w:val="008F0EF2"/>
    <w:rsid w:val="008F1B8A"/>
    <w:rsid w:val="008F3898"/>
    <w:rsid w:val="008F3C31"/>
    <w:rsid w:val="008F497B"/>
    <w:rsid w:val="008F689F"/>
    <w:rsid w:val="008F7157"/>
    <w:rsid w:val="0090063D"/>
    <w:rsid w:val="00901150"/>
    <w:rsid w:val="009023E3"/>
    <w:rsid w:val="00902412"/>
    <w:rsid w:val="009048B1"/>
    <w:rsid w:val="00904CFF"/>
    <w:rsid w:val="00910707"/>
    <w:rsid w:val="00911EA3"/>
    <w:rsid w:val="009120ED"/>
    <w:rsid w:val="00913511"/>
    <w:rsid w:val="009137BE"/>
    <w:rsid w:val="009144F3"/>
    <w:rsid w:val="00914C26"/>
    <w:rsid w:val="00917CA1"/>
    <w:rsid w:val="009205E2"/>
    <w:rsid w:val="00920693"/>
    <w:rsid w:val="0092123C"/>
    <w:rsid w:val="0092348A"/>
    <w:rsid w:val="00924C07"/>
    <w:rsid w:val="00924EFE"/>
    <w:rsid w:val="00926D08"/>
    <w:rsid w:val="009301EA"/>
    <w:rsid w:val="00932067"/>
    <w:rsid w:val="009336F2"/>
    <w:rsid w:val="00934AED"/>
    <w:rsid w:val="0093500F"/>
    <w:rsid w:val="009400A9"/>
    <w:rsid w:val="00940F59"/>
    <w:rsid w:val="009433BF"/>
    <w:rsid w:val="00944C20"/>
    <w:rsid w:val="00946772"/>
    <w:rsid w:val="009471BB"/>
    <w:rsid w:val="00947B01"/>
    <w:rsid w:val="00950B4C"/>
    <w:rsid w:val="00951A2A"/>
    <w:rsid w:val="00952AF4"/>
    <w:rsid w:val="00953007"/>
    <w:rsid w:val="009542B5"/>
    <w:rsid w:val="00955170"/>
    <w:rsid w:val="00955BF5"/>
    <w:rsid w:val="00955C09"/>
    <w:rsid w:val="009566F7"/>
    <w:rsid w:val="00957FC1"/>
    <w:rsid w:val="00961958"/>
    <w:rsid w:val="00963F89"/>
    <w:rsid w:val="00964F71"/>
    <w:rsid w:val="009658C6"/>
    <w:rsid w:val="00966A61"/>
    <w:rsid w:val="0097086D"/>
    <w:rsid w:val="00970898"/>
    <w:rsid w:val="00972455"/>
    <w:rsid w:val="00973D16"/>
    <w:rsid w:val="00976C65"/>
    <w:rsid w:val="00977CF7"/>
    <w:rsid w:val="0098119A"/>
    <w:rsid w:val="0098132E"/>
    <w:rsid w:val="009825FD"/>
    <w:rsid w:val="009844CA"/>
    <w:rsid w:val="00984A48"/>
    <w:rsid w:val="00986579"/>
    <w:rsid w:val="0099129C"/>
    <w:rsid w:val="00992A4F"/>
    <w:rsid w:val="009935CB"/>
    <w:rsid w:val="009946C1"/>
    <w:rsid w:val="00994DCB"/>
    <w:rsid w:val="009A033F"/>
    <w:rsid w:val="009A104C"/>
    <w:rsid w:val="009A1530"/>
    <w:rsid w:val="009A1553"/>
    <w:rsid w:val="009A1D46"/>
    <w:rsid w:val="009A2D9F"/>
    <w:rsid w:val="009A3EAA"/>
    <w:rsid w:val="009A55A8"/>
    <w:rsid w:val="009A6822"/>
    <w:rsid w:val="009A7778"/>
    <w:rsid w:val="009A7D1D"/>
    <w:rsid w:val="009B155F"/>
    <w:rsid w:val="009B2426"/>
    <w:rsid w:val="009B408B"/>
    <w:rsid w:val="009B5AFB"/>
    <w:rsid w:val="009B75B9"/>
    <w:rsid w:val="009C0317"/>
    <w:rsid w:val="009C3C02"/>
    <w:rsid w:val="009C401F"/>
    <w:rsid w:val="009D056D"/>
    <w:rsid w:val="009D09E2"/>
    <w:rsid w:val="009D1FA8"/>
    <w:rsid w:val="009D2757"/>
    <w:rsid w:val="009D4D3B"/>
    <w:rsid w:val="009D5C00"/>
    <w:rsid w:val="009D61B5"/>
    <w:rsid w:val="009E0B97"/>
    <w:rsid w:val="009E1AC5"/>
    <w:rsid w:val="009E2E63"/>
    <w:rsid w:val="009E3720"/>
    <w:rsid w:val="009E3A17"/>
    <w:rsid w:val="009E599B"/>
    <w:rsid w:val="009F02FA"/>
    <w:rsid w:val="009F1D0C"/>
    <w:rsid w:val="009F1DB1"/>
    <w:rsid w:val="009F2733"/>
    <w:rsid w:val="009F2867"/>
    <w:rsid w:val="009F291D"/>
    <w:rsid w:val="009F4F4C"/>
    <w:rsid w:val="009F528C"/>
    <w:rsid w:val="009F558E"/>
    <w:rsid w:val="009F6128"/>
    <w:rsid w:val="009F7F66"/>
    <w:rsid w:val="00A0075E"/>
    <w:rsid w:val="00A02E91"/>
    <w:rsid w:val="00A03123"/>
    <w:rsid w:val="00A07825"/>
    <w:rsid w:val="00A10396"/>
    <w:rsid w:val="00A10430"/>
    <w:rsid w:val="00A11556"/>
    <w:rsid w:val="00A1249D"/>
    <w:rsid w:val="00A13408"/>
    <w:rsid w:val="00A14C41"/>
    <w:rsid w:val="00A154C2"/>
    <w:rsid w:val="00A162D3"/>
    <w:rsid w:val="00A17FA0"/>
    <w:rsid w:val="00A203BA"/>
    <w:rsid w:val="00A227D6"/>
    <w:rsid w:val="00A22BA0"/>
    <w:rsid w:val="00A23FAC"/>
    <w:rsid w:val="00A2488A"/>
    <w:rsid w:val="00A269FB"/>
    <w:rsid w:val="00A270C7"/>
    <w:rsid w:val="00A300CF"/>
    <w:rsid w:val="00A3085C"/>
    <w:rsid w:val="00A30E84"/>
    <w:rsid w:val="00A31902"/>
    <w:rsid w:val="00A31F97"/>
    <w:rsid w:val="00A32D71"/>
    <w:rsid w:val="00A34450"/>
    <w:rsid w:val="00A34EF6"/>
    <w:rsid w:val="00A34FEF"/>
    <w:rsid w:val="00A36191"/>
    <w:rsid w:val="00A3642C"/>
    <w:rsid w:val="00A37BE3"/>
    <w:rsid w:val="00A4291D"/>
    <w:rsid w:val="00A434A5"/>
    <w:rsid w:val="00A43721"/>
    <w:rsid w:val="00A44FE2"/>
    <w:rsid w:val="00A473BF"/>
    <w:rsid w:val="00A51D6C"/>
    <w:rsid w:val="00A53B25"/>
    <w:rsid w:val="00A55E95"/>
    <w:rsid w:val="00A56399"/>
    <w:rsid w:val="00A57454"/>
    <w:rsid w:val="00A5766B"/>
    <w:rsid w:val="00A578FB"/>
    <w:rsid w:val="00A60A3E"/>
    <w:rsid w:val="00A6348A"/>
    <w:rsid w:val="00A6373B"/>
    <w:rsid w:val="00A63F04"/>
    <w:rsid w:val="00A6406E"/>
    <w:rsid w:val="00A65165"/>
    <w:rsid w:val="00A665A4"/>
    <w:rsid w:val="00A67184"/>
    <w:rsid w:val="00A72014"/>
    <w:rsid w:val="00A72958"/>
    <w:rsid w:val="00A72C1C"/>
    <w:rsid w:val="00A75DA4"/>
    <w:rsid w:val="00A770F8"/>
    <w:rsid w:val="00A77137"/>
    <w:rsid w:val="00A77228"/>
    <w:rsid w:val="00A77FE6"/>
    <w:rsid w:val="00A800B1"/>
    <w:rsid w:val="00A804B7"/>
    <w:rsid w:val="00A81AA4"/>
    <w:rsid w:val="00A84D77"/>
    <w:rsid w:val="00A87751"/>
    <w:rsid w:val="00A91058"/>
    <w:rsid w:val="00A91386"/>
    <w:rsid w:val="00A91B05"/>
    <w:rsid w:val="00A92491"/>
    <w:rsid w:val="00A925A4"/>
    <w:rsid w:val="00A946C0"/>
    <w:rsid w:val="00A96A7B"/>
    <w:rsid w:val="00A97CCB"/>
    <w:rsid w:val="00AA0B4E"/>
    <w:rsid w:val="00AA0DA8"/>
    <w:rsid w:val="00AA6267"/>
    <w:rsid w:val="00AA75EA"/>
    <w:rsid w:val="00AB0015"/>
    <w:rsid w:val="00AB0757"/>
    <w:rsid w:val="00AB1C06"/>
    <w:rsid w:val="00AB2680"/>
    <w:rsid w:val="00AB3DDE"/>
    <w:rsid w:val="00AB5FCA"/>
    <w:rsid w:val="00AB66A9"/>
    <w:rsid w:val="00AC07C9"/>
    <w:rsid w:val="00AC1E69"/>
    <w:rsid w:val="00AC28CB"/>
    <w:rsid w:val="00AD01E5"/>
    <w:rsid w:val="00AD0C63"/>
    <w:rsid w:val="00AD3B37"/>
    <w:rsid w:val="00AD492A"/>
    <w:rsid w:val="00AE16B5"/>
    <w:rsid w:val="00AE1DAC"/>
    <w:rsid w:val="00AE29F2"/>
    <w:rsid w:val="00AE4B2E"/>
    <w:rsid w:val="00AF2AE3"/>
    <w:rsid w:val="00AF39AE"/>
    <w:rsid w:val="00AF3EBE"/>
    <w:rsid w:val="00AF5A44"/>
    <w:rsid w:val="00AF69CF"/>
    <w:rsid w:val="00AF6DCA"/>
    <w:rsid w:val="00B0117C"/>
    <w:rsid w:val="00B0413B"/>
    <w:rsid w:val="00B062F7"/>
    <w:rsid w:val="00B07897"/>
    <w:rsid w:val="00B112CB"/>
    <w:rsid w:val="00B120D7"/>
    <w:rsid w:val="00B15FB3"/>
    <w:rsid w:val="00B161AD"/>
    <w:rsid w:val="00B16278"/>
    <w:rsid w:val="00B206B3"/>
    <w:rsid w:val="00B206DC"/>
    <w:rsid w:val="00B212AD"/>
    <w:rsid w:val="00B21742"/>
    <w:rsid w:val="00B21BAA"/>
    <w:rsid w:val="00B22B6B"/>
    <w:rsid w:val="00B2304F"/>
    <w:rsid w:val="00B23549"/>
    <w:rsid w:val="00B263F9"/>
    <w:rsid w:val="00B2642F"/>
    <w:rsid w:val="00B27FE5"/>
    <w:rsid w:val="00B3094D"/>
    <w:rsid w:val="00B319F1"/>
    <w:rsid w:val="00B3276A"/>
    <w:rsid w:val="00B32D9D"/>
    <w:rsid w:val="00B3529F"/>
    <w:rsid w:val="00B35648"/>
    <w:rsid w:val="00B35BD5"/>
    <w:rsid w:val="00B36F4D"/>
    <w:rsid w:val="00B42C9E"/>
    <w:rsid w:val="00B42DE6"/>
    <w:rsid w:val="00B434C8"/>
    <w:rsid w:val="00B442E3"/>
    <w:rsid w:val="00B449D9"/>
    <w:rsid w:val="00B44DB0"/>
    <w:rsid w:val="00B46D9A"/>
    <w:rsid w:val="00B5073E"/>
    <w:rsid w:val="00B50FB2"/>
    <w:rsid w:val="00B519FD"/>
    <w:rsid w:val="00B533F4"/>
    <w:rsid w:val="00B5674C"/>
    <w:rsid w:val="00B5714D"/>
    <w:rsid w:val="00B6002E"/>
    <w:rsid w:val="00B60DF4"/>
    <w:rsid w:val="00B6191C"/>
    <w:rsid w:val="00B619AD"/>
    <w:rsid w:val="00B62CEF"/>
    <w:rsid w:val="00B63AC6"/>
    <w:rsid w:val="00B63ACE"/>
    <w:rsid w:val="00B6454C"/>
    <w:rsid w:val="00B66DFD"/>
    <w:rsid w:val="00B71AD5"/>
    <w:rsid w:val="00B7274E"/>
    <w:rsid w:val="00B735BD"/>
    <w:rsid w:val="00B73ADB"/>
    <w:rsid w:val="00B73F09"/>
    <w:rsid w:val="00B779FA"/>
    <w:rsid w:val="00B77DC3"/>
    <w:rsid w:val="00B808DE"/>
    <w:rsid w:val="00B84517"/>
    <w:rsid w:val="00B84864"/>
    <w:rsid w:val="00B878B4"/>
    <w:rsid w:val="00B901DE"/>
    <w:rsid w:val="00B90B87"/>
    <w:rsid w:val="00B92EE7"/>
    <w:rsid w:val="00B94345"/>
    <w:rsid w:val="00BA1403"/>
    <w:rsid w:val="00BA1480"/>
    <w:rsid w:val="00BA16A9"/>
    <w:rsid w:val="00BA19AC"/>
    <w:rsid w:val="00BA1D1F"/>
    <w:rsid w:val="00BA3BDB"/>
    <w:rsid w:val="00BA4653"/>
    <w:rsid w:val="00BA4CB8"/>
    <w:rsid w:val="00BA6F7B"/>
    <w:rsid w:val="00BB0C4A"/>
    <w:rsid w:val="00BB2E95"/>
    <w:rsid w:val="00BB4F0B"/>
    <w:rsid w:val="00BB7B40"/>
    <w:rsid w:val="00BC068B"/>
    <w:rsid w:val="00BC3302"/>
    <w:rsid w:val="00BC4075"/>
    <w:rsid w:val="00BC588C"/>
    <w:rsid w:val="00BC637E"/>
    <w:rsid w:val="00BD21EC"/>
    <w:rsid w:val="00BD3284"/>
    <w:rsid w:val="00BD5557"/>
    <w:rsid w:val="00BD55CB"/>
    <w:rsid w:val="00BD5E8B"/>
    <w:rsid w:val="00BD6891"/>
    <w:rsid w:val="00BE0112"/>
    <w:rsid w:val="00BE054E"/>
    <w:rsid w:val="00BE0A52"/>
    <w:rsid w:val="00BE20B6"/>
    <w:rsid w:val="00BE21CC"/>
    <w:rsid w:val="00BE3B2E"/>
    <w:rsid w:val="00BE4EC5"/>
    <w:rsid w:val="00BE6577"/>
    <w:rsid w:val="00BE67E0"/>
    <w:rsid w:val="00BE751D"/>
    <w:rsid w:val="00BF00E8"/>
    <w:rsid w:val="00BF0822"/>
    <w:rsid w:val="00BF1F10"/>
    <w:rsid w:val="00BF2350"/>
    <w:rsid w:val="00BF2EF3"/>
    <w:rsid w:val="00BF431A"/>
    <w:rsid w:val="00BF6719"/>
    <w:rsid w:val="00BF76DA"/>
    <w:rsid w:val="00BF7BF3"/>
    <w:rsid w:val="00C019DC"/>
    <w:rsid w:val="00C02DE7"/>
    <w:rsid w:val="00C05348"/>
    <w:rsid w:val="00C05796"/>
    <w:rsid w:val="00C06D01"/>
    <w:rsid w:val="00C06E98"/>
    <w:rsid w:val="00C07D8B"/>
    <w:rsid w:val="00C11CC0"/>
    <w:rsid w:val="00C15060"/>
    <w:rsid w:val="00C1683C"/>
    <w:rsid w:val="00C21C9D"/>
    <w:rsid w:val="00C30BFE"/>
    <w:rsid w:val="00C3184A"/>
    <w:rsid w:val="00C327DB"/>
    <w:rsid w:val="00C33A38"/>
    <w:rsid w:val="00C33ED5"/>
    <w:rsid w:val="00C3594F"/>
    <w:rsid w:val="00C37913"/>
    <w:rsid w:val="00C41808"/>
    <w:rsid w:val="00C4181E"/>
    <w:rsid w:val="00C43931"/>
    <w:rsid w:val="00C452DC"/>
    <w:rsid w:val="00C47BEF"/>
    <w:rsid w:val="00C607B7"/>
    <w:rsid w:val="00C60E20"/>
    <w:rsid w:val="00C61401"/>
    <w:rsid w:val="00C618CF"/>
    <w:rsid w:val="00C61BEF"/>
    <w:rsid w:val="00C62862"/>
    <w:rsid w:val="00C65919"/>
    <w:rsid w:val="00C67F88"/>
    <w:rsid w:val="00C7155F"/>
    <w:rsid w:val="00C71EC1"/>
    <w:rsid w:val="00C752CE"/>
    <w:rsid w:val="00C80BB4"/>
    <w:rsid w:val="00C82AC4"/>
    <w:rsid w:val="00C82CB4"/>
    <w:rsid w:val="00C847A8"/>
    <w:rsid w:val="00C85DB3"/>
    <w:rsid w:val="00C86B73"/>
    <w:rsid w:val="00C91EB2"/>
    <w:rsid w:val="00C92936"/>
    <w:rsid w:val="00C93490"/>
    <w:rsid w:val="00C93D93"/>
    <w:rsid w:val="00C9797B"/>
    <w:rsid w:val="00CA13DE"/>
    <w:rsid w:val="00CA2928"/>
    <w:rsid w:val="00CA4DB5"/>
    <w:rsid w:val="00CA5F2F"/>
    <w:rsid w:val="00CA6925"/>
    <w:rsid w:val="00CA6D23"/>
    <w:rsid w:val="00CA762C"/>
    <w:rsid w:val="00CB053B"/>
    <w:rsid w:val="00CB3EEF"/>
    <w:rsid w:val="00CB4434"/>
    <w:rsid w:val="00CB4700"/>
    <w:rsid w:val="00CB4C73"/>
    <w:rsid w:val="00CB75FC"/>
    <w:rsid w:val="00CC08F7"/>
    <w:rsid w:val="00CC354D"/>
    <w:rsid w:val="00CC41AB"/>
    <w:rsid w:val="00CC4655"/>
    <w:rsid w:val="00CC4FCE"/>
    <w:rsid w:val="00CC5DB4"/>
    <w:rsid w:val="00CC5DFD"/>
    <w:rsid w:val="00CC5FBC"/>
    <w:rsid w:val="00CC6AD4"/>
    <w:rsid w:val="00CC7C06"/>
    <w:rsid w:val="00CC7DAB"/>
    <w:rsid w:val="00CD14C9"/>
    <w:rsid w:val="00CD2437"/>
    <w:rsid w:val="00CD52AF"/>
    <w:rsid w:val="00CD6D9F"/>
    <w:rsid w:val="00CD6E3C"/>
    <w:rsid w:val="00CE2115"/>
    <w:rsid w:val="00CE22AF"/>
    <w:rsid w:val="00CE24B7"/>
    <w:rsid w:val="00CE3E34"/>
    <w:rsid w:val="00CE7420"/>
    <w:rsid w:val="00CE7599"/>
    <w:rsid w:val="00CE7BC2"/>
    <w:rsid w:val="00CF08C3"/>
    <w:rsid w:val="00CF09D9"/>
    <w:rsid w:val="00CF0F1F"/>
    <w:rsid w:val="00CF16EB"/>
    <w:rsid w:val="00CF1C1E"/>
    <w:rsid w:val="00CF226A"/>
    <w:rsid w:val="00CF2F39"/>
    <w:rsid w:val="00CF3FAA"/>
    <w:rsid w:val="00CF4ECA"/>
    <w:rsid w:val="00CF5911"/>
    <w:rsid w:val="00CF5959"/>
    <w:rsid w:val="00CF6421"/>
    <w:rsid w:val="00CF7D49"/>
    <w:rsid w:val="00D00997"/>
    <w:rsid w:val="00D019DB"/>
    <w:rsid w:val="00D04349"/>
    <w:rsid w:val="00D05E58"/>
    <w:rsid w:val="00D071E6"/>
    <w:rsid w:val="00D10201"/>
    <w:rsid w:val="00D10359"/>
    <w:rsid w:val="00D111B9"/>
    <w:rsid w:val="00D13251"/>
    <w:rsid w:val="00D15791"/>
    <w:rsid w:val="00D1598C"/>
    <w:rsid w:val="00D20359"/>
    <w:rsid w:val="00D20ABB"/>
    <w:rsid w:val="00D21C02"/>
    <w:rsid w:val="00D22D29"/>
    <w:rsid w:val="00D23D1C"/>
    <w:rsid w:val="00D2439B"/>
    <w:rsid w:val="00D2476C"/>
    <w:rsid w:val="00D25AB3"/>
    <w:rsid w:val="00D27352"/>
    <w:rsid w:val="00D30E4C"/>
    <w:rsid w:val="00D3143F"/>
    <w:rsid w:val="00D31A53"/>
    <w:rsid w:val="00D32DF6"/>
    <w:rsid w:val="00D33F69"/>
    <w:rsid w:val="00D36766"/>
    <w:rsid w:val="00D42584"/>
    <w:rsid w:val="00D459FE"/>
    <w:rsid w:val="00D476EA"/>
    <w:rsid w:val="00D50312"/>
    <w:rsid w:val="00D514A9"/>
    <w:rsid w:val="00D518CF"/>
    <w:rsid w:val="00D555BA"/>
    <w:rsid w:val="00D5583E"/>
    <w:rsid w:val="00D55E99"/>
    <w:rsid w:val="00D56159"/>
    <w:rsid w:val="00D57702"/>
    <w:rsid w:val="00D61C6F"/>
    <w:rsid w:val="00D626F5"/>
    <w:rsid w:val="00D627C8"/>
    <w:rsid w:val="00D63317"/>
    <w:rsid w:val="00D647AC"/>
    <w:rsid w:val="00D676BA"/>
    <w:rsid w:val="00D72AC8"/>
    <w:rsid w:val="00D76E87"/>
    <w:rsid w:val="00D7796D"/>
    <w:rsid w:val="00D8087E"/>
    <w:rsid w:val="00D809D5"/>
    <w:rsid w:val="00D817D0"/>
    <w:rsid w:val="00D849B4"/>
    <w:rsid w:val="00D86735"/>
    <w:rsid w:val="00D86CC6"/>
    <w:rsid w:val="00D87FFB"/>
    <w:rsid w:val="00D909AA"/>
    <w:rsid w:val="00D929E9"/>
    <w:rsid w:val="00D93018"/>
    <w:rsid w:val="00D933AB"/>
    <w:rsid w:val="00D93BB0"/>
    <w:rsid w:val="00D93FE8"/>
    <w:rsid w:val="00D940AD"/>
    <w:rsid w:val="00D953C7"/>
    <w:rsid w:val="00DA0058"/>
    <w:rsid w:val="00DA20C9"/>
    <w:rsid w:val="00DA233E"/>
    <w:rsid w:val="00DA23C6"/>
    <w:rsid w:val="00DA2D10"/>
    <w:rsid w:val="00DA5A7C"/>
    <w:rsid w:val="00DA701E"/>
    <w:rsid w:val="00DA7E25"/>
    <w:rsid w:val="00DB0F00"/>
    <w:rsid w:val="00DB2997"/>
    <w:rsid w:val="00DB36AA"/>
    <w:rsid w:val="00DB3933"/>
    <w:rsid w:val="00DB4517"/>
    <w:rsid w:val="00DB50CE"/>
    <w:rsid w:val="00DC0103"/>
    <w:rsid w:val="00DC0A8C"/>
    <w:rsid w:val="00DC36C2"/>
    <w:rsid w:val="00DC4B2D"/>
    <w:rsid w:val="00DD1A60"/>
    <w:rsid w:val="00DD210E"/>
    <w:rsid w:val="00DD2FFA"/>
    <w:rsid w:val="00DD5719"/>
    <w:rsid w:val="00DD752B"/>
    <w:rsid w:val="00DD76E9"/>
    <w:rsid w:val="00DD7A77"/>
    <w:rsid w:val="00DE174B"/>
    <w:rsid w:val="00DE17EE"/>
    <w:rsid w:val="00DE1E52"/>
    <w:rsid w:val="00DE28BE"/>
    <w:rsid w:val="00DE3EBF"/>
    <w:rsid w:val="00DE5B06"/>
    <w:rsid w:val="00DE7A75"/>
    <w:rsid w:val="00DF0C58"/>
    <w:rsid w:val="00DF0E50"/>
    <w:rsid w:val="00DF156E"/>
    <w:rsid w:val="00DF1754"/>
    <w:rsid w:val="00DF1CAF"/>
    <w:rsid w:val="00DF454C"/>
    <w:rsid w:val="00DF5D4A"/>
    <w:rsid w:val="00DF717D"/>
    <w:rsid w:val="00E00B61"/>
    <w:rsid w:val="00E01973"/>
    <w:rsid w:val="00E01A4C"/>
    <w:rsid w:val="00E01DB4"/>
    <w:rsid w:val="00E035E0"/>
    <w:rsid w:val="00E03E82"/>
    <w:rsid w:val="00E04B41"/>
    <w:rsid w:val="00E05775"/>
    <w:rsid w:val="00E05896"/>
    <w:rsid w:val="00E058C4"/>
    <w:rsid w:val="00E1554B"/>
    <w:rsid w:val="00E15FF1"/>
    <w:rsid w:val="00E16CDC"/>
    <w:rsid w:val="00E17D80"/>
    <w:rsid w:val="00E202C7"/>
    <w:rsid w:val="00E20FCC"/>
    <w:rsid w:val="00E2125D"/>
    <w:rsid w:val="00E21503"/>
    <w:rsid w:val="00E2702D"/>
    <w:rsid w:val="00E27235"/>
    <w:rsid w:val="00E27EED"/>
    <w:rsid w:val="00E333DC"/>
    <w:rsid w:val="00E33595"/>
    <w:rsid w:val="00E33BD8"/>
    <w:rsid w:val="00E35378"/>
    <w:rsid w:val="00E360BB"/>
    <w:rsid w:val="00E40BF0"/>
    <w:rsid w:val="00E41C08"/>
    <w:rsid w:val="00E44D0A"/>
    <w:rsid w:val="00E462A6"/>
    <w:rsid w:val="00E50AC6"/>
    <w:rsid w:val="00E51276"/>
    <w:rsid w:val="00E51D3A"/>
    <w:rsid w:val="00E52B51"/>
    <w:rsid w:val="00E5505B"/>
    <w:rsid w:val="00E558EA"/>
    <w:rsid w:val="00E55A2A"/>
    <w:rsid w:val="00E60F33"/>
    <w:rsid w:val="00E63B33"/>
    <w:rsid w:val="00E64444"/>
    <w:rsid w:val="00E672BD"/>
    <w:rsid w:val="00E704B6"/>
    <w:rsid w:val="00E706CC"/>
    <w:rsid w:val="00E70B9E"/>
    <w:rsid w:val="00E71EC8"/>
    <w:rsid w:val="00E72B57"/>
    <w:rsid w:val="00E72CA3"/>
    <w:rsid w:val="00E73302"/>
    <w:rsid w:val="00E737CA"/>
    <w:rsid w:val="00E75574"/>
    <w:rsid w:val="00E7682A"/>
    <w:rsid w:val="00E77A19"/>
    <w:rsid w:val="00E800FD"/>
    <w:rsid w:val="00E80547"/>
    <w:rsid w:val="00E817E8"/>
    <w:rsid w:val="00E82C6A"/>
    <w:rsid w:val="00E83923"/>
    <w:rsid w:val="00E90170"/>
    <w:rsid w:val="00E90910"/>
    <w:rsid w:val="00E91884"/>
    <w:rsid w:val="00E92A6E"/>
    <w:rsid w:val="00E9435D"/>
    <w:rsid w:val="00E9725B"/>
    <w:rsid w:val="00EA2117"/>
    <w:rsid w:val="00EA410B"/>
    <w:rsid w:val="00EB14C9"/>
    <w:rsid w:val="00EB14E4"/>
    <w:rsid w:val="00EB392A"/>
    <w:rsid w:val="00EB4EB6"/>
    <w:rsid w:val="00EB5264"/>
    <w:rsid w:val="00EB5C41"/>
    <w:rsid w:val="00EC181C"/>
    <w:rsid w:val="00EC4292"/>
    <w:rsid w:val="00EC4E59"/>
    <w:rsid w:val="00EC5A0A"/>
    <w:rsid w:val="00EC62CF"/>
    <w:rsid w:val="00ED01F6"/>
    <w:rsid w:val="00ED050F"/>
    <w:rsid w:val="00ED257F"/>
    <w:rsid w:val="00ED387C"/>
    <w:rsid w:val="00ED48D2"/>
    <w:rsid w:val="00ED595E"/>
    <w:rsid w:val="00ED5ACA"/>
    <w:rsid w:val="00ED6E16"/>
    <w:rsid w:val="00ED7432"/>
    <w:rsid w:val="00ED76DE"/>
    <w:rsid w:val="00EE0147"/>
    <w:rsid w:val="00EE0767"/>
    <w:rsid w:val="00EE083B"/>
    <w:rsid w:val="00EE0A1B"/>
    <w:rsid w:val="00EE180B"/>
    <w:rsid w:val="00EE2011"/>
    <w:rsid w:val="00EE3011"/>
    <w:rsid w:val="00EE3031"/>
    <w:rsid w:val="00EE3549"/>
    <w:rsid w:val="00EE4610"/>
    <w:rsid w:val="00EE5691"/>
    <w:rsid w:val="00EE6796"/>
    <w:rsid w:val="00EE6ADD"/>
    <w:rsid w:val="00EE773A"/>
    <w:rsid w:val="00EE7799"/>
    <w:rsid w:val="00EF0B45"/>
    <w:rsid w:val="00EF3620"/>
    <w:rsid w:val="00EF364C"/>
    <w:rsid w:val="00EF712D"/>
    <w:rsid w:val="00EF7A00"/>
    <w:rsid w:val="00EF7F26"/>
    <w:rsid w:val="00F001C2"/>
    <w:rsid w:val="00F00533"/>
    <w:rsid w:val="00F00E58"/>
    <w:rsid w:val="00F02018"/>
    <w:rsid w:val="00F0265B"/>
    <w:rsid w:val="00F0347D"/>
    <w:rsid w:val="00F03578"/>
    <w:rsid w:val="00F0506F"/>
    <w:rsid w:val="00F05714"/>
    <w:rsid w:val="00F075A8"/>
    <w:rsid w:val="00F11DB8"/>
    <w:rsid w:val="00F13352"/>
    <w:rsid w:val="00F1453A"/>
    <w:rsid w:val="00F15709"/>
    <w:rsid w:val="00F16956"/>
    <w:rsid w:val="00F1699E"/>
    <w:rsid w:val="00F20728"/>
    <w:rsid w:val="00F2210F"/>
    <w:rsid w:val="00F23039"/>
    <w:rsid w:val="00F24BBC"/>
    <w:rsid w:val="00F30941"/>
    <w:rsid w:val="00F30D5A"/>
    <w:rsid w:val="00F30D6B"/>
    <w:rsid w:val="00F340C8"/>
    <w:rsid w:val="00F35279"/>
    <w:rsid w:val="00F35BC4"/>
    <w:rsid w:val="00F3682B"/>
    <w:rsid w:val="00F36CC2"/>
    <w:rsid w:val="00F401FB"/>
    <w:rsid w:val="00F402A5"/>
    <w:rsid w:val="00F4033C"/>
    <w:rsid w:val="00F403BA"/>
    <w:rsid w:val="00F430A3"/>
    <w:rsid w:val="00F430AF"/>
    <w:rsid w:val="00F4358B"/>
    <w:rsid w:val="00F43D10"/>
    <w:rsid w:val="00F45CC1"/>
    <w:rsid w:val="00F47A31"/>
    <w:rsid w:val="00F50338"/>
    <w:rsid w:val="00F53516"/>
    <w:rsid w:val="00F543B4"/>
    <w:rsid w:val="00F55183"/>
    <w:rsid w:val="00F56212"/>
    <w:rsid w:val="00F609C3"/>
    <w:rsid w:val="00F616B5"/>
    <w:rsid w:val="00F63B83"/>
    <w:rsid w:val="00F66168"/>
    <w:rsid w:val="00F6644E"/>
    <w:rsid w:val="00F66811"/>
    <w:rsid w:val="00F678A4"/>
    <w:rsid w:val="00F7220A"/>
    <w:rsid w:val="00F739E0"/>
    <w:rsid w:val="00F74AFA"/>
    <w:rsid w:val="00F74BD0"/>
    <w:rsid w:val="00F7603A"/>
    <w:rsid w:val="00F808BD"/>
    <w:rsid w:val="00F8200A"/>
    <w:rsid w:val="00F82710"/>
    <w:rsid w:val="00F831BF"/>
    <w:rsid w:val="00F8367A"/>
    <w:rsid w:val="00F84F73"/>
    <w:rsid w:val="00F86338"/>
    <w:rsid w:val="00F869A0"/>
    <w:rsid w:val="00F86F9F"/>
    <w:rsid w:val="00F905F3"/>
    <w:rsid w:val="00F90759"/>
    <w:rsid w:val="00F907FF"/>
    <w:rsid w:val="00F90803"/>
    <w:rsid w:val="00F9255D"/>
    <w:rsid w:val="00F938A1"/>
    <w:rsid w:val="00F943D9"/>
    <w:rsid w:val="00F95065"/>
    <w:rsid w:val="00F9515A"/>
    <w:rsid w:val="00F9678F"/>
    <w:rsid w:val="00F96ED7"/>
    <w:rsid w:val="00FA05AD"/>
    <w:rsid w:val="00FA3083"/>
    <w:rsid w:val="00FA5251"/>
    <w:rsid w:val="00FA6D7F"/>
    <w:rsid w:val="00FB1DD6"/>
    <w:rsid w:val="00FB25E8"/>
    <w:rsid w:val="00FB25F4"/>
    <w:rsid w:val="00FB264B"/>
    <w:rsid w:val="00FB4B91"/>
    <w:rsid w:val="00FB5294"/>
    <w:rsid w:val="00FB581D"/>
    <w:rsid w:val="00FB62BC"/>
    <w:rsid w:val="00FB7957"/>
    <w:rsid w:val="00FB7990"/>
    <w:rsid w:val="00FC0D1E"/>
    <w:rsid w:val="00FC2259"/>
    <w:rsid w:val="00FC2330"/>
    <w:rsid w:val="00FC27CB"/>
    <w:rsid w:val="00FC336F"/>
    <w:rsid w:val="00FC4013"/>
    <w:rsid w:val="00FC4460"/>
    <w:rsid w:val="00FC4DD4"/>
    <w:rsid w:val="00FC5541"/>
    <w:rsid w:val="00FC725D"/>
    <w:rsid w:val="00FC74A9"/>
    <w:rsid w:val="00FD05C5"/>
    <w:rsid w:val="00FD0D1E"/>
    <w:rsid w:val="00FD16F9"/>
    <w:rsid w:val="00FD210F"/>
    <w:rsid w:val="00FD2CA5"/>
    <w:rsid w:val="00FD2F02"/>
    <w:rsid w:val="00FD3B1D"/>
    <w:rsid w:val="00FD4189"/>
    <w:rsid w:val="00FD4C39"/>
    <w:rsid w:val="00FD5B8E"/>
    <w:rsid w:val="00FD5C24"/>
    <w:rsid w:val="00FD6654"/>
    <w:rsid w:val="00FD7311"/>
    <w:rsid w:val="00FD75A0"/>
    <w:rsid w:val="00FE155B"/>
    <w:rsid w:val="00FE482F"/>
    <w:rsid w:val="00FE5852"/>
    <w:rsid w:val="00FE6846"/>
    <w:rsid w:val="00FE7018"/>
    <w:rsid w:val="00FF18F3"/>
    <w:rsid w:val="00FF225D"/>
    <w:rsid w:val="00FF3117"/>
    <w:rsid w:val="00FF3FBD"/>
    <w:rsid w:val="00FF5F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A0"/>
    <w:rPr>
      <w:rFonts w:ascii="Tahoma" w:hAnsi="Tahoma" w:cs="Tahoma"/>
      <w:sz w:val="16"/>
      <w:szCs w:val="16"/>
    </w:rPr>
  </w:style>
  <w:style w:type="character" w:customStyle="1" w:styleId="BodytextBold">
    <w:name w:val="Body text + Bold"/>
    <w:basedOn w:val="DefaultParagraphFont"/>
    <w:rsid w:val="0058717D"/>
    <w:rPr>
      <w:rFonts w:ascii="Times New Roman" w:eastAsia="Times New Roman" w:hAnsi="Times New Roman" w:cs="Times New Roman"/>
      <w:b/>
      <w:bCs/>
      <w:i w:val="0"/>
      <w:iCs w:val="0"/>
      <w:smallCaps w:val="0"/>
      <w:strike w:val="0"/>
      <w:spacing w:val="0"/>
      <w:sz w:val="23"/>
      <w:szCs w:val="23"/>
    </w:rPr>
  </w:style>
  <w:style w:type="character" w:customStyle="1" w:styleId="Bodytext2">
    <w:name w:val="Body text (2)_"/>
    <w:basedOn w:val="DefaultParagraphFont"/>
    <w:link w:val="Bodytext20"/>
    <w:rsid w:val="00D555BA"/>
    <w:rPr>
      <w:rFonts w:ascii="Times New Roman" w:eastAsia="Times New Roman" w:hAnsi="Times New Roman" w:cs="Times New Roman"/>
      <w:sz w:val="23"/>
      <w:szCs w:val="23"/>
      <w:shd w:val="clear" w:color="auto" w:fill="FFFFFF"/>
    </w:rPr>
  </w:style>
  <w:style w:type="character" w:customStyle="1" w:styleId="Bodytext">
    <w:name w:val="Body text_"/>
    <w:basedOn w:val="DefaultParagraphFont"/>
    <w:link w:val="BodyText1"/>
    <w:rsid w:val="00D555BA"/>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D555BA"/>
    <w:pPr>
      <w:shd w:val="clear" w:color="auto" w:fill="FFFFFF"/>
      <w:spacing w:after="0" w:line="414" w:lineRule="exact"/>
    </w:pPr>
    <w:rPr>
      <w:rFonts w:ascii="Times New Roman" w:eastAsia="Times New Roman" w:hAnsi="Times New Roman" w:cs="Times New Roman"/>
      <w:sz w:val="23"/>
      <w:szCs w:val="23"/>
    </w:rPr>
  </w:style>
  <w:style w:type="paragraph" w:customStyle="1" w:styleId="BodyText1">
    <w:name w:val="Body Text1"/>
    <w:basedOn w:val="Normal"/>
    <w:link w:val="Bodytext"/>
    <w:rsid w:val="00D555BA"/>
    <w:pPr>
      <w:shd w:val="clear" w:color="auto" w:fill="FFFFFF"/>
      <w:spacing w:before="600" w:after="0" w:line="414" w:lineRule="exact"/>
      <w:ind w:hanging="700"/>
      <w:jc w:val="both"/>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B779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79FA"/>
  </w:style>
  <w:style w:type="paragraph" w:styleId="Footer">
    <w:name w:val="footer"/>
    <w:basedOn w:val="Normal"/>
    <w:link w:val="FooterChar"/>
    <w:uiPriority w:val="99"/>
    <w:unhideWhenUsed/>
    <w:rsid w:val="00B779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79FA"/>
  </w:style>
  <w:style w:type="paragraph" w:styleId="ListParagraph">
    <w:name w:val="List Paragraph"/>
    <w:basedOn w:val="Normal"/>
    <w:uiPriority w:val="34"/>
    <w:qFormat/>
    <w:rsid w:val="00D00997"/>
    <w:pPr>
      <w:ind w:left="720"/>
      <w:contextualSpacing/>
    </w:pPr>
  </w:style>
  <w:style w:type="paragraph" w:styleId="PlainText">
    <w:name w:val="Plain Text"/>
    <w:basedOn w:val="Normal"/>
    <w:link w:val="PlainTextChar"/>
    <w:uiPriority w:val="99"/>
    <w:unhideWhenUsed/>
    <w:rsid w:val="00D3143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3143F"/>
    <w:rPr>
      <w:rFonts w:ascii="Consolas" w:eastAsia="Calibri" w:hAnsi="Consolas" w:cs="Times New Roman"/>
      <w:sz w:val="21"/>
      <w:szCs w:val="21"/>
    </w:rPr>
  </w:style>
  <w:style w:type="paragraph" w:styleId="FootnoteText">
    <w:name w:val="footnote text"/>
    <w:basedOn w:val="Normal"/>
    <w:link w:val="FootnoteTextChar"/>
    <w:uiPriority w:val="99"/>
    <w:unhideWhenUsed/>
    <w:rsid w:val="001563B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563B1"/>
    <w:rPr>
      <w:rFonts w:ascii="Calibri" w:eastAsia="Calibri" w:hAnsi="Calibri" w:cs="Times New Roman"/>
      <w:sz w:val="20"/>
      <w:szCs w:val="20"/>
    </w:rPr>
  </w:style>
  <w:style w:type="character" w:styleId="FootnoteReference">
    <w:name w:val="footnote reference"/>
    <w:uiPriority w:val="99"/>
    <w:semiHidden/>
    <w:unhideWhenUsed/>
    <w:rsid w:val="001563B1"/>
    <w:rPr>
      <w:vertAlign w:val="superscript"/>
    </w:rPr>
  </w:style>
  <w:style w:type="character" w:customStyle="1" w:styleId="FontStyle67">
    <w:name w:val="Font Style67"/>
    <w:uiPriority w:val="99"/>
    <w:rsid w:val="007B0056"/>
    <w:rPr>
      <w:rFonts w:ascii="Century Gothic" w:hAnsi="Century Gothic" w:hint="default"/>
    </w:rPr>
  </w:style>
  <w:style w:type="character" w:customStyle="1" w:styleId="google-src-text1">
    <w:name w:val="google-src-text1"/>
    <w:rsid w:val="00121447"/>
    <w:rPr>
      <w:vanish/>
      <w:webHidden w:val="0"/>
      <w:specVanish w:val="0"/>
    </w:rPr>
  </w:style>
  <w:style w:type="paragraph" w:customStyle="1" w:styleId="1">
    <w:name w:val="Списък на абзаци1"/>
    <w:basedOn w:val="Normal"/>
    <w:qFormat/>
    <w:rsid w:val="004668A0"/>
    <w:pPr>
      <w:spacing w:after="0" w:line="240" w:lineRule="auto"/>
      <w:ind w:left="720"/>
    </w:pPr>
    <w:rPr>
      <w:rFonts w:ascii="Calibri" w:eastAsia="Calibri" w:hAnsi="Calibri" w:cs="Calibri"/>
    </w:rPr>
  </w:style>
  <w:style w:type="paragraph" w:styleId="Caption">
    <w:name w:val="caption"/>
    <w:basedOn w:val="Normal"/>
    <w:next w:val="Normal"/>
    <w:uiPriority w:val="35"/>
    <w:unhideWhenUsed/>
    <w:qFormat/>
    <w:rsid w:val="006B09D2"/>
    <w:pPr>
      <w:spacing w:line="240" w:lineRule="auto"/>
    </w:pPr>
    <w:rPr>
      <w:b/>
      <w:bCs/>
      <w:color w:val="4F81BD" w:themeColor="accent1"/>
      <w:sz w:val="18"/>
      <w:szCs w:val="18"/>
    </w:rPr>
  </w:style>
  <w:style w:type="table" w:styleId="TableGrid">
    <w:name w:val="Table Grid"/>
    <w:basedOn w:val="TableNormal"/>
    <w:uiPriority w:val="59"/>
    <w:rsid w:val="003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068B"/>
    <w:rPr>
      <w:sz w:val="16"/>
      <w:szCs w:val="16"/>
    </w:rPr>
  </w:style>
  <w:style w:type="paragraph" w:styleId="CommentText">
    <w:name w:val="annotation text"/>
    <w:basedOn w:val="Normal"/>
    <w:link w:val="CommentTextChar"/>
    <w:uiPriority w:val="99"/>
    <w:semiHidden/>
    <w:unhideWhenUsed/>
    <w:rsid w:val="00BC068B"/>
    <w:pPr>
      <w:spacing w:line="240" w:lineRule="auto"/>
    </w:pPr>
    <w:rPr>
      <w:sz w:val="20"/>
      <w:szCs w:val="20"/>
    </w:rPr>
  </w:style>
  <w:style w:type="character" w:customStyle="1" w:styleId="CommentTextChar">
    <w:name w:val="Comment Text Char"/>
    <w:basedOn w:val="DefaultParagraphFont"/>
    <w:link w:val="CommentText"/>
    <w:uiPriority w:val="99"/>
    <w:semiHidden/>
    <w:rsid w:val="00BC068B"/>
    <w:rPr>
      <w:sz w:val="20"/>
      <w:szCs w:val="20"/>
    </w:rPr>
  </w:style>
  <w:style w:type="paragraph" w:styleId="CommentSubject">
    <w:name w:val="annotation subject"/>
    <w:basedOn w:val="CommentText"/>
    <w:next w:val="CommentText"/>
    <w:link w:val="CommentSubjectChar"/>
    <w:uiPriority w:val="99"/>
    <w:semiHidden/>
    <w:unhideWhenUsed/>
    <w:rsid w:val="00BC068B"/>
    <w:rPr>
      <w:b/>
      <w:bCs/>
    </w:rPr>
  </w:style>
  <w:style w:type="character" w:customStyle="1" w:styleId="CommentSubjectChar">
    <w:name w:val="Comment Subject Char"/>
    <w:basedOn w:val="CommentTextChar"/>
    <w:link w:val="CommentSubject"/>
    <w:uiPriority w:val="99"/>
    <w:semiHidden/>
    <w:rsid w:val="00BC068B"/>
    <w:rPr>
      <w:b/>
      <w:bCs/>
      <w:sz w:val="20"/>
      <w:szCs w:val="20"/>
    </w:rPr>
  </w:style>
  <w:style w:type="paragraph" w:styleId="EndnoteText">
    <w:name w:val="endnote text"/>
    <w:basedOn w:val="Normal"/>
    <w:link w:val="EndnoteTextChar"/>
    <w:uiPriority w:val="99"/>
    <w:semiHidden/>
    <w:unhideWhenUsed/>
    <w:rsid w:val="00843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35B9"/>
    <w:rPr>
      <w:sz w:val="20"/>
      <w:szCs w:val="20"/>
    </w:rPr>
  </w:style>
  <w:style w:type="character" w:styleId="EndnoteReference">
    <w:name w:val="endnote reference"/>
    <w:basedOn w:val="DefaultParagraphFont"/>
    <w:uiPriority w:val="99"/>
    <w:semiHidden/>
    <w:unhideWhenUsed/>
    <w:rsid w:val="008435B9"/>
    <w:rPr>
      <w:vertAlign w:val="superscript"/>
    </w:rPr>
  </w:style>
  <w:style w:type="character" w:customStyle="1" w:styleId="FontStyle17">
    <w:name w:val="Font Style17"/>
    <w:basedOn w:val="DefaultParagraphFont"/>
    <w:uiPriority w:val="99"/>
    <w:rsid w:val="00BA3BDB"/>
    <w:rPr>
      <w:rFonts w:ascii="Times New Roman" w:hAnsi="Times New Roman" w:cs="Times New Roman"/>
      <w:sz w:val="22"/>
      <w:szCs w:val="22"/>
    </w:rPr>
  </w:style>
  <w:style w:type="paragraph" w:customStyle="1" w:styleId="Style13">
    <w:name w:val="Style13"/>
    <w:basedOn w:val="Normal"/>
    <w:uiPriority w:val="99"/>
    <w:rsid w:val="00BA3BDB"/>
    <w:pPr>
      <w:widowControl w:val="0"/>
      <w:autoSpaceDE w:val="0"/>
      <w:autoSpaceDN w:val="0"/>
      <w:adjustRightInd w:val="0"/>
      <w:spacing w:after="0" w:line="192" w:lineRule="exact"/>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7257">
      <w:bodyDiv w:val="1"/>
      <w:marLeft w:val="0"/>
      <w:marRight w:val="0"/>
      <w:marTop w:val="0"/>
      <w:marBottom w:val="0"/>
      <w:divBdr>
        <w:top w:val="none" w:sz="0" w:space="0" w:color="auto"/>
        <w:left w:val="none" w:sz="0" w:space="0" w:color="auto"/>
        <w:bottom w:val="none" w:sz="0" w:space="0" w:color="auto"/>
        <w:right w:val="none" w:sz="0" w:space="0" w:color="auto"/>
      </w:divBdr>
    </w:div>
    <w:div w:id="464352231">
      <w:bodyDiv w:val="1"/>
      <w:marLeft w:val="0"/>
      <w:marRight w:val="0"/>
      <w:marTop w:val="0"/>
      <w:marBottom w:val="0"/>
      <w:divBdr>
        <w:top w:val="none" w:sz="0" w:space="0" w:color="auto"/>
        <w:left w:val="none" w:sz="0" w:space="0" w:color="auto"/>
        <w:bottom w:val="none" w:sz="0" w:space="0" w:color="auto"/>
        <w:right w:val="none" w:sz="0" w:space="0" w:color="auto"/>
      </w:divBdr>
    </w:div>
    <w:div w:id="490609524">
      <w:bodyDiv w:val="1"/>
      <w:marLeft w:val="0"/>
      <w:marRight w:val="0"/>
      <w:marTop w:val="0"/>
      <w:marBottom w:val="0"/>
      <w:divBdr>
        <w:top w:val="none" w:sz="0" w:space="0" w:color="auto"/>
        <w:left w:val="none" w:sz="0" w:space="0" w:color="auto"/>
        <w:bottom w:val="none" w:sz="0" w:space="0" w:color="auto"/>
        <w:right w:val="none" w:sz="0" w:space="0" w:color="auto"/>
      </w:divBdr>
    </w:div>
    <w:div w:id="1045330867">
      <w:bodyDiv w:val="1"/>
      <w:marLeft w:val="0"/>
      <w:marRight w:val="0"/>
      <w:marTop w:val="0"/>
      <w:marBottom w:val="0"/>
      <w:divBdr>
        <w:top w:val="none" w:sz="0" w:space="0" w:color="auto"/>
        <w:left w:val="none" w:sz="0" w:space="0" w:color="auto"/>
        <w:bottom w:val="none" w:sz="0" w:space="0" w:color="auto"/>
        <w:right w:val="none" w:sz="0" w:space="0" w:color="auto"/>
      </w:divBdr>
    </w:div>
    <w:div w:id="1059012064">
      <w:bodyDiv w:val="1"/>
      <w:marLeft w:val="0"/>
      <w:marRight w:val="0"/>
      <w:marTop w:val="0"/>
      <w:marBottom w:val="0"/>
      <w:divBdr>
        <w:top w:val="none" w:sz="0" w:space="0" w:color="auto"/>
        <w:left w:val="none" w:sz="0" w:space="0" w:color="auto"/>
        <w:bottom w:val="none" w:sz="0" w:space="0" w:color="auto"/>
        <w:right w:val="none" w:sz="0" w:space="0" w:color="auto"/>
      </w:divBdr>
      <w:divsChild>
        <w:div w:id="2074888122">
          <w:marLeft w:val="0"/>
          <w:marRight w:val="0"/>
          <w:marTop w:val="0"/>
          <w:marBottom w:val="80"/>
          <w:divBdr>
            <w:top w:val="none" w:sz="0" w:space="0" w:color="auto"/>
            <w:left w:val="none" w:sz="0" w:space="0" w:color="auto"/>
            <w:bottom w:val="none" w:sz="0" w:space="0" w:color="auto"/>
            <w:right w:val="none" w:sz="0" w:space="0" w:color="auto"/>
          </w:divBdr>
          <w:divsChild>
            <w:div w:id="205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951">
      <w:bodyDiv w:val="1"/>
      <w:marLeft w:val="0"/>
      <w:marRight w:val="0"/>
      <w:marTop w:val="0"/>
      <w:marBottom w:val="0"/>
      <w:divBdr>
        <w:top w:val="none" w:sz="0" w:space="0" w:color="auto"/>
        <w:left w:val="none" w:sz="0" w:space="0" w:color="auto"/>
        <w:bottom w:val="none" w:sz="0" w:space="0" w:color="auto"/>
        <w:right w:val="none" w:sz="0" w:space="0" w:color="auto"/>
      </w:divBdr>
    </w:div>
    <w:div w:id="1422340358">
      <w:bodyDiv w:val="1"/>
      <w:marLeft w:val="0"/>
      <w:marRight w:val="0"/>
      <w:marTop w:val="0"/>
      <w:marBottom w:val="0"/>
      <w:divBdr>
        <w:top w:val="none" w:sz="0" w:space="0" w:color="auto"/>
        <w:left w:val="none" w:sz="0" w:space="0" w:color="auto"/>
        <w:bottom w:val="none" w:sz="0" w:space="0" w:color="auto"/>
        <w:right w:val="none" w:sz="0" w:space="0" w:color="auto"/>
      </w:divBdr>
    </w:div>
    <w:div w:id="1789204880">
      <w:bodyDiv w:val="1"/>
      <w:marLeft w:val="0"/>
      <w:marRight w:val="0"/>
      <w:marTop w:val="0"/>
      <w:marBottom w:val="0"/>
      <w:divBdr>
        <w:top w:val="none" w:sz="0" w:space="0" w:color="auto"/>
        <w:left w:val="none" w:sz="0" w:space="0" w:color="auto"/>
        <w:bottom w:val="none" w:sz="0" w:space="0" w:color="auto"/>
        <w:right w:val="none" w:sz="0" w:space="0" w:color="auto"/>
      </w:divBdr>
    </w:div>
    <w:div w:id="19375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cpdp.bg"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aseline="0">
              <a:latin typeface="Times New Roman" pitchFamily="18" charset="0"/>
            </a:defRPr>
          </a:pPr>
          <a:endParaRPr lang="bg-BG"/>
        </a:p>
      </c:txPr>
    </c:title>
    <c:autoTitleDeleted val="0"/>
    <c:view3D>
      <c:rotX val="30"/>
      <c:rotY val="30"/>
      <c:rAngAx val="0"/>
      <c:perspective val="30"/>
    </c:view3D>
    <c:floor>
      <c:thickness val="0"/>
    </c:floor>
    <c:sideWall>
      <c:thickness val="0"/>
    </c:sideWall>
    <c:backWall>
      <c:thickness val="0"/>
    </c:backWall>
    <c:plotArea>
      <c:layout>
        <c:manualLayout>
          <c:layoutTarget val="inner"/>
          <c:xMode val="edge"/>
          <c:yMode val="edge"/>
          <c:x val="7.1237423447069112E-2"/>
          <c:y val="0.19952849643794571"/>
          <c:w val="0.64084445173520077"/>
          <c:h val="0.76006999125109365"/>
        </c:manualLayout>
      </c:layout>
      <c:pie3DChart>
        <c:varyColors val="1"/>
        <c:ser>
          <c:idx val="0"/>
          <c:order val="0"/>
          <c:tx>
            <c:strRef>
              <c:f>Sheet1!$B$1</c:f>
              <c:strCache>
                <c:ptCount val="1"/>
                <c:pt idx="0">
                  <c:v>Общ брой потребители на еРАЛД</c:v>
                </c:pt>
              </c:strCache>
            </c:strRef>
          </c:tx>
          <c:explosion val="25"/>
          <c:dPt>
            <c:idx val="0"/>
            <c:bubble3D val="0"/>
            <c:spPr>
              <a:gradFill>
                <a:gsLst>
                  <a:gs pos="0">
                    <a:srgbClr val="03D4A8"/>
                  </a:gs>
                  <a:gs pos="25000">
                    <a:srgbClr val="21D6E0"/>
                  </a:gs>
                  <a:gs pos="75000">
                    <a:srgbClr val="0087E6"/>
                  </a:gs>
                  <a:gs pos="100000">
                    <a:srgbClr val="005CBF"/>
                  </a:gs>
                </a:gsLst>
                <a:lin ang="5400000" scaled="0"/>
              </a:gradFill>
            </c:spPr>
          </c:dPt>
          <c:dPt>
            <c:idx val="1"/>
            <c:bubble3D val="0"/>
            <c:spPr>
              <a:gradFill>
                <a:gsLst>
                  <a:gs pos="0">
                    <a:srgbClr val="FFF200"/>
                  </a:gs>
                  <a:gs pos="45000">
                    <a:srgbClr val="FF7A00"/>
                  </a:gs>
                  <a:gs pos="90000">
                    <a:srgbClr val="FF0300"/>
                  </a:gs>
                  <a:gs pos="100000">
                    <a:srgbClr val="C00000"/>
                  </a:gs>
                </a:gsLst>
                <a:lin ang="5400000" scaled="0"/>
              </a:gradFill>
            </c:spPr>
          </c:dPt>
          <c:dLbls>
            <c:dLbl>
              <c:idx val="0"/>
              <c:layout>
                <c:manualLayout>
                  <c:x val="3.0649241761446556E-2"/>
                  <c:y val="-2.9441944756905456E-2"/>
                </c:manualLayout>
              </c:layout>
              <c:tx>
                <c:rich>
                  <a:bodyPr/>
                  <a:lstStyle/>
                  <a:p>
                    <a:pPr>
                      <a:defRPr sz="1200" b="1" i="0" baseline="0">
                        <a:latin typeface="Times New Roman" pitchFamily="18" charset="0"/>
                      </a:defRPr>
                    </a:pPr>
                    <a:r>
                      <a:rPr lang="en-US"/>
                      <a:t>30488</a:t>
                    </a:r>
                  </a:p>
                  <a:p>
                    <a:pPr>
                      <a:defRPr sz="1200" b="1" i="0" baseline="0">
                        <a:latin typeface="Times New Roman" pitchFamily="18" charset="0"/>
                      </a:defRPr>
                    </a:pPr>
                    <a:r>
                      <a:rPr lang="en-US"/>
                      <a:t> 9%</a:t>
                    </a:r>
                  </a:p>
                </c:rich>
              </c:tx>
              <c:spPr/>
              <c:showLegendKey val="0"/>
              <c:showVal val="1"/>
              <c:showCatName val="0"/>
              <c:showSerName val="0"/>
              <c:showPercent val="1"/>
              <c:showBubbleSize val="0"/>
              <c:extLst>
                <c:ext xmlns:c15="http://schemas.microsoft.com/office/drawing/2012/chart" uri="{CE6537A1-D6FC-4f65-9D91-7224C49458BB}"/>
              </c:extLst>
            </c:dLbl>
            <c:dLbl>
              <c:idx val="1"/>
              <c:layout>
                <c:manualLayout>
                  <c:x val="6.6556758530183724E-2"/>
                  <c:y val="0.1010129983752031"/>
                </c:manualLayout>
              </c:layout>
              <c:tx>
                <c:rich>
                  <a:bodyPr/>
                  <a:lstStyle/>
                  <a:p>
                    <a:pPr>
                      <a:defRPr sz="1200" b="1" i="0" baseline="0">
                        <a:latin typeface="Times New Roman" pitchFamily="18" charset="0"/>
                      </a:defRPr>
                    </a:pPr>
                    <a:r>
                      <a:rPr lang="en-US"/>
                      <a:t>312804</a:t>
                    </a:r>
                  </a:p>
                  <a:p>
                    <a:pPr>
                      <a:defRPr sz="1200" b="1" i="0" baseline="0">
                        <a:latin typeface="Times New Roman" pitchFamily="18" charset="0"/>
                      </a:defRPr>
                    </a:pPr>
                    <a:r>
                      <a:rPr lang="en-US"/>
                      <a:t>91%</a:t>
                    </a:r>
                  </a:p>
                </c:rich>
              </c:tx>
              <c:spPr/>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extLst>
          </c:dLbls>
          <c:cat>
            <c:strRef>
              <c:f>Sheet1!$A$2:$A$3</c:f>
              <c:strCache>
                <c:ptCount val="2"/>
                <c:pt idx="0">
                  <c:v>Заявления за освобождаване</c:v>
                </c:pt>
                <c:pt idx="1">
                  <c:v>Молби за вписване</c:v>
                </c:pt>
              </c:strCache>
            </c:strRef>
          </c:cat>
          <c:val>
            <c:numRef>
              <c:f>Sheet1!$B$2:$B$3</c:f>
              <c:numCache>
                <c:formatCode>General</c:formatCode>
                <c:ptCount val="2"/>
                <c:pt idx="0">
                  <c:v>30488</c:v>
                </c:pt>
                <c:pt idx="1">
                  <c:v>312804</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1954615048119008"/>
          <c:y val="0.42157074115735543"/>
          <c:w val="0.26656496062992141"/>
          <c:h val="0.31201724784401963"/>
        </c:manualLayout>
      </c:layout>
      <c:overlay val="0"/>
      <c:txPr>
        <a:bodyPr/>
        <a:lstStyle/>
        <a:p>
          <a:pPr>
            <a:defRPr sz="1200" baseline="0">
              <a:latin typeface="Times New Roman" pitchFamily="18" charset="0"/>
            </a:defRPr>
          </a:pPr>
          <a:endParaRPr lang="bg-BG"/>
        </a:p>
      </c:txPr>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defRPr>
            </a:pPr>
            <a:r>
              <a:rPr lang="bg-BG"/>
              <a:t>Състояние на регистрацията на поитически субекти, участвали в изборите за народни представители</a:t>
            </a:r>
          </a:p>
        </c:rich>
      </c:tx>
      <c:layout>
        <c:manualLayout>
          <c:xMode val="edge"/>
          <c:yMode val="edge"/>
          <c:x val="0.12434601924759404"/>
          <c:y val="4.3650793650793704E-2"/>
        </c:manualLayout>
      </c:layout>
      <c:overlay val="0"/>
    </c:title>
    <c:autoTitleDeleted val="0"/>
    <c:view3D>
      <c:rotX val="30"/>
      <c:rotY val="160"/>
      <c:rAngAx val="0"/>
      <c:perspective val="30"/>
    </c:view3D>
    <c:floor>
      <c:thickness val="0"/>
    </c:floor>
    <c:sideWall>
      <c:thickness val="0"/>
    </c:sideWall>
    <c:backWall>
      <c:thickness val="0"/>
    </c:backWall>
    <c:plotArea>
      <c:layout>
        <c:manualLayout>
          <c:layoutTarget val="inner"/>
          <c:xMode val="edge"/>
          <c:yMode val="edge"/>
          <c:x val="2.5462962962962982E-2"/>
          <c:y val="0.25079365079365079"/>
          <c:w val="0.72438411344415365"/>
          <c:h val="0.74920634920634821"/>
        </c:manualLayout>
      </c:layout>
      <c:pie3DChart>
        <c:varyColors val="1"/>
        <c:ser>
          <c:idx val="0"/>
          <c:order val="0"/>
          <c:tx>
            <c:strRef>
              <c:f>Sheet1!$B$1</c:f>
              <c:strCache>
                <c:ptCount val="1"/>
                <c:pt idx="0">
                  <c:v>Състояние на регистрацията н апоитически субекти, участвали в изборите за народни представители</c:v>
                </c:pt>
              </c:strCache>
            </c:strRef>
          </c:tx>
          <c:explosion val="18"/>
          <c:dPt>
            <c:idx val="0"/>
            <c:bubble3D val="0"/>
            <c:explosion val="14"/>
            <c:spPr>
              <a:gradFill>
                <a:gsLst>
                  <a:gs pos="0">
                    <a:srgbClr val="DDEBCF"/>
                  </a:gs>
                  <a:gs pos="50000">
                    <a:srgbClr val="9CB86E"/>
                  </a:gs>
                  <a:gs pos="100000">
                    <a:srgbClr val="156B13"/>
                  </a:gs>
                </a:gsLst>
                <a:lin ang="5400000" scaled="0"/>
              </a:gradFill>
            </c:spPr>
          </c:dPt>
          <c:dPt>
            <c:idx val="1"/>
            <c:bubble3D val="0"/>
            <c:spPr>
              <a:gradFill>
                <a:gsLst>
                  <a:gs pos="0">
                    <a:srgbClr val="FFF200"/>
                  </a:gs>
                  <a:gs pos="45000">
                    <a:srgbClr val="FF7A00"/>
                  </a:gs>
                  <a:gs pos="89000">
                    <a:srgbClr val="FF0300"/>
                  </a:gs>
                  <a:gs pos="100000">
                    <a:srgbClr val="C00000"/>
                  </a:gs>
                </a:gsLst>
                <a:lin ang="5400000" scaled="0"/>
              </a:gradFill>
            </c:spPr>
          </c:dPt>
          <c:dLbls>
            <c:dLbl>
              <c:idx val="0"/>
              <c:layout>
                <c:manualLayout>
                  <c:x val="1.0991360454943132E-2"/>
                  <c:y val="-2.7272840894888191E-2"/>
                </c:manualLayout>
              </c:layout>
              <c:spPr/>
              <c:txPr>
                <a:bodyPr/>
                <a:lstStyle/>
                <a:p>
                  <a:pPr>
                    <a:defRPr sz="1200" b="1" i="0" baseline="0">
                      <a:latin typeface="Times New Roman"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9921259842519687E-2"/>
                  <c:y val="-1.1358580177477815E-2"/>
                </c:manualLayout>
              </c:layout>
              <c:spPr/>
              <c:txPr>
                <a:bodyPr/>
                <a:lstStyle/>
                <a:p>
                  <a:pPr>
                    <a:defRPr sz="1200" b="1" i="0" baseline="0">
                      <a:latin typeface="Times New Roman"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Със заявление</c:v>
                </c:pt>
                <c:pt idx="1">
                  <c:v>Без заявление</c:v>
                </c:pt>
              </c:strCache>
            </c:strRef>
          </c:cat>
          <c:val>
            <c:numRef>
              <c:f>Sheet1!$B$2:$B$3</c:f>
              <c:numCache>
                <c:formatCode>0%</c:formatCode>
                <c:ptCount val="2"/>
                <c:pt idx="0">
                  <c:v>0.9</c:v>
                </c:pt>
                <c:pt idx="1">
                  <c:v>0.1</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1200" baseline="0">
              <a:latin typeface="Times New Roman" pitchFamily="18" charset="0"/>
            </a:defRPr>
          </a:pPr>
          <a:endParaRPr lang="bg-BG"/>
        </a:p>
      </c:txPr>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defRPr>
            </a:pPr>
            <a:r>
              <a:rPr lang="bg-BG"/>
              <a:t>Оценка на обученията, проведени от КЗЛД</a:t>
            </a:r>
          </a:p>
        </c:rich>
      </c:tx>
      <c:layout>
        <c:manualLayout>
          <c:xMode val="edge"/>
          <c:yMode val="edge"/>
          <c:x val="0.22234944590259578"/>
          <c:y val="4.7619047619047623E-2"/>
        </c:manualLayout>
      </c:layout>
      <c:overlay val="0"/>
    </c:title>
    <c:autoTitleDeleted val="0"/>
    <c:view3D>
      <c:rotX val="30"/>
      <c:rotY val="170"/>
      <c:rAngAx val="0"/>
      <c:perspective val="30"/>
    </c:view3D>
    <c:floor>
      <c:thickness val="0"/>
    </c:floor>
    <c:sideWall>
      <c:thickness val="0"/>
    </c:sideWall>
    <c:backWall>
      <c:thickness val="0"/>
    </c:backWall>
    <c:plotArea>
      <c:layout/>
      <c:pie3DChart>
        <c:varyColors val="1"/>
        <c:ser>
          <c:idx val="0"/>
          <c:order val="0"/>
          <c:tx>
            <c:strRef>
              <c:f>Sheet1!$B$1</c:f>
              <c:strCache>
                <c:ptCount val="1"/>
                <c:pt idx="0">
                  <c:v>Оценка на обучението, проведено от КЗЛД</c:v>
                </c:pt>
              </c:strCache>
            </c:strRef>
          </c:tx>
          <c:explosion val="25"/>
          <c:dPt>
            <c:idx val="0"/>
            <c:bubble3D val="0"/>
            <c:spPr>
              <a:gradFill>
                <a:gsLst>
                  <a:gs pos="0">
                    <a:srgbClr val="FFF200"/>
                  </a:gs>
                  <a:gs pos="45000">
                    <a:srgbClr val="FF7A00"/>
                  </a:gs>
                  <a:gs pos="70000">
                    <a:srgbClr val="FF0300"/>
                  </a:gs>
                  <a:gs pos="100000">
                    <a:srgbClr val="4D0808"/>
                  </a:gs>
                </a:gsLst>
                <a:lin ang="5400000" scaled="0"/>
              </a:gradFill>
            </c:spPr>
          </c:dPt>
          <c:dPt>
            <c:idx val="1"/>
            <c:bubble3D val="0"/>
            <c:spPr>
              <a:gradFill>
                <a:gsLst>
                  <a:gs pos="0">
                    <a:srgbClr val="03D4A8"/>
                  </a:gs>
                  <a:gs pos="25000">
                    <a:srgbClr val="21D6E0"/>
                  </a:gs>
                  <a:gs pos="75000">
                    <a:srgbClr val="0087E6"/>
                  </a:gs>
                  <a:gs pos="100000">
                    <a:srgbClr val="005CBF"/>
                  </a:gs>
                </a:gsLst>
                <a:lin ang="5400000" scaled="0"/>
              </a:gradFill>
            </c:spPr>
          </c:dPt>
          <c:dPt>
            <c:idx val="2"/>
            <c:bubble3D val="0"/>
            <c:spPr>
              <a:gradFill>
                <a:gsLst>
                  <a:gs pos="0">
                    <a:srgbClr val="DDEBCF"/>
                  </a:gs>
                  <a:gs pos="50000">
                    <a:srgbClr val="9CB86E"/>
                  </a:gs>
                  <a:gs pos="100000">
                    <a:srgbClr val="156B13"/>
                  </a:gs>
                </a:gsLst>
                <a:lin ang="5400000" scaled="0"/>
              </a:gradFill>
            </c:spPr>
          </c:dPt>
          <c:dPt>
            <c:idx val="3"/>
            <c:bubble3D val="0"/>
            <c:spPr>
              <a:solidFill>
                <a:schemeClr val="tx1"/>
              </a:solidFill>
            </c:spPr>
          </c:dPt>
          <c:dLbls>
            <c:dLbl>
              <c:idx val="0"/>
              <c:layout>
                <c:manualLayout>
                  <c:x val="1.8416630212890063E-2"/>
                  <c:y val="-6.59698787651542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168416447943931E-2"/>
                  <c:y val="-7.15251218597675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520997375328202E-3"/>
                  <c:y val="-1.593457067866522E-2"/>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7.0555373286672496E-2"/>
                  <c:y val="-2.2754030746156732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Sheet1!$A$2:$A$5</c:f>
              <c:strCache>
                <c:ptCount val="4"/>
                <c:pt idx="0">
                  <c:v>Отлична</c:v>
                </c:pt>
                <c:pt idx="1">
                  <c:v>Много добра</c:v>
                </c:pt>
                <c:pt idx="2">
                  <c:v>Добра</c:v>
                </c:pt>
                <c:pt idx="3">
                  <c:v>Задоволителна</c:v>
                </c:pt>
              </c:strCache>
            </c:strRef>
          </c:cat>
          <c:val>
            <c:numRef>
              <c:f>Sheet1!$B$2:$B$5</c:f>
              <c:numCache>
                <c:formatCode>0%</c:formatCode>
                <c:ptCount val="4"/>
                <c:pt idx="0">
                  <c:v>0.58000000000000007</c:v>
                </c:pt>
                <c:pt idx="1">
                  <c:v>0.35000000000000031</c:v>
                </c:pt>
                <c:pt idx="2">
                  <c:v>7.0000000000000021E-2</c:v>
                </c:pt>
                <c:pt idx="3">
                  <c:v>1.0000000000000005E-2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6495133420822503"/>
          <c:y val="0.45728502687164102"/>
          <c:w val="0.21653014727325751"/>
          <c:h val="0.30408073990751244"/>
        </c:manualLayout>
      </c:layout>
      <c:overlay val="0"/>
      <c:txPr>
        <a:bodyPr/>
        <a:lstStyle/>
        <a:p>
          <a:pPr>
            <a:defRPr sz="1200" baseline="0">
              <a:latin typeface="Times New Roman" pitchFamily="18" charset="0"/>
            </a:defRPr>
          </a:pPr>
          <a:endParaRPr lang="bg-BG"/>
        </a:p>
      </c:txPr>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400" b="1" i="0" u="none" strike="noStrike" kern="1200" baseline="0">
                <a:solidFill>
                  <a:sysClr val="windowText" lastClr="000000"/>
                </a:solidFill>
                <a:latin typeface="+mn-lt"/>
                <a:ea typeface="+mn-ea"/>
                <a:cs typeface="+mn-cs"/>
              </a:defRPr>
            </a:pPr>
            <a:r>
              <a:rPr lang="bg-BG" sz="1400" b="1" i="0" u="none" strike="noStrike" baseline="0">
                <a:effectLst/>
                <a:latin typeface="Times New Roman" panose="02020603050405020304" pitchFamily="18" charset="0"/>
                <a:cs typeface="Times New Roman" panose="02020603050405020304" pitchFamily="18" charset="0"/>
              </a:rPr>
              <a:t>Общо вписани в регистъра </a:t>
            </a:r>
            <a:r>
              <a:rPr lang="ru-RU" sz="1400" baseline="0">
                <a:latin typeface="Times New Roman" panose="02020603050405020304" pitchFamily="18" charset="0"/>
                <a:cs typeface="Times New Roman" panose="02020603050405020304" pitchFamily="18" charset="0"/>
              </a:rPr>
              <a:t>АЛД</a:t>
            </a:r>
            <a:endParaRPr lang="en-US" sz="1400" baseline="0">
              <a:latin typeface="Times New Roman" panose="02020603050405020304" pitchFamily="18" charset="0"/>
              <a:cs typeface="Times New Roman" panose="02020603050405020304" pitchFamily="18" charset="0"/>
            </a:endParaRPr>
          </a:p>
        </c:rich>
      </c:tx>
      <c:overlay val="0"/>
    </c:title>
    <c:autoTitleDeleted val="0"/>
    <c:view3D>
      <c:rotX val="10"/>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Series 1</c:v>
                </c:pt>
              </c:strCache>
            </c:strRef>
          </c:tx>
          <c:spPr>
            <a:solidFill>
              <a:srgbClr val="FF0000"/>
            </a:solidFill>
          </c:spPr>
          <c:invertIfNegative val="0"/>
          <c:dLbls>
            <c:dLbl>
              <c:idx val="0"/>
              <c:layout>
                <c:manualLayout>
                  <c:x val="3.2407407407407753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1.19047619047618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151064450411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926E-3"/>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GB" sz="1000" b="1" baseline="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93651</c:v>
                </c:pt>
                <c:pt idx="1">
                  <c:v>135497</c:v>
                </c:pt>
                <c:pt idx="2">
                  <c:v>203847</c:v>
                </c:pt>
                <c:pt idx="3">
                  <c:v>246382</c:v>
                </c:pt>
                <c:pt idx="4">
                  <c:v>273069</c:v>
                </c:pt>
              </c:numCache>
            </c:numRef>
          </c:val>
        </c:ser>
        <c:dLbls>
          <c:showLegendKey val="0"/>
          <c:showVal val="0"/>
          <c:showCatName val="0"/>
          <c:showSerName val="0"/>
          <c:showPercent val="0"/>
          <c:showBubbleSize val="0"/>
        </c:dLbls>
        <c:gapWidth val="150"/>
        <c:shape val="cylinder"/>
        <c:axId val="141146368"/>
        <c:axId val="179548928"/>
        <c:axId val="0"/>
      </c:bar3DChart>
      <c:catAx>
        <c:axId val="141146368"/>
        <c:scaling>
          <c:orientation val="minMax"/>
        </c:scaling>
        <c:delete val="0"/>
        <c:axPos val="l"/>
        <c:numFmt formatCode="General" sourceLinked="1"/>
        <c:majorTickMark val="out"/>
        <c:minorTickMark val="none"/>
        <c:tickLblPos val="nextTo"/>
        <c:txPr>
          <a:bodyPr/>
          <a:lstStyle/>
          <a:p>
            <a:pPr>
              <a:defRPr lang="en-GB" sz="1000" baseline="0">
                <a:latin typeface="Times New Roman" panose="02020603050405020304" pitchFamily="18" charset="0"/>
                <a:cs typeface="Times New Roman" panose="02020603050405020304" pitchFamily="18" charset="0"/>
              </a:defRPr>
            </a:pPr>
            <a:endParaRPr lang="bg-BG"/>
          </a:p>
        </c:txPr>
        <c:crossAx val="179548928"/>
        <c:crosses val="autoZero"/>
        <c:auto val="1"/>
        <c:lblAlgn val="ctr"/>
        <c:lblOffset val="100"/>
        <c:noMultiLvlLbl val="0"/>
      </c:catAx>
      <c:valAx>
        <c:axId val="179548928"/>
        <c:scaling>
          <c:orientation val="minMax"/>
        </c:scaling>
        <c:delete val="0"/>
        <c:axPos val="b"/>
        <c:majorGridlines/>
        <c:numFmt formatCode="General" sourceLinked="1"/>
        <c:majorTickMark val="out"/>
        <c:minorTickMark val="none"/>
        <c:tickLblPos val="nextTo"/>
        <c:txPr>
          <a:bodyPr/>
          <a:lstStyle/>
          <a:p>
            <a:pPr>
              <a:defRPr lang="en-GB" sz="1000" baseline="0">
                <a:latin typeface="Times New Roman" panose="02020603050405020304" pitchFamily="18" charset="0"/>
                <a:cs typeface="Times New Roman" panose="02020603050405020304" pitchFamily="18" charset="0"/>
              </a:defRPr>
            </a:pPr>
            <a:endParaRPr lang="bg-BG"/>
          </a:p>
        </c:txPr>
        <c:crossAx val="141146368"/>
        <c:crosses val="autoZero"/>
        <c:crossBetween val="between"/>
      </c:valAx>
    </c:plotArea>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400" b="1" i="0" u="none" strike="noStrike" kern="1200" baseline="0">
                <a:solidFill>
                  <a:sysClr val="windowText" lastClr="000000"/>
                </a:solidFill>
                <a:latin typeface="+mn-lt"/>
                <a:ea typeface="+mn-ea"/>
                <a:cs typeface="+mn-cs"/>
              </a:defRPr>
            </a:pPr>
            <a:r>
              <a:rPr lang="bg-BG" sz="1400" b="1" i="0" u="none" strike="noStrike" baseline="0">
                <a:effectLst/>
                <a:latin typeface="Times New Roman" panose="02020603050405020304" pitchFamily="18" charset="0"/>
                <a:cs typeface="Times New Roman" panose="02020603050405020304" pitchFamily="18" charset="0"/>
              </a:rPr>
              <a:t>Общо освободени от регистрация </a:t>
            </a:r>
            <a:r>
              <a:rPr lang="ru-RU" sz="1400">
                <a:latin typeface="Times New Roman" panose="02020603050405020304" pitchFamily="18" charset="0"/>
                <a:cs typeface="Times New Roman" panose="02020603050405020304" pitchFamily="18" charset="0"/>
              </a:rPr>
              <a:t>АЛД</a:t>
            </a:r>
            <a:endParaRPr lang="en-US" sz="1400">
              <a:latin typeface="Times New Roman" panose="02020603050405020304" pitchFamily="18" charset="0"/>
              <a:cs typeface="Times New Roman" panose="02020603050405020304" pitchFamily="18" charset="0"/>
            </a:endParaRPr>
          </a:p>
        </c:rich>
      </c:tx>
      <c:overlay val="0"/>
    </c:title>
    <c:autoTitleDeleted val="0"/>
    <c:view3D>
      <c:rotX val="10"/>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Series 1</c:v>
                </c:pt>
              </c:strCache>
            </c:strRef>
          </c:tx>
          <c:spPr>
            <a:solidFill>
              <a:schemeClr val="tx2">
                <a:lumMod val="60000"/>
                <a:lumOff val="40000"/>
              </a:schemeClr>
            </a:solidFill>
          </c:spPr>
          <c:invertIfNegative val="0"/>
          <c:dLbls>
            <c:dLbl>
              <c:idx val="0"/>
              <c:layout>
                <c:manualLayout>
                  <c:x val="-2.3149970836979349E-3"/>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926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727E-3"/>
                  <c:y val="-2.7777777777778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4473607465716E-3"/>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926E-3"/>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GB" sz="1000" b="1" baseline="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8305</c:v>
                </c:pt>
                <c:pt idx="1">
                  <c:v>26627</c:v>
                </c:pt>
                <c:pt idx="2">
                  <c:v>26980</c:v>
                </c:pt>
                <c:pt idx="3">
                  <c:v>27351</c:v>
                </c:pt>
                <c:pt idx="4">
                  <c:v>27497</c:v>
                </c:pt>
              </c:numCache>
            </c:numRef>
          </c:val>
        </c:ser>
        <c:dLbls>
          <c:showLegendKey val="0"/>
          <c:showVal val="0"/>
          <c:showCatName val="0"/>
          <c:showSerName val="0"/>
          <c:showPercent val="0"/>
          <c:showBubbleSize val="0"/>
        </c:dLbls>
        <c:gapWidth val="150"/>
        <c:shape val="cylinder"/>
        <c:axId val="185782272"/>
        <c:axId val="185784192"/>
        <c:axId val="0"/>
      </c:bar3DChart>
      <c:catAx>
        <c:axId val="185782272"/>
        <c:scaling>
          <c:orientation val="minMax"/>
        </c:scaling>
        <c:delete val="0"/>
        <c:axPos val="l"/>
        <c:numFmt formatCode="General" sourceLinked="1"/>
        <c:majorTickMark val="out"/>
        <c:minorTickMark val="none"/>
        <c:tickLblPos val="nextTo"/>
        <c:txPr>
          <a:bodyPr/>
          <a:lstStyle/>
          <a:p>
            <a:pPr>
              <a:defRPr lang="en-GB" sz="1000" baseline="0">
                <a:latin typeface="Times New Roman" panose="02020603050405020304" pitchFamily="18" charset="0"/>
                <a:cs typeface="Times New Roman" panose="02020603050405020304" pitchFamily="18" charset="0"/>
              </a:defRPr>
            </a:pPr>
            <a:endParaRPr lang="bg-BG"/>
          </a:p>
        </c:txPr>
        <c:crossAx val="185784192"/>
        <c:crosses val="autoZero"/>
        <c:auto val="1"/>
        <c:lblAlgn val="ctr"/>
        <c:lblOffset val="100"/>
        <c:noMultiLvlLbl val="0"/>
      </c:catAx>
      <c:valAx>
        <c:axId val="185784192"/>
        <c:scaling>
          <c:orientation val="minMax"/>
        </c:scaling>
        <c:delete val="0"/>
        <c:axPos val="b"/>
        <c:majorGridlines/>
        <c:numFmt formatCode="General" sourceLinked="1"/>
        <c:majorTickMark val="out"/>
        <c:minorTickMark val="none"/>
        <c:tickLblPos val="nextTo"/>
        <c:txPr>
          <a:bodyPr/>
          <a:lstStyle/>
          <a:p>
            <a:pPr>
              <a:defRPr lang="en-GB" sz="1000" baseline="0">
                <a:latin typeface="Times New Roman" panose="02020603050405020304" pitchFamily="18" charset="0"/>
                <a:cs typeface="Times New Roman" panose="02020603050405020304" pitchFamily="18" charset="0"/>
              </a:defRPr>
            </a:pPr>
            <a:endParaRPr lang="bg-BG"/>
          </a:p>
        </c:txPr>
        <c:crossAx val="185782272"/>
        <c:crosses val="autoZero"/>
        <c:crossBetween val="between"/>
      </c:valAx>
    </c:plotArea>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aseline="0">
              <a:latin typeface="Times New Roman" pitchFamily="18" charset="0"/>
            </a:defRPr>
          </a:pPr>
          <a:endParaRPr lang="bg-BG"/>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075204141149071E-2"/>
          <c:y val="0.20386889138857642"/>
          <c:w val="0.60690635024788564"/>
          <c:h val="0.75575428071491069"/>
        </c:manualLayout>
      </c:layout>
      <c:pie3DChart>
        <c:varyColors val="1"/>
        <c:ser>
          <c:idx val="0"/>
          <c:order val="0"/>
          <c:tx>
            <c:strRef>
              <c:f>Sheet1!$B$1</c:f>
              <c:strCache>
                <c:ptCount val="1"/>
                <c:pt idx="0">
                  <c:v>Сектори на дейност, срещу които най-често са постъпвали жалби от физически лица</c:v>
                </c:pt>
              </c:strCache>
            </c:strRef>
          </c:tx>
          <c:explosion val="25"/>
          <c:dPt>
            <c:idx val="0"/>
            <c:bubble3D val="0"/>
            <c:spPr>
              <a:gradFill>
                <a:gsLst>
                  <a:gs pos="0">
                    <a:srgbClr val="5E9EFF"/>
                  </a:gs>
                  <a:gs pos="39999">
                    <a:srgbClr val="85C2FF"/>
                  </a:gs>
                  <a:gs pos="70000">
                    <a:srgbClr val="C4D6EB"/>
                  </a:gs>
                  <a:gs pos="100000">
                    <a:srgbClr val="FFEBFA"/>
                  </a:gs>
                </a:gsLst>
                <a:lin ang="5400000" scaled="0"/>
              </a:gradFill>
            </c:spPr>
          </c:dPt>
          <c:dPt>
            <c:idx val="1"/>
            <c:bubble3D val="0"/>
            <c:spPr>
              <a:gradFill>
                <a:gsLst>
                  <a:gs pos="0">
                    <a:srgbClr val="FFF200"/>
                  </a:gs>
                  <a:gs pos="45000">
                    <a:srgbClr val="FF7A00"/>
                  </a:gs>
                  <a:gs pos="70000">
                    <a:srgbClr val="FF0300"/>
                  </a:gs>
                  <a:gs pos="100000">
                    <a:srgbClr val="4D0808"/>
                  </a:gs>
                </a:gsLst>
                <a:lin ang="5400000" scaled="0"/>
              </a:gradFill>
            </c:spPr>
          </c:dPt>
          <c:dPt>
            <c:idx val="2"/>
            <c:bubble3D val="0"/>
            <c:spPr>
              <a:gradFill>
                <a:gsLst>
                  <a:gs pos="0">
                    <a:srgbClr val="DDEBCF"/>
                  </a:gs>
                  <a:gs pos="50000">
                    <a:srgbClr val="9CB86E"/>
                  </a:gs>
                  <a:gs pos="100000">
                    <a:srgbClr val="156B13"/>
                  </a:gs>
                </a:gsLst>
                <a:lin ang="5400000" scaled="0"/>
              </a:gradFill>
            </c:spPr>
          </c:dPt>
          <c:dPt>
            <c:idx val="3"/>
            <c:bubble3D val="0"/>
            <c:spPr>
              <a:gradFill>
                <a:gsLst>
                  <a:gs pos="0">
                    <a:srgbClr val="D6B19C"/>
                  </a:gs>
                  <a:gs pos="30000">
                    <a:srgbClr val="D49E6C"/>
                  </a:gs>
                  <a:gs pos="84000">
                    <a:srgbClr val="A65528"/>
                  </a:gs>
                  <a:gs pos="100000">
                    <a:schemeClr val="accent2">
                      <a:lumMod val="75000"/>
                    </a:schemeClr>
                  </a:gs>
                </a:gsLst>
                <a:lin ang="5400000" scaled="0"/>
              </a:gradFill>
            </c:spPr>
          </c:dPt>
          <c:dPt>
            <c:idx val="4"/>
            <c:bubble3D val="0"/>
            <c:spPr>
              <a:gradFill>
                <a:gsLst>
                  <a:gs pos="0">
                    <a:srgbClr val="03D4A8"/>
                  </a:gs>
                  <a:gs pos="25000">
                    <a:srgbClr val="21D6E0"/>
                  </a:gs>
                  <a:gs pos="75000">
                    <a:srgbClr val="0087E6"/>
                  </a:gs>
                  <a:gs pos="100000">
                    <a:srgbClr val="005CBF"/>
                  </a:gs>
                </a:gsLst>
                <a:lin ang="5400000" scaled="0"/>
              </a:gradFill>
            </c:spPr>
          </c:dPt>
          <c:dPt>
            <c:idx val="5"/>
            <c:bubble3D val="0"/>
            <c:spPr>
              <a:solidFill>
                <a:schemeClr val="accent2">
                  <a:lumMod val="75000"/>
                </a:schemeClr>
              </a:solidFill>
            </c:spPr>
          </c:dPt>
          <c:dLbls>
            <c:dLbl>
              <c:idx val="0"/>
              <c:layout>
                <c:manualLayout>
                  <c:x val="-3.435084937299504E-2"/>
                  <c:y val="5.14307586551681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677985564304568E-2"/>
                  <c:y val="-4.99250093738282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0145632837561971E-3"/>
                  <c:y val="5.958942632170981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120370370370381E-2"/>
                  <c:y val="-3.19241344831896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6"/>
                <c:pt idx="0">
                  <c:v>Политически субекти</c:v>
                </c:pt>
                <c:pt idx="1">
                  <c:v>Телекомуникации</c:v>
                </c:pt>
                <c:pt idx="2">
                  <c:v>Банки и кредитни институции</c:v>
                </c:pt>
                <c:pt idx="3">
                  <c:v>Съдебна система, нотариуси, съдебни изпълнители</c:v>
                </c:pt>
                <c:pt idx="4">
                  <c:v>Медии и интернет</c:v>
                </c:pt>
                <c:pt idx="5">
                  <c:v>Местно самоуправление</c:v>
                </c:pt>
              </c:strCache>
            </c:strRef>
          </c:cat>
          <c:val>
            <c:numRef>
              <c:f>Sheet1!$B$2:$B$7</c:f>
              <c:numCache>
                <c:formatCode>General</c:formatCode>
                <c:ptCount val="6"/>
                <c:pt idx="0">
                  <c:v>549</c:v>
                </c:pt>
                <c:pt idx="1">
                  <c:v>137</c:v>
                </c:pt>
                <c:pt idx="2">
                  <c:v>36</c:v>
                </c:pt>
                <c:pt idx="3">
                  <c:v>17</c:v>
                </c:pt>
                <c:pt idx="4">
                  <c:v>14</c:v>
                </c:pt>
                <c:pt idx="5">
                  <c:v>6</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6516786964129482"/>
          <c:y val="0.24926571678540219"/>
          <c:w val="0.33483213035870574"/>
          <c:h val="0.66496062992125959"/>
        </c:manualLayout>
      </c:layout>
      <c:overlay val="0"/>
      <c:txPr>
        <a:bodyPr/>
        <a:lstStyle/>
        <a:p>
          <a:pPr>
            <a:defRPr sz="1000" baseline="0">
              <a:latin typeface="Times New Roman" pitchFamily="18" charset="0"/>
            </a:defRPr>
          </a:pPr>
          <a:endParaRPr lang="bg-BG"/>
        </a:p>
      </c:txPr>
    </c:legend>
    <c:plotVisOnly val="1"/>
    <c:dispBlanksAs val="zero"/>
    <c:showDLblsOverMax val="0"/>
  </c:chart>
  <c:spPr>
    <a:gradFill>
      <a:gsLst>
        <a:gs pos="0">
          <a:srgbClr val="FFEFD1"/>
        </a:gs>
        <a:gs pos="84000">
          <a:srgbClr val="F0EBD5"/>
        </a:gs>
        <a:gs pos="100000">
          <a:srgbClr val="D1C39F"/>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Series 1</c:v>
                </c:pt>
              </c:strCache>
            </c:strRef>
          </c:tx>
          <c:invertIfNegative val="0"/>
          <c:cat>
            <c:strRef>
              <c:f>Sheet1!$A$2:$A$5</c:f>
              <c:strCache>
                <c:ptCount val="4"/>
                <c:pt idx="0">
                  <c:v>2011 г. </c:v>
                </c:pt>
                <c:pt idx="1">
                  <c:v>2012 г. </c:v>
                </c:pt>
                <c:pt idx="2">
                  <c:v>2013 г. </c:v>
                </c:pt>
                <c:pt idx="3">
                  <c:v>2014 г. </c:v>
                </c:pt>
              </c:strCache>
            </c:strRef>
          </c:cat>
          <c:val>
            <c:numRef>
              <c:f>Sheet1!$B$2:$B$5</c:f>
              <c:numCache>
                <c:formatCode>General</c:formatCode>
                <c:ptCount val="4"/>
                <c:pt idx="0">
                  <c:v>458</c:v>
                </c:pt>
                <c:pt idx="1">
                  <c:v>548</c:v>
                </c:pt>
                <c:pt idx="2">
                  <c:v>550</c:v>
                </c:pt>
                <c:pt idx="3">
                  <c:v>1100</c:v>
                </c:pt>
              </c:numCache>
            </c:numRef>
          </c:val>
        </c:ser>
        <c:ser>
          <c:idx val="1"/>
          <c:order val="1"/>
          <c:tx>
            <c:strRef>
              <c:f>Sheet1!$C$1</c:f>
              <c:strCache>
                <c:ptCount val="1"/>
                <c:pt idx="0">
                  <c:v>Column1</c:v>
                </c:pt>
              </c:strCache>
            </c:strRef>
          </c:tx>
          <c:invertIfNegative val="0"/>
          <c:cat>
            <c:strRef>
              <c:f>Sheet1!$A$2:$A$5</c:f>
              <c:strCache>
                <c:ptCount val="4"/>
                <c:pt idx="0">
                  <c:v>2011 г. </c:v>
                </c:pt>
                <c:pt idx="1">
                  <c:v>2012 г. </c:v>
                </c:pt>
                <c:pt idx="2">
                  <c:v>2013 г. </c:v>
                </c:pt>
                <c:pt idx="3">
                  <c:v>2014 г. </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2011 г. </c:v>
                </c:pt>
                <c:pt idx="1">
                  <c:v>2012 г. </c:v>
                </c:pt>
                <c:pt idx="2">
                  <c:v>2013 г. </c:v>
                </c:pt>
                <c:pt idx="3">
                  <c:v>2014 г. </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140308480"/>
        <c:axId val="140310016"/>
        <c:axId val="0"/>
      </c:bar3DChart>
      <c:catAx>
        <c:axId val="140308480"/>
        <c:scaling>
          <c:orientation val="minMax"/>
        </c:scaling>
        <c:delete val="0"/>
        <c:axPos val="l"/>
        <c:numFmt formatCode="General" sourceLinked="0"/>
        <c:majorTickMark val="out"/>
        <c:minorTickMark val="none"/>
        <c:tickLblPos val="nextTo"/>
        <c:txPr>
          <a:bodyPr/>
          <a:lstStyle/>
          <a:p>
            <a:pPr>
              <a:defRPr lang="en-GB"/>
            </a:pPr>
            <a:endParaRPr lang="bg-BG"/>
          </a:p>
        </c:txPr>
        <c:crossAx val="140310016"/>
        <c:crosses val="autoZero"/>
        <c:auto val="1"/>
        <c:lblAlgn val="ctr"/>
        <c:lblOffset val="100"/>
        <c:noMultiLvlLbl val="0"/>
      </c:catAx>
      <c:valAx>
        <c:axId val="140310016"/>
        <c:scaling>
          <c:orientation val="minMax"/>
        </c:scaling>
        <c:delete val="0"/>
        <c:axPos val="b"/>
        <c:majorGridlines/>
        <c:numFmt formatCode="General" sourceLinked="1"/>
        <c:majorTickMark val="out"/>
        <c:minorTickMark val="none"/>
        <c:tickLblPos val="nextTo"/>
        <c:txPr>
          <a:bodyPr/>
          <a:lstStyle/>
          <a:p>
            <a:pPr>
              <a:defRPr lang="en-GB"/>
            </a:pPr>
            <a:endParaRPr lang="bg-BG"/>
          </a:p>
        </c:txPr>
        <c:crossAx val="140308480"/>
        <c:crosses val="autoZero"/>
        <c:crossBetween val="between"/>
      </c:valAx>
    </c:plotArea>
    <c:plotVisOnly val="1"/>
    <c:dispBlanksAs val="gap"/>
    <c:showDLblsOverMax val="0"/>
  </c:chart>
  <c:spPr>
    <a:gradFill>
      <a:gsLst>
        <a:gs pos="0">
          <a:srgbClr val="FFEFD1"/>
        </a:gs>
        <a:gs pos="84000">
          <a:srgbClr val="F0EBD5"/>
        </a:gs>
        <a:gs pos="100000">
          <a:srgbClr val="D1C39F"/>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400" b="1" i="0" u="none" strike="noStrike" baseline="0">
                <a:solidFill>
                  <a:srgbClr val="000000"/>
                </a:solidFill>
                <a:latin typeface="Times New Roman" pitchFamily="18" charset="0"/>
                <a:ea typeface="Arial"/>
                <a:cs typeface="Arial"/>
              </a:defRPr>
            </a:pPr>
            <a:r>
              <a:rPr lang="bg-BG" sz="1400" baseline="0">
                <a:latin typeface="Times New Roman" pitchFamily="18" charset="0"/>
              </a:rPr>
              <a:t>Извършени проверки по вид</a:t>
            </a:r>
          </a:p>
        </c:rich>
      </c:tx>
      <c:layout>
        <c:manualLayout>
          <c:xMode val="edge"/>
          <c:yMode val="edge"/>
          <c:x val="0.27268075892593147"/>
          <c:y val="4.3816901919518335E-2"/>
        </c:manualLayout>
      </c:layout>
      <c:overlay val="0"/>
      <c:spPr>
        <a:noFill/>
        <a:ln w="25227">
          <a:noFill/>
        </a:ln>
      </c:spPr>
    </c:title>
    <c:autoTitleDeleted val="0"/>
    <c:view3D>
      <c:rotX val="15"/>
      <c:hPercent val="291"/>
      <c:rotY val="20"/>
      <c:depthPercent val="1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5.9829059829059825E-2"/>
          <c:y val="0.19512195121951029"/>
          <c:w val="0.91794871794872313"/>
          <c:h val="0.62369337979094053"/>
        </c:manualLayout>
      </c:layout>
      <c:bar3DChart>
        <c:barDir val="bar"/>
        <c:grouping val="clustered"/>
        <c:varyColors val="0"/>
        <c:ser>
          <c:idx val="0"/>
          <c:order val="0"/>
          <c:tx>
            <c:strRef>
              <c:f>Sheet1!$A$2</c:f>
              <c:strCache>
                <c:ptCount val="1"/>
                <c:pt idx="0">
                  <c:v>Предварителни</c:v>
                </c:pt>
              </c:strCache>
            </c:strRef>
          </c:tx>
          <c:spPr>
            <a:solidFill>
              <a:srgbClr val="FF6600"/>
            </a:solidFill>
            <a:ln w="12613">
              <a:solidFill>
                <a:srgbClr val="000000"/>
              </a:solidFill>
              <a:prstDash val="solid"/>
            </a:ln>
          </c:spPr>
          <c:invertIfNegative val="0"/>
          <c:dLbls>
            <c:dLbl>
              <c:idx val="0"/>
              <c:layout>
                <c:manualLayout>
                  <c:x val="3.5837671313633655E-2"/>
                  <c:y val="-1.5079197108889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463994289529701E-2"/>
                  <c:y val="-2.2630139074107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846153846153861"/>
                  <c:y val="0.18118466898954563"/>
                </c:manualLayout>
              </c:layout>
              <c:showLegendKey val="0"/>
              <c:showVal val="1"/>
              <c:showCatName val="0"/>
              <c:showSerName val="0"/>
              <c:showPercent val="0"/>
              <c:showBubbleSize val="0"/>
              <c:extLst>
                <c:ext xmlns:c15="http://schemas.microsoft.com/office/drawing/2012/chart" uri="{CE6537A1-D6FC-4f65-9D91-7224C49458BB}"/>
              </c:extLst>
            </c:dLbl>
            <c:spPr>
              <a:noFill/>
              <a:ln w="25227">
                <a:noFill/>
              </a:ln>
            </c:spPr>
            <c:txPr>
              <a:bodyPr/>
              <a:lstStyle/>
              <a:p>
                <a:pPr>
                  <a:defRPr lang="en-GB" sz="79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pt idx="0">
                  <c:v>2014</c:v>
                </c:pt>
              </c:numCache>
            </c:numRef>
          </c:cat>
          <c:val>
            <c:numRef>
              <c:f>Sheet1!$B$2:$B$2</c:f>
              <c:numCache>
                <c:formatCode>General</c:formatCode>
                <c:ptCount val="1"/>
                <c:pt idx="0">
                  <c:v>2242</c:v>
                </c:pt>
              </c:numCache>
            </c:numRef>
          </c:val>
        </c:ser>
        <c:ser>
          <c:idx val="1"/>
          <c:order val="1"/>
          <c:tx>
            <c:strRef>
              <c:f>Sheet1!$A$3</c:f>
              <c:strCache>
                <c:ptCount val="1"/>
                <c:pt idx="0">
                  <c:v>Текущи</c:v>
                </c:pt>
              </c:strCache>
            </c:strRef>
          </c:tx>
          <c:spPr>
            <a:solidFill>
              <a:srgbClr val="FF9900"/>
            </a:solidFill>
            <a:ln w="12613">
              <a:solidFill>
                <a:srgbClr val="000000"/>
              </a:solidFill>
              <a:prstDash val="solid"/>
            </a:ln>
          </c:spPr>
          <c:invertIfNegative val="0"/>
          <c:dLbls>
            <c:dLbl>
              <c:idx val="0"/>
              <c:layout>
                <c:manualLayout>
                  <c:x val="1.703177215293996E-2"/>
                  <c:y val="-1.63700374836611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310960064617386E-2"/>
                  <c:y val="-2.74053000063699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12649572649572649"/>
                  <c:y val="0.11498257839721254"/>
                </c:manualLayout>
              </c:layout>
              <c:showLegendKey val="0"/>
              <c:showVal val="1"/>
              <c:showCatName val="0"/>
              <c:showSerName val="0"/>
              <c:showPercent val="0"/>
              <c:showBubbleSize val="0"/>
              <c:extLst>
                <c:ext xmlns:c15="http://schemas.microsoft.com/office/drawing/2012/chart" uri="{CE6537A1-D6FC-4f65-9D91-7224C49458BB}"/>
              </c:extLst>
            </c:dLbl>
            <c:spPr>
              <a:noFill/>
              <a:ln w="25227">
                <a:noFill/>
              </a:ln>
            </c:spPr>
            <c:txPr>
              <a:bodyPr/>
              <a:lstStyle/>
              <a:p>
                <a:pPr>
                  <a:defRPr lang="en-GB" sz="79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pt idx="0">
                  <c:v>2014</c:v>
                </c:pt>
              </c:numCache>
            </c:numRef>
          </c:cat>
          <c:val>
            <c:numRef>
              <c:f>Sheet1!$B$3:$B$3</c:f>
              <c:numCache>
                <c:formatCode>General</c:formatCode>
                <c:ptCount val="1"/>
                <c:pt idx="0">
                  <c:v>21</c:v>
                </c:pt>
              </c:numCache>
            </c:numRef>
          </c:val>
        </c:ser>
        <c:ser>
          <c:idx val="2"/>
          <c:order val="2"/>
          <c:tx>
            <c:strRef>
              <c:f>Sheet1!$A$4</c:f>
              <c:strCache>
                <c:ptCount val="1"/>
                <c:pt idx="0">
                  <c:v>Последващи</c:v>
                </c:pt>
              </c:strCache>
            </c:strRef>
          </c:tx>
          <c:spPr>
            <a:solidFill>
              <a:srgbClr val="FFCC00"/>
            </a:solidFill>
            <a:ln w="12613">
              <a:solidFill>
                <a:srgbClr val="000000"/>
              </a:solidFill>
              <a:prstDash val="solid"/>
            </a:ln>
          </c:spPr>
          <c:invertIfNegative val="0"/>
          <c:dLbls>
            <c:dLbl>
              <c:idx val="0"/>
              <c:layout>
                <c:manualLayout>
                  <c:x val="2.2444995620884249E-2"/>
                  <c:y val="-2.46295189734152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165807709206611E-2"/>
                  <c:y val="-2.86964948627274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10085470085470086"/>
                  <c:y val="5.22648083623688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8.8888888888889767E-2"/>
                  <c:y val="1.0452961672473858E-2"/>
                </c:manualLayout>
              </c:layout>
              <c:showLegendKey val="0"/>
              <c:showVal val="1"/>
              <c:showCatName val="0"/>
              <c:showSerName val="0"/>
              <c:showPercent val="0"/>
              <c:showBubbleSize val="0"/>
              <c:extLst>
                <c:ext xmlns:c15="http://schemas.microsoft.com/office/drawing/2012/chart" uri="{CE6537A1-D6FC-4f65-9D91-7224C49458BB}"/>
              </c:extLst>
            </c:dLbl>
            <c:spPr>
              <a:noFill/>
              <a:ln w="25227">
                <a:noFill/>
              </a:ln>
            </c:spPr>
            <c:txPr>
              <a:bodyPr/>
              <a:lstStyle/>
              <a:p>
                <a:pPr>
                  <a:defRPr lang="en-GB" sz="79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pt idx="0">
                  <c:v>2014</c:v>
                </c:pt>
              </c:numCache>
            </c:numRef>
          </c:cat>
          <c:val>
            <c:numRef>
              <c:f>Sheet1!$B$4:$B$4</c:f>
              <c:numCache>
                <c:formatCode>General</c:formatCode>
                <c:ptCount val="1"/>
                <c:pt idx="0">
                  <c:v>77</c:v>
                </c:pt>
              </c:numCache>
            </c:numRef>
          </c:val>
        </c:ser>
        <c:dLbls>
          <c:showLegendKey val="0"/>
          <c:showVal val="1"/>
          <c:showCatName val="0"/>
          <c:showSerName val="0"/>
          <c:showPercent val="0"/>
          <c:showBubbleSize val="0"/>
        </c:dLbls>
        <c:gapWidth val="150"/>
        <c:gapDepth val="0"/>
        <c:shape val="box"/>
        <c:axId val="156438528"/>
        <c:axId val="156440064"/>
        <c:axId val="0"/>
      </c:bar3DChart>
      <c:catAx>
        <c:axId val="156438528"/>
        <c:scaling>
          <c:orientation val="minMax"/>
        </c:scaling>
        <c:delete val="0"/>
        <c:axPos val="l"/>
        <c:numFmt formatCode="General" sourceLinked="1"/>
        <c:majorTickMark val="out"/>
        <c:minorTickMark val="none"/>
        <c:tickLblPos val="low"/>
        <c:spPr>
          <a:ln w="3154">
            <a:solidFill>
              <a:srgbClr val="000000"/>
            </a:solidFill>
            <a:prstDash val="solid"/>
          </a:ln>
        </c:spPr>
        <c:txPr>
          <a:bodyPr rot="0" vert="horz"/>
          <a:lstStyle/>
          <a:p>
            <a:pPr>
              <a:defRPr lang="en-GB" sz="871" b="1" i="0" u="none" strike="noStrike" baseline="0">
                <a:solidFill>
                  <a:srgbClr val="000000"/>
                </a:solidFill>
                <a:latin typeface="Arial"/>
                <a:ea typeface="Arial"/>
                <a:cs typeface="Arial"/>
              </a:defRPr>
            </a:pPr>
            <a:endParaRPr lang="bg-BG"/>
          </a:p>
        </c:txPr>
        <c:crossAx val="156440064"/>
        <c:crosses val="autoZero"/>
        <c:auto val="1"/>
        <c:lblAlgn val="ctr"/>
        <c:lblOffset val="100"/>
        <c:tickLblSkip val="1"/>
        <c:tickMarkSkip val="1"/>
        <c:noMultiLvlLbl val="0"/>
      </c:catAx>
      <c:valAx>
        <c:axId val="156440064"/>
        <c:scaling>
          <c:orientation val="minMax"/>
        </c:scaling>
        <c:delete val="0"/>
        <c:axPos val="b"/>
        <c:majorGridlines>
          <c:spPr>
            <a:ln w="3154">
              <a:solidFill>
                <a:srgbClr val="000000"/>
              </a:solidFill>
              <a:prstDash val="solid"/>
            </a:ln>
          </c:spPr>
        </c:majorGridlines>
        <c:numFmt formatCode="General" sourceLinked="1"/>
        <c:majorTickMark val="out"/>
        <c:minorTickMark val="none"/>
        <c:tickLblPos val="nextTo"/>
        <c:spPr>
          <a:ln w="9460">
            <a:noFill/>
          </a:ln>
        </c:spPr>
        <c:txPr>
          <a:bodyPr rot="0" vert="horz"/>
          <a:lstStyle/>
          <a:p>
            <a:pPr>
              <a:defRPr lang="en-GB" sz="871" b="1" i="0" u="none" strike="noStrike" baseline="0">
                <a:solidFill>
                  <a:srgbClr val="000000"/>
                </a:solidFill>
                <a:latin typeface="Arial"/>
                <a:ea typeface="Arial"/>
                <a:cs typeface="Arial"/>
              </a:defRPr>
            </a:pPr>
            <a:endParaRPr lang="bg-BG"/>
          </a:p>
        </c:txPr>
        <c:crossAx val="156438528"/>
        <c:crosses val="autoZero"/>
        <c:crossBetween val="between"/>
      </c:valAx>
      <c:spPr>
        <a:noFill/>
        <a:ln w="25294">
          <a:noFill/>
        </a:ln>
      </c:spPr>
    </c:plotArea>
    <c:legend>
      <c:legendPos val="b"/>
      <c:layout>
        <c:manualLayout>
          <c:xMode val="edge"/>
          <c:yMode val="edge"/>
          <c:x val="4.0607886977090816E-3"/>
          <c:y val="0.89451218597674353"/>
          <c:w val="0.99187842260458847"/>
          <c:h val="7.6916385451819114E-2"/>
        </c:manualLayout>
      </c:layout>
      <c:overlay val="0"/>
      <c:spPr>
        <a:noFill/>
        <a:ln w="25227">
          <a:noFill/>
        </a:ln>
      </c:spPr>
      <c:txPr>
        <a:bodyPr/>
        <a:lstStyle/>
        <a:p>
          <a:pPr>
            <a:defRPr lang="en-GB" sz="1200" b="1" i="0" u="none" strike="noStrike" baseline="0">
              <a:solidFill>
                <a:srgbClr val="000000"/>
              </a:solidFill>
              <a:latin typeface="Times New Roman" pitchFamily="18" charset="0"/>
              <a:ea typeface="Arial"/>
              <a:cs typeface="Arial"/>
            </a:defRPr>
          </a:pPr>
          <a:endParaRPr lang="bg-BG"/>
        </a:p>
      </c:txPr>
    </c:legend>
    <c:plotVisOnly val="1"/>
    <c:dispBlanksAs val="gap"/>
    <c:showDLblsOverMax val="0"/>
  </c:chart>
  <c:spPr>
    <a:gradFill>
      <a:gsLst>
        <a:gs pos="0">
          <a:srgbClr val="FFEFD1"/>
        </a:gs>
        <a:gs pos="84000">
          <a:srgbClr val="F0EBD5"/>
        </a:gs>
        <a:gs pos="100000">
          <a:srgbClr val="D1C39F"/>
        </a:gs>
      </a:gsLst>
      <a:lin ang="5400000" scaled="0"/>
    </a:gradFill>
    <a:ln w="3175">
      <a:solidFill>
        <a:schemeClr val="tx1"/>
      </a:solidFill>
    </a:ln>
  </c:spPr>
  <c:txPr>
    <a:bodyPr/>
    <a:lstStyle/>
    <a:p>
      <a:pPr>
        <a:defRPr sz="1190" b="1"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420" b="1" i="0" u="none" strike="noStrike" baseline="0">
                <a:solidFill>
                  <a:srgbClr val="000000"/>
                </a:solidFill>
                <a:latin typeface="Times New Roman" pitchFamily="18" charset="0"/>
                <a:ea typeface="Arial"/>
                <a:cs typeface="Arial"/>
              </a:defRPr>
            </a:pPr>
            <a:r>
              <a:rPr lang="bg-BG" baseline="0">
                <a:latin typeface="Times New Roman" pitchFamily="18" charset="0"/>
              </a:rPr>
              <a:t>Разпределение на издадените ЗП според вида на нарушението</a:t>
            </a:r>
          </a:p>
        </c:rich>
      </c:tx>
      <c:layout>
        <c:manualLayout>
          <c:xMode val="edge"/>
          <c:yMode val="edge"/>
          <c:x val="0.25489758320937828"/>
          <c:y val="3.1720672012772601E-2"/>
        </c:manualLayout>
      </c:layout>
      <c:overlay val="0"/>
      <c:spPr>
        <a:noFill/>
        <a:ln w="25313">
          <a:noFill/>
        </a:ln>
      </c:spPr>
    </c:title>
    <c:autoTitleDeleted val="0"/>
    <c:view3D>
      <c:rotX val="50"/>
      <c:rotY val="330"/>
      <c:rAngAx val="0"/>
      <c:perspective val="0"/>
    </c:view3D>
    <c:floor>
      <c:thickness val="0"/>
    </c:floor>
    <c:sideWall>
      <c:thickness val="0"/>
    </c:sideWall>
    <c:backWall>
      <c:thickness val="0"/>
    </c:backWall>
    <c:plotArea>
      <c:layout>
        <c:manualLayout>
          <c:layoutTarget val="inner"/>
          <c:xMode val="edge"/>
          <c:yMode val="edge"/>
          <c:x val="8.7533945605153027E-2"/>
          <c:y val="0.20778148699154544"/>
          <c:w val="0.49626775290502084"/>
          <c:h val="0.78847236837330759"/>
        </c:manualLayout>
      </c:layout>
      <c:pie3DChart>
        <c:varyColors val="1"/>
        <c:ser>
          <c:idx val="0"/>
          <c:order val="0"/>
          <c:tx>
            <c:strRef>
              <c:f>Sheet1!$A$2</c:f>
              <c:strCache>
                <c:ptCount val="1"/>
                <c:pt idx="0">
                  <c:v>Вид предписания</c:v>
                </c:pt>
              </c:strCache>
            </c:strRef>
          </c:tx>
          <c:spPr>
            <a:solidFill>
              <a:srgbClr val="FF6600"/>
            </a:solidFill>
            <a:ln w="12656">
              <a:solidFill>
                <a:srgbClr val="000000"/>
              </a:solidFill>
              <a:prstDash val="solid"/>
            </a:ln>
          </c:spPr>
          <c:explosion val="24"/>
          <c:dPt>
            <c:idx val="0"/>
            <c:bubble3D val="0"/>
            <c:spPr>
              <a:gradFill>
                <a:gsLst>
                  <a:gs pos="0">
                    <a:srgbClr val="FFF200"/>
                  </a:gs>
                  <a:gs pos="45000">
                    <a:srgbClr val="FF7A00"/>
                  </a:gs>
                  <a:gs pos="70000">
                    <a:srgbClr val="FF0300"/>
                  </a:gs>
                  <a:gs pos="100000">
                    <a:srgbClr val="4D0808"/>
                  </a:gs>
                </a:gsLst>
                <a:lin ang="5400000" scaled="0"/>
              </a:gradFill>
              <a:ln w="12656">
                <a:solidFill>
                  <a:srgbClr val="000000"/>
                </a:solidFill>
                <a:prstDash val="solid"/>
              </a:ln>
            </c:spPr>
          </c:dPt>
          <c:dPt>
            <c:idx val="1"/>
            <c:bubble3D val="0"/>
            <c:explosion val="7"/>
            <c:spPr>
              <a:gradFill>
                <a:gsLst>
                  <a:gs pos="0">
                    <a:srgbClr val="03D4A8"/>
                  </a:gs>
                  <a:gs pos="25000">
                    <a:srgbClr val="21D6E0"/>
                  </a:gs>
                  <a:gs pos="75000">
                    <a:srgbClr val="0087E6"/>
                  </a:gs>
                  <a:gs pos="100000">
                    <a:srgbClr val="005CBF"/>
                  </a:gs>
                </a:gsLst>
                <a:lin ang="5400000" scaled="0"/>
              </a:gradFill>
              <a:ln w="12656">
                <a:solidFill>
                  <a:srgbClr val="000000"/>
                </a:solidFill>
                <a:prstDash val="solid"/>
              </a:ln>
            </c:spPr>
          </c:dPt>
          <c:dPt>
            <c:idx val="2"/>
            <c:bubble3D val="0"/>
            <c:explosion val="17"/>
            <c:spPr>
              <a:gradFill>
                <a:gsLst>
                  <a:gs pos="0">
                    <a:srgbClr val="D6B19C"/>
                  </a:gs>
                  <a:gs pos="30000">
                    <a:srgbClr val="D49E6C"/>
                  </a:gs>
                  <a:gs pos="65000">
                    <a:srgbClr val="A65528"/>
                  </a:gs>
                  <a:gs pos="100000">
                    <a:srgbClr val="663012"/>
                  </a:gs>
                </a:gsLst>
                <a:lin ang="5400000" scaled="0"/>
              </a:gradFill>
              <a:ln w="12656">
                <a:solidFill>
                  <a:srgbClr val="000000"/>
                </a:solidFill>
                <a:prstDash val="solid"/>
              </a:ln>
            </c:spPr>
          </c:dPt>
          <c:dPt>
            <c:idx val="3"/>
            <c:bubble3D val="0"/>
            <c:explosion val="19"/>
            <c:spPr>
              <a:gradFill>
                <a:gsLst>
                  <a:gs pos="0">
                    <a:srgbClr val="DDEBCF"/>
                  </a:gs>
                  <a:gs pos="50000">
                    <a:srgbClr val="9CB86E"/>
                  </a:gs>
                  <a:gs pos="100000">
                    <a:srgbClr val="156B13"/>
                  </a:gs>
                </a:gsLst>
                <a:lin ang="5400000" scaled="0"/>
              </a:gradFill>
              <a:ln w="12656">
                <a:solidFill>
                  <a:srgbClr val="000000"/>
                </a:solidFill>
                <a:prstDash val="solid"/>
              </a:ln>
            </c:spPr>
          </c:dPt>
          <c:dLbls>
            <c:dLbl>
              <c:idx val="0"/>
              <c:layout>
                <c:manualLayout>
                  <c:x val="6.5420303215706424E-3"/>
                  <c:y val="1.526099363829540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8.0823230429529641E-4"/>
                  <c:y val="-2.5166854143231893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131418935242358E-3"/>
                  <c:y val="1.770087830387496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9108722520796021E-4"/>
                  <c:y val="7.1751031121110248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13">
                <a:noFill/>
              </a:ln>
            </c:spPr>
            <c:txPr>
              <a:bodyPr/>
              <a:lstStyle/>
              <a:p>
                <a:pPr>
                  <a:defRPr lang="en-GB" sz="797"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Предприемане на мерки за защита</c:v>
                </c:pt>
                <c:pt idx="1">
                  <c:v>Регистрация или актуализация на заявление</c:v>
                </c:pt>
                <c:pt idx="2">
                  <c:v>Незаконосъобразно обработване на лични данни</c:v>
                </c:pt>
                <c:pt idx="3">
                  <c:v>Съгласие за обработване</c:v>
                </c:pt>
              </c:strCache>
            </c:strRef>
          </c:cat>
          <c:val>
            <c:numRef>
              <c:f>Sheet1!$B$2:$E$2</c:f>
              <c:numCache>
                <c:formatCode>General</c:formatCode>
                <c:ptCount val="4"/>
                <c:pt idx="0">
                  <c:v>33</c:v>
                </c:pt>
                <c:pt idx="1">
                  <c:v>24</c:v>
                </c:pt>
                <c:pt idx="2">
                  <c:v>14</c:v>
                </c:pt>
                <c:pt idx="3">
                  <c:v>7</c:v>
                </c:pt>
              </c:numCache>
            </c:numRef>
          </c:val>
        </c:ser>
        <c:ser>
          <c:idx val="1"/>
          <c:order val="1"/>
          <c:tx>
            <c:strRef>
              <c:f>Sheet1!$A$3</c:f>
              <c:strCache>
                <c:ptCount val="1"/>
              </c:strCache>
            </c:strRef>
          </c:tx>
          <c:spPr>
            <a:solidFill>
              <a:srgbClr val="993366"/>
            </a:solidFill>
            <a:ln w="12656">
              <a:solidFill>
                <a:srgbClr val="000000"/>
              </a:solidFill>
              <a:prstDash val="solid"/>
            </a:ln>
          </c:spPr>
          <c:explosion val="25"/>
          <c:dPt>
            <c:idx val="0"/>
            <c:bubble3D val="0"/>
            <c:spPr>
              <a:solidFill>
                <a:srgbClr val="9999FF"/>
              </a:solidFill>
              <a:ln w="12656">
                <a:solidFill>
                  <a:srgbClr val="000000"/>
                </a:solidFill>
                <a:prstDash val="solid"/>
              </a:ln>
            </c:spPr>
          </c:dPt>
          <c:dPt>
            <c:idx val="2"/>
            <c:bubble3D val="0"/>
            <c:spPr>
              <a:solidFill>
                <a:srgbClr val="FFFFCC"/>
              </a:solidFill>
              <a:ln w="12656">
                <a:solidFill>
                  <a:srgbClr val="000000"/>
                </a:solidFill>
                <a:prstDash val="solid"/>
              </a:ln>
            </c:spPr>
          </c:dPt>
          <c:dPt>
            <c:idx val="3"/>
            <c:bubble3D val="0"/>
            <c:spPr>
              <a:solidFill>
                <a:srgbClr val="CCFFFF"/>
              </a:solidFill>
              <a:ln w="12656">
                <a:solidFill>
                  <a:srgbClr val="000000"/>
                </a:solidFill>
                <a:prstDash val="solid"/>
              </a:ln>
            </c:spPr>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Предприемане на мерки за защита</c:v>
                </c:pt>
                <c:pt idx="1">
                  <c:v>Регистрация или актуализация на заявление</c:v>
                </c:pt>
                <c:pt idx="2">
                  <c:v>Незаконосъобразно обработване на лични данни</c:v>
                </c:pt>
                <c:pt idx="3">
                  <c:v>Съгласие за обработване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56">
              <a:solidFill>
                <a:srgbClr val="000000"/>
              </a:solidFill>
              <a:prstDash val="solid"/>
            </a:ln>
          </c:spPr>
          <c:explosion val="25"/>
          <c:dPt>
            <c:idx val="0"/>
            <c:bubble3D val="0"/>
            <c:spPr>
              <a:solidFill>
                <a:srgbClr val="9999FF"/>
              </a:solidFill>
              <a:ln w="12656">
                <a:solidFill>
                  <a:srgbClr val="000000"/>
                </a:solidFill>
                <a:prstDash val="solid"/>
              </a:ln>
            </c:spPr>
          </c:dPt>
          <c:dPt>
            <c:idx val="1"/>
            <c:bubble3D val="0"/>
            <c:spPr>
              <a:solidFill>
                <a:srgbClr val="993366"/>
              </a:solidFill>
              <a:ln w="12656">
                <a:solidFill>
                  <a:srgbClr val="000000"/>
                </a:solidFill>
                <a:prstDash val="solid"/>
              </a:ln>
            </c:spPr>
          </c:dPt>
          <c:dPt>
            <c:idx val="3"/>
            <c:bubble3D val="0"/>
            <c:spPr>
              <a:solidFill>
                <a:srgbClr val="CCFFFF"/>
              </a:solidFill>
              <a:ln w="12656">
                <a:solidFill>
                  <a:srgbClr val="000000"/>
                </a:solidFill>
                <a:prstDash val="solid"/>
              </a:ln>
            </c:spPr>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Предприемане на мерки за защита</c:v>
                </c:pt>
                <c:pt idx="1">
                  <c:v>Регистрация или актуализация на заявление</c:v>
                </c:pt>
                <c:pt idx="2">
                  <c:v>Незаконосъобразно обработване на лични данни</c:v>
                </c:pt>
                <c:pt idx="3">
                  <c:v>Съгласие за обработване</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56">
              <a:solidFill>
                <a:srgbClr val="000000"/>
              </a:solidFill>
              <a:prstDash val="solid"/>
            </a:ln>
          </c:spPr>
          <c:explosion val="25"/>
          <c:dPt>
            <c:idx val="0"/>
            <c:bubble3D val="0"/>
            <c:spPr>
              <a:solidFill>
                <a:srgbClr val="9999FF"/>
              </a:solidFill>
              <a:ln w="12656">
                <a:solidFill>
                  <a:srgbClr val="000000"/>
                </a:solidFill>
                <a:prstDash val="solid"/>
              </a:ln>
            </c:spPr>
          </c:dPt>
          <c:dPt>
            <c:idx val="1"/>
            <c:bubble3D val="0"/>
            <c:spPr>
              <a:solidFill>
                <a:srgbClr val="993366"/>
              </a:solidFill>
              <a:ln w="12656">
                <a:solidFill>
                  <a:srgbClr val="000000"/>
                </a:solidFill>
                <a:prstDash val="solid"/>
              </a:ln>
            </c:spPr>
          </c:dPt>
          <c:dPt>
            <c:idx val="2"/>
            <c:bubble3D val="0"/>
            <c:spPr>
              <a:solidFill>
                <a:srgbClr val="FFFFCC"/>
              </a:solidFill>
              <a:ln w="12656">
                <a:solidFill>
                  <a:srgbClr val="000000"/>
                </a:solidFill>
                <a:prstDash val="solid"/>
              </a:ln>
            </c:spPr>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Предприемане на мерки за защита</c:v>
                </c:pt>
                <c:pt idx="1">
                  <c:v>Регистрация или актуализация на заявление</c:v>
                </c:pt>
                <c:pt idx="2">
                  <c:v>Незаконосъобразно обработване на лични данни</c:v>
                </c:pt>
                <c:pt idx="3">
                  <c:v>Съгласие за обработване</c:v>
                </c:pt>
              </c:strCache>
            </c:strRef>
          </c:cat>
          <c:val>
            <c:numRef>
              <c:f>Sheet1!$B$5:$E$5</c:f>
              <c:numCache>
                <c:formatCode>General</c:formatCode>
                <c:ptCount val="4"/>
              </c:numCache>
            </c:numRef>
          </c:val>
        </c:ser>
        <c:dLbls>
          <c:showLegendKey val="0"/>
          <c:showVal val="0"/>
          <c:showCatName val="0"/>
          <c:showSerName val="0"/>
          <c:showPercent val="1"/>
          <c:showBubbleSize val="0"/>
          <c:showLeaderLines val="0"/>
        </c:dLbls>
      </c:pie3DChart>
      <c:spPr>
        <a:noFill/>
        <a:ln w="25312">
          <a:noFill/>
        </a:ln>
      </c:spPr>
    </c:plotArea>
    <c:legend>
      <c:legendPos val="r"/>
      <c:layout>
        <c:manualLayout>
          <c:xMode val="edge"/>
          <c:yMode val="edge"/>
          <c:x val="0.65534808148981771"/>
          <c:y val="0.20993323415218315"/>
          <c:w val="0.34465191851018573"/>
          <c:h val="0.78998156372321959"/>
        </c:manualLayout>
      </c:layout>
      <c:overlay val="0"/>
      <c:spPr>
        <a:noFill/>
        <a:ln w="25313">
          <a:noFill/>
        </a:ln>
      </c:spPr>
      <c:txPr>
        <a:bodyPr/>
        <a:lstStyle/>
        <a:p>
          <a:pPr>
            <a:defRPr lang="en-GB" sz="917" b="1" i="0" u="none" strike="noStrike" baseline="0">
              <a:solidFill>
                <a:srgbClr val="000000"/>
              </a:solidFill>
              <a:latin typeface="Arial"/>
              <a:ea typeface="Arial"/>
              <a:cs typeface="Arial"/>
            </a:defRPr>
          </a:pPr>
          <a:endParaRPr lang="bg-BG"/>
        </a:p>
      </c:txPr>
    </c:legend>
    <c:plotVisOnly val="1"/>
    <c:dispBlanksAs val="zero"/>
    <c:showDLblsOverMax val="0"/>
  </c:chart>
  <c:spPr>
    <a:gradFill rotWithShape="0">
      <a:gsLst>
        <a:gs pos="0">
          <a:srgbClr val="FFEFD1"/>
        </a:gs>
        <a:gs pos="64999">
          <a:srgbClr val="F0EBD5"/>
        </a:gs>
        <a:gs pos="100000">
          <a:srgbClr val="D1C39F"/>
        </a:gs>
      </a:gsLst>
      <a:lin ang="5400000" scaled="0"/>
    </a:gradFill>
    <a:ln w="6350">
      <a:solidFill>
        <a:schemeClr val="tx1"/>
      </a:solidFill>
    </a:ln>
  </c:spPr>
  <c:txPr>
    <a:bodyPr/>
    <a:lstStyle/>
    <a:p>
      <a:pPr>
        <a:defRPr sz="1196" b="1"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aseline="0">
              <a:latin typeface="Times New Roman" pitchFamily="18" charset="0"/>
            </a:defRPr>
          </a:pPr>
          <a:endParaRPr lang="bg-BG"/>
        </a:p>
      </c:txPr>
    </c:title>
    <c:autoTitleDeleted val="0"/>
    <c:view3D>
      <c:rotX val="20"/>
      <c:rotY val="0"/>
      <c:rAngAx val="0"/>
      <c:perspective val="30"/>
    </c:view3D>
    <c:floor>
      <c:thickness val="0"/>
    </c:floor>
    <c:sideWall>
      <c:thickness val="0"/>
    </c:sideWall>
    <c:backWall>
      <c:thickness val="0"/>
    </c:backWall>
    <c:plotArea>
      <c:layout>
        <c:manualLayout>
          <c:layoutTarget val="inner"/>
          <c:xMode val="edge"/>
          <c:yMode val="edge"/>
          <c:x val="7.0274679206765819E-2"/>
          <c:y val="0.33916166729158925"/>
          <c:w val="0.67366123505395281"/>
          <c:h val="0.58874015748031494"/>
        </c:manualLayout>
      </c:layout>
      <c:pie3DChart>
        <c:varyColors val="1"/>
        <c:ser>
          <c:idx val="0"/>
          <c:order val="0"/>
          <c:tx>
            <c:strRef>
              <c:f>Sheet1!$B$1</c:f>
              <c:strCache>
                <c:ptCount val="1"/>
                <c:pt idx="0">
                  <c:v>Резултати от извършени проверки на политически субекти, участвали в избори за Европейски парламент</c:v>
                </c:pt>
              </c:strCache>
            </c:strRef>
          </c:tx>
          <c:explosion val="25"/>
          <c:dPt>
            <c:idx val="0"/>
            <c:bubble3D val="0"/>
            <c:spPr>
              <a:gradFill>
                <a:gsLst>
                  <a:gs pos="0">
                    <a:srgbClr val="03D4A8"/>
                  </a:gs>
                  <a:gs pos="25000">
                    <a:srgbClr val="21D6E0"/>
                  </a:gs>
                  <a:gs pos="75000">
                    <a:srgbClr val="0087E6"/>
                  </a:gs>
                  <a:gs pos="100000">
                    <a:srgbClr val="005CBF"/>
                  </a:gs>
                </a:gsLst>
                <a:lin ang="5400000" scaled="0"/>
              </a:gradFill>
            </c:spPr>
          </c:dPt>
          <c:dPt>
            <c:idx val="1"/>
            <c:bubble3D val="0"/>
            <c:explosion val="0"/>
            <c:spPr>
              <a:gradFill>
                <a:gsLst>
                  <a:gs pos="0">
                    <a:srgbClr val="FFF200"/>
                  </a:gs>
                  <a:gs pos="45000">
                    <a:srgbClr val="FF7A00"/>
                  </a:gs>
                  <a:gs pos="74000">
                    <a:srgbClr val="FF0300"/>
                  </a:gs>
                  <a:gs pos="100000">
                    <a:srgbClr val="C00000"/>
                  </a:gs>
                </a:gsLst>
                <a:lin ang="5400000" scaled="0"/>
              </a:gradFill>
            </c:spPr>
          </c:dPt>
          <c:dLbls>
            <c:dLbl>
              <c:idx val="0"/>
              <c:layout>
                <c:manualLayout>
                  <c:x val="-9.5366724992709245E-3"/>
                  <c:y val="8.6706661667291726E-2"/>
                </c:manualLayout>
              </c:layout>
              <c:spPr/>
              <c:txPr>
                <a:bodyPr/>
                <a:lstStyle/>
                <a:p>
                  <a:pPr>
                    <a:defRPr sz="1200" b="1" i="0" baseline="0">
                      <a:latin typeface="Times New Roman"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0105351414406533E-2"/>
                  <c:y val="-0.11534870641169853"/>
                </c:manualLayout>
              </c:layout>
              <c:spPr/>
              <c:txPr>
                <a:bodyPr/>
                <a:lstStyle/>
                <a:p>
                  <a:pPr>
                    <a:defRPr sz="1200" b="1" i="0" baseline="0">
                      <a:latin typeface="Times New Roman"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с АУАН</c:v>
                </c:pt>
                <c:pt idx="1">
                  <c:v>без АУАН</c:v>
                </c:pt>
              </c:strCache>
            </c:strRef>
          </c:cat>
          <c:val>
            <c:numRef>
              <c:f>Sheet1!$B$2:$B$3</c:f>
              <c:numCache>
                <c:formatCode>0%</c:formatCode>
                <c:ptCount val="2"/>
                <c:pt idx="0">
                  <c:v>0.59</c:v>
                </c:pt>
                <c:pt idx="1">
                  <c:v>0.41000000000000031</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82578466754155821"/>
          <c:y val="0.4344956880389953"/>
          <c:w val="0.15801162875473898"/>
          <c:h val="0.21553243344581963"/>
        </c:manualLayout>
      </c:layout>
      <c:overlay val="0"/>
      <c:txPr>
        <a:bodyPr/>
        <a:lstStyle/>
        <a:p>
          <a:pPr>
            <a:defRPr sz="1200" baseline="0">
              <a:latin typeface="Times New Roman" pitchFamily="18" charset="0"/>
            </a:defRPr>
          </a:pPr>
          <a:endParaRPr lang="bg-BG"/>
        </a:p>
      </c:txPr>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548611111111133"/>
          <c:y val="4.7619047619047623E-2"/>
        </c:manualLayout>
      </c:layout>
      <c:overlay val="0"/>
      <c:txPr>
        <a:bodyPr/>
        <a:lstStyle/>
        <a:p>
          <a:pPr>
            <a:defRPr sz="1400" baseline="0">
              <a:latin typeface="Times New Roman" pitchFamily="18" charset="0"/>
            </a:defRPr>
          </a:pPr>
          <a:endParaRPr lang="bg-BG"/>
        </a:p>
      </c:txPr>
    </c:title>
    <c:autoTitleDeleted val="0"/>
    <c:view3D>
      <c:rotX val="30"/>
      <c:rotY val="160"/>
      <c:rAngAx val="0"/>
      <c:perspective val="30"/>
    </c:view3D>
    <c:floor>
      <c:thickness val="0"/>
    </c:floor>
    <c:sideWall>
      <c:thickness val="0"/>
    </c:sideWall>
    <c:backWall>
      <c:thickness val="0"/>
    </c:backWall>
    <c:plotArea>
      <c:layout/>
      <c:pie3DChart>
        <c:varyColors val="1"/>
        <c:ser>
          <c:idx val="0"/>
          <c:order val="0"/>
          <c:tx>
            <c:strRef>
              <c:f>Sheet1!$B$1</c:f>
              <c:strCache>
                <c:ptCount val="1"/>
                <c:pt idx="0">
                  <c:v>Изпълнение на задължения по ЗЗЛД</c:v>
                </c:pt>
              </c:strCache>
            </c:strRef>
          </c:tx>
          <c:explosion val="25"/>
          <c:dPt>
            <c:idx val="0"/>
            <c:bubble3D val="0"/>
            <c:explosion val="19"/>
            <c:spPr>
              <a:gradFill>
                <a:gsLst>
                  <a:gs pos="0">
                    <a:srgbClr val="03D4A8"/>
                  </a:gs>
                  <a:gs pos="25000">
                    <a:srgbClr val="21D6E0"/>
                  </a:gs>
                  <a:gs pos="87000">
                    <a:srgbClr val="0087E6"/>
                  </a:gs>
                  <a:gs pos="100000">
                    <a:srgbClr val="005CBF"/>
                  </a:gs>
                </a:gsLst>
                <a:lin ang="5400000" scaled="0"/>
              </a:gradFill>
            </c:spPr>
          </c:dPt>
          <c:dPt>
            <c:idx val="1"/>
            <c:bubble3D val="0"/>
            <c:spPr>
              <a:gradFill>
                <a:gsLst>
                  <a:gs pos="0">
                    <a:srgbClr val="FFF200"/>
                  </a:gs>
                  <a:gs pos="45000">
                    <a:srgbClr val="FF7A00"/>
                  </a:gs>
                  <a:gs pos="87000">
                    <a:srgbClr val="FF0300"/>
                  </a:gs>
                  <a:gs pos="100000">
                    <a:srgbClr val="C00000"/>
                  </a:gs>
                </a:gsLst>
                <a:lin ang="5400000" scaled="0"/>
              </a:gradFill>
            </c:spPr>
          </c:dPt>
          <c:dLbls>
            <c:dLbl>
              <c:idx val="0"/>
              <c:layout>
                <c:manualLayout>
                  <c:x val="1.0586176727909027E-2"/>
                  <c:y val="-2.2372828396450443E-2"/>
                </c:manualLayout>
              </c:layout>
              <c:spPr/>
              <c:txPr>
                <a:bodyPr/>
                <a:lstStyle/>
                <a:p>
                  <a:pPr>
                    <a:defRPr sz="1200" b="1" i="0" baseline="0">
                      <a:latin typeface="Times New Roman"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1628390201224846E-2"/>
                  <c:y val="2.694038245219355E-3"/>
                </c:manualLayout>
              </c:layout>
              <c:spPr/>
              <c:txPr>
                <a:bodyPr/>
                <a:lstStyle/>
                <a:p>
                  <a:pPr>
                    <a:defRPr sz="1200" b="1" i="0" baseline="0">
                      <a:latin typeface="Times New Roman"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Изпълнили</c:v>
                </c:pt>
                <c:pt idx="1">
                  <c:v>Неизпълнили</c:v>
                </c:pt>
              </c:strCache>
            </c:strRef>
          </c:cat>
          <c:val>
            <c:numRef>
              <c:f>Sheet1!$B$2:$B$3</c:f>
              <c:numCache>
                <c:formatCode>0%</c:formatCode>
                <c:ptCount val="2"/>
                <c:pt idx="0">
                  <c:v>0.9</c:v>
                </c:pt>
                <c:pt idx="1">
                  <c:v>0.1</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1200" baseline="0">
              <a:latin typeface="Times New Roman" pitchFamily="18" charset="0"/>
            </a:defRPr>
          </a:pPr>
          <a:endParaRPr lang="bg-BG"/>
        </a:p>
      </c:txPr>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0.89341</cdr:x>
      <cdr:y>0.8804</cdr:y>
    </cdr:from>
    <cdr:to>
      <cdr:x>0.9845</cdr:x>
      <cdr:y>0.96346</cdr:y>
    </cdr:to>
    <cdr:sp macro="" textlink="">
      <cdr:nvSpPr>
        <cdr:cNvPr id="2" name="Text Box 1"/>
        <cdr:cNvSpPr txBox="1"/>
      </cdr:nvSpPr>
      <cdr:spPr>
        <a:xfrm xmlns:a="http://schemas.openxmlformats.org/drawingml/2006/main">
          <a:off x="4901605" y="2817632"/>
          <a:ext cx="499734" cy="265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latin typeface="Times New Roman" panose="02020603050405020304" pitchFamily="18" charset="0"/>
              <a:cs typeface="Times New Roman" panose="02020603050405020304" pitchFamily="18" charset="0"/>
            </a:rPr>
            <a:t>Брой</a:t>
          </a:r>
          <a:endParaRPr lang="en-US"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0.03489</cdr:x>
      <cdr:y>0.09229</cdr:y>
    </cdr:from>
    <cdr:to>
      <cdr:x>0.15698</cdr:x>
      <cdr:y>0.15947</cdr:y>
    </cdr:to>
    <cdr:sp macro="" textlink="">
      <cdr:nvSpPr>
        <cdr:cNvPr id="3" name="Text Box 1"/>
        <cdr:cNvSpPr txBox="1"/>
      </cdr:nvSpPr>
      <cdr:spPr>
        <a:xfrm xmlns:a="http://schemas.openxmlformats.org/drawingml/2006/main">
          <a:off x="191410" y="295365"/>
          <a:ext cx="669828" cy="2149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bg-BG" sz="1100">
              <a:latin typeface="Times New Roman" panose="02020603050405020304" pitchFamily="18" charset="0"/>
              <a:cs typeface="Times New Roman" panose="02020603050405020304" pitchFamily="18" charset="0"/>
            </a:rPr>
            <a:t>Година</a:t>
          </a:r>
          <a:endParaRPr lang="en-US"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0.89341</cdr:x>
      <cdr:y>0.8804</cdr:y>
    </cdr:from>
    <cdr:to>
      <cdr:x>0.9845</cdr:x>
      <cdr:y>0.96346</cdr:y>
    </cdr:to>
    <cdr:sp macro="" textlink="">
      <cdr:nvSpPr>
        <cdr:cNvPr id="2" name="Text Box 1"/>
        <cdr:cNvSpPr txBox="1"/>
      </cdr:nvSpPr>
      <cdr:spPr>
        <a:xfrm xmlns:a="http://schemas.openxmlformats.org/drawingml/2006/main">
          <a:off x="4901605" y="2817632"/>
          <a:ext cx="499734" cy="265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latin typeface="Times New Roman" panose="02020603050405020304" pitchFamily="18" charset="0"/>
              <a:cs typeface="Times New Roman" panose="02020603050405020304" pitchFamily="18" charset="0"/>
            </a:rPr>
            <a:t>Брой</a:t>
          </a:r>
          <a:endParaRPr lang="en-US"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0.03489</cdr:x>
      <cdr:y>0.09229</cdr:y>
    </cdr:from>
    <cdr:to>
      <cdr:x>0.15698</cdr:x>
      <cdr:y>0.15947</cdr:y>
    </cdr:to>
    <cdr:sp macro="" textlink="">
      <cdr:nvSpPr>
        <cdr:cNvPr id="3" name="Text Box 1"/>
        <cdr:cNvSpPr txBox="1"/>
      </cdr:nvSpPr>
      <cdr:spPr>
        <a:xfrm xmlns:a="http://schemas.openxmlformats.org/drawingml/2006/main">
          <a:off x="191410" y="295365"/>
          <a:ext cx="669828" cy="2149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bg-BG" sz="1100">
              <a:latin typeface="Times New Roman" panose="02020603050405020304" pitchFamily="18" charset="0"/>
              <a:cs typeface="Times New Roman" panose="02020603050405020304" pitchFamily="18" charset="0"/>
            </a:rPr>
            <a:t>Година</a:t>
          </a:r>
          <a:endParaRPr lang="en-US"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560F-D292-438C-960E-9E9DE6D5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29885</Words>
  <Characters>170347</Characters>
  <Application>Microsoft Office Word</Application>
  <DocSecurity>0</DocSecurity>
  <Lines>1419</Lines>
  <Paragraphs>399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199833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vvitkov</dc:creator>
  <cp:lastModifiedBy>Nadezhda Borisova</cp:lastModifiedBy>
  <cp:revision>412</cp:revision>
  <cp:lastPrinted>2015-01-29T08:17:00Z</cp:lastPrinted>
  <dcterms:created xsi:type="dcterms:W3CDTF">2015-01-21T14:42:00Z</dcterms:created>
  <dcterms:modified xsi:type="dcterms:W3CDTF">2015-01-29T08:18:00Z</dcterms:modified>
</cp:coreProperties>
</file>