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1.xml" ContentType="application/vnd.openxmlformats-officedocument.drawingml.chart+xml"/>
  <Override PartName="/word/theme/themeOverride5.xml" ContentType="application/vnd.openxmlformats-officedocument.themeOverride+xml"/>
  <Override PartName="/word/charts/chart12.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3.xml" ContentType="application/vnd.openxmlformats-officedocument.drawingml.chart+xml"/>
  <Override PartName="/word/theme/themeOverride6.xml" ContentType="application/vnd.openxmlformats-officedocument.themeOverride+xml"/>
  <Override PartName="/word/charts/chart14.xml" ContentType="application/vnd.openxmlformats-officedocument.drawingml.chart+xml"/>
  <Override PartName="/word/theme/themeOverride7.xml" ContentType="application/vnd.openxmlformats-officedocument.themeOverride+xml"/>
  <Override PartName="/word/charts/chart15.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714" w:rsidRPr="007404FA" w:rsidRDefault="00E42714" w:rsidP="00DB6B05">
      <w:pPr>
        <w:spacing w:line="360" w:lineRule="auto"/>
        <w:ind w:firstLine="709"/>
        <w:jc w:val="both"/>
        <w:rPr>
          <w:rFonts w:ascii="Times New Roman" w:eastAsia="Times New Roman" w:hAnsi="Times New Roman" w:cs="Times New Roman"/>
          <w:b/>
          <w:sz w:val="24"/>
          <w:szCs w:val="24"/>
        </w:rPr>
      </w:pPr>
      <w:r w:rsidRPr="007404FA">
        <w:rPr>
          <w:rFonts w:ascii="Times New Roman" w:eastAsia="Times New Roman" w:hAnsi="Times New Roman" w:cs="Times New Roman"/>
          <w:b/>
          <w:noProof/>
          <w:sz w:val="24"/>
          <w:szCs w:val="24"/>
          <w:lang w:val="en-US" w:eastAsia="en-US"/>
        </w:rPr>
        <w:drawing>
          <wp:anchor distT="0" distB="0" distL="114300" distR="114300" simplePos="0" relativeHeight="251661312" behindDoc="0" locked="0" layoutInCell="1" allowOverlap="1" wp14:anchorId="2EC63D1E" wp14:editId="062379CD">
            <wp:simplePos x="0" y="0"/>
            <wp:positionH relativeFrom="margin">
              <wp:align>left</wp:align>
            </wp:positionH>
            <wp:positionV relativeFrom="page">
              <wp:posOffset>469624</wp:posOffset>
            </wp:positionV>
            <wp:extent cx="1076325" cy="895985"/>
            <wp:effectExtent l="0" t="0" r="0" b="0"/>
            <wp:wrapSquare wrapText="bothSides"/>
            <wp:docPr id="32" name="Picture 32" descr="Logo_mal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alk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400" cy="896400"/>
                    </a:xfrm>
                    <a:prstGeom prst="rect">
                      <a:avLst/>
                    </a:prstGeom>
                    <a:noFill/>
                    <a:ln>
                      <a:noFill/>
                    </a:ln>
                  </pic:spPr>
                </pic:pic>
              </a:graphicData>
            </a:graphic>
          </wp:anchor>
        </w:drawing>
      </w:r>
      <w:r w:rsidRPr="007404FA">
        <w:rPr>
          <w:rFonts w:ascii="Times New Roman" w:eastAsia="Times New Roman" w:hAnsi="Times New Roman" w:cs="Times New Roman"/>
          <w:b/>
          <w:noProof/>
          <w:sz w:val="24"/>
          <w:szCs w:val="24"/>
          <w:lang w:val="en-US" w:eastAsia="en-US"/>
        </w:rPr>
        <mc:AlternateContent>
          <mc:Choice Requires="wps">
            <w:drawing>
              <wp:anchor distT="0" distB="0" distL="114300" distR="114300" simplePos="0" relativeHeight="251659264" behindDoc="0" locked="0" layoutInCell="1" allowOverlap="1" wp14:anchorId="1A044F0B" wp14:editId="32591ADC">
                <wp:simplePos x="0" y="0"/>
                <wp:positionH relativeFrom="margin">
                  <wp:posOffset>1160145</wp:posOffset>
                </wp:positionH>
                <wp:positionV relativeFrom="paragraph">
                  <wp:posOffset>-356870</wp:posOffset>
                </wp:positionV>
                <wp:extent cx="4923155" cy="866775"/>
                <wp:effectExtent l="0" t="0" r="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155" cy="8667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65272" w:rsidRPr="0077741D" w:rsidRDefault="00765272" w:rsidP="00E42714">
                            <w:pPr>
                              <w:spacing w:line="360" w:lineRule="auto"/>
                              <w:jc w:val="center"/>
                              <w:rPr>
                                <w:rFonts w:ascii="Times New Roman" w:hAnsi="Times New Roman"/>
                                <w:b/>
                                <w:sz w:val="44"/>
                                <w:szCs w:val="44"/>
                              </w:rPr>
                            </w:pPr>
                            <w:r w:rsidRPr="0077741D">
                              <w:rPr>
                                <w:rFonts w:ascii="Times New Roman" w:hAnsi="Times New Roman"/>
                                <w:b/>
                                <w:sz w:val="44"/>
                                <w:szCs w:val="44"/>
                              </w:rPr>
                              <w:t>РЕПУБЛИКА</w:t>
                            </w:r>
                            <w:r>
                              <w:rPr>
                                <w:rFonts w:ascii="Times New Roman" w:hAnsi="Times New Roman"/>
                                <w:b/>
                                <w:sz w:val="44"/>
                                <w:szCs w:val="44"/>
                              </w:rPr>
                              <w:t xml:space="preserve"> </w:t>
                            </w:r>
                            <w:r w:rsidRPr="0077741D">
                              <w:rPr>
                                <w:rFonts w:ascii="Times New Roman" w:hAnsi="Times New Roman"/>
                                <w:b/>
                                <w:sz w:val="44"/>
                                <w:szCs w:val="44"/>
                              </w:rPr>
                              <w:t>БЪЛГАРИЯ</w:t>
                            </w:r>
                          </w:p>
                          <w:p w:rsidR="00765272" w:rsidRPr="00262FD3" w:rsidRDefault="00765272" w:rsidP="00E42714">
                            <w:pPr>
                              <w:spacing w:line="360" w:lineRule="auto"/>
                              <w:jc w:val="center"/>
                              <w:rPr>
                                <w:rFonts w:ascii="Times New Roman" w:hAnsi="Times New Roman"/>
                                <w:b/>
                                <w:sz w:val="32"/>
                                <w:szCs w:val="32"/>
                                <w:lang w:val="ru-RU"/>
                              </w:rPr>
                            </w:pPr>
                            <w:r w:rsidRPr="00262FD3">
                              <w:rPr>
                                <w:rFonts w:ascii="Times New Roman" w:hAnsi="Times New Roman"/>
                                <w:b/>
                                <w:sz w:val="32"/>
                                <w:szCs w:val="32"/>
                              </w:rPr>
                              <w:t>КОМИСИЯ ЗА ЗАЩИТА НА ЛИЧНИТЕ</w:t>
                            </w:r>
                            <w:r w:rsidRPr="00262FD3">
                              <w:rPr>
                                <w:rFonts w:ascii="Times New Roman" w:hAnsi="Times New Roman"/>
                                <w:b/>
                                <w:sz w:val="32"/>
                                <w:szCs w:val="32"/>
                                <w:lang w:val="ru-RU"/>
                              </w:rPr>
                              <w:t xml:space="preserve"> </w:t>
                            </w:r>
                            <w:r w:rsidRPr="00262FD3">
                              <w:rPr>
                                <w:rFonts w:ascii="Times New Roman" w:hAnsi="Times New Roman"/>
                                <w:b/>
                                <w:sz w:val="32"/>
                                <w:szCs w:val="32"/>
                              </w:rPr>
                              <w:t>ДАННИ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44F0B" id="_x0000_t202" coordsize="21600,21600" o:spt="202" path="m,l,21600r21600,l21600,xe">
                <v:stroke joinstyle="miter"/>
                <v:path gradientshapeok="t" o:connecttype="rect"/>
              </v:shapetype>
              <v:shape id="Text Box 34" o:spid="_x0000_s1026" type="#_x0000_t202" style="position:absolute;left:0;text-align:left;margin-left:91.35pt;margin-top:-28.1pt;width:387.65pt;height:6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" filled="f" stroked="f">
                <v:textbox>
                  <w:txbxContent>
                    <w:p w:rsidR="00765272" w:rsidRPr="0077741D" w:rsidRDefault="00765272" w:rsidP="00E42714">
                      <w:pPr>
                        <w:spacing w:line="360" w:lineRule="auto"/>
                        <w:jc w:val="center"/>
                        <w:rPr>
                          <w:rFonts w:ascii="Times New Roman" w:hAnsi="Times New Roman"/>
                          <w:b/>
                          <w:sz w:val="44"/>
                          <w:szCs w:val="44"/>
                        </w:rPr>
                      </w:pPr>
                      <w:r w:rsidRPr="0077741D">
                        <w:rPr>
                          <w:rFonts w:ascii="Times New Roman" w:hAnsi="Times New Roman"/>
                          <w:b/>
                          <w:sz w:val="44"/>
                          <w:szCs w:val="44"/>
                        </w:rPr>
                        <w:t>РЕПУБЛИКА</w:t>
                      </w:r>
                      <w:r>
                        <w:rPr>
                          <w:rFonts w:ascii="Times New Roman" w:hAnsi="Times New Roman"/>
                          <w:b/>
                          <w:sz w:val="44"/>
                          <w:szCs w:val="44"/>
                        </w:rPr>
                        <w:t xml:space="preserve"> </w:t>
                      </w:r>
                      <w:r w:rsidRPr="0077741D">
                        <w:rPr>
                          <w:rFonts w:ascii="Times New Roman" w:hAnsi="Times New Roman"/>
                          <w:b/>
                          <w:sz w:val="44"/>
                          <w:szCs w:val="44"/>
                        </w:rPr>
                        <w:t>БЪЛГАРИЯ</w:t>
                      </w:r>
                    </w:p>
                    <w:p w:rsidR="00765272" w:rsidRPr="00262FD3" w:rsidRDefault="00765272" w:rsidP="00E42714">
                      <w:pPr>
                        <w:spacing w:line="360" w:lineRule="auto"/>
                        <w:jc w:val="center"/>
                        <w:rPr>
                          <w:rFonts w:ascii="Times New Roman" w:hAnsi="Times New Roman"/>
                          <w:b/>
                          <w:sz w:val="32"/>
                          <w:szCs w:val="32"/>
                          <w:lang w:val="ru-RU"/>
                        </w:rPr>
                      </w:pPr>
                      <w:r w:rsidRPr="00262FD3">
                        <w:rPr>
                          <w:rFonts w:ascii="Times New Roman" w:hAnsi="Times New Roman"/>
                          <w:b/>
                          <w:sz w:val="32"/>
                          <w:szCs w:val="32"/>
                        </w:rPr>
                        <w:t>КОМИСИЯ ЗА ЗАЩИТА НА ЛИЧНИТЕ</w:t>
                      </w:r>
                      <w:r w:rsidRPr="00262FD3">
                        <w:rPr>
                          <w:rFonts w:ascii="Times New Roman" w:hAnsi="Times New Roman"/>
                          <w:b/>
                          <w:sz w:val="32"/>
                          <w:szCs w:val="32"/>
                          <w:lang w:val="ru-RU"/>
                        </w:rPr>
                        <w:t xml:space="preserve"> </w:t>
                      </w:r>
                      <w:r w:rsidRPr="00262FD3">
                        <w:rPr>
                          <w:rFonts w:ascii="Times New Roman" w:hAnsi="Times New Roman"/>
                          <w:b/>
                          <w:sz w:val="32"/>
                          <w:szCs w:val="32"/>
                        </w:rPr>
                        <w:t>ДАННИ</w:t>
                      </w:r>
                    </w:p>
                  </w:txbxContent>
                </v:textbox>
                <w10:wrap anchorx="margin"/>
              </v:shape>
            </w:pict>
          </mc:Fallback>
        </mc:AlternateContent>
      </w:r>
      <w:r w:rsidRPr="007404FA">
        <w:rPr>
          <w:rFonts w:ascii="Times New Roman" w:eastAsia="Times New Roman" w:hAnsi="Times New Roman" w:cs="Times New Roman"/>
          <w:b/>
          <w:w w:val="120"/>
          <w:sz w:val="24"/>
          <w:szCs w:val="24"/>
        </w:rPr>
        <w:softHyphen/>
      </w:r>
    </w:p>
    <w:p w:rsidR="00E42714" w:rsidRPr="007404FA" w:rsidRDefault="00E42714" w:rsidP="00DB6B05">
      <w:pPr>
        <w:spacing w:line="360" w:lineRule="auto"/>
        <w:ind w:firstLine="709"/>
        <w:jc w:val="both"/>
        <w:rPr>
          <w:rFonts w:ascii="Times New Roman" w:eastAsia="Times New Roman" w:hAnsi="Times New Roman" w:cs="Times New Roman"/>
          <w:b/>
          <w:w w:val="120"/>
          <w:sz w:val="24"/>
          <w:szCs w:val="24"/>
        </w:rPr>
      </w:pPr>
    </w:p>
    <w:p w:rsidR="00E42714" w:rsidRPr="007404FA" w:rsidRDefault="00E42714" w:rsidP="00DB6B05">
      <w:pPr>
        <w:spacing w:line="360" w:lineRule="auto"/>
        <w:ind w:firstLine="709"/>
        <w:jc w:val="both"/>
        <w:rPr>
          <w:rFonts w:ascii="Times New Roman" w:eastAsia="Times New Roman" w:hAnsi="Times New Roman" w:cs="Times New Roman"/>
          <w:b/>
          <w:w w:val="120"/>
          <w:sz w:val="24"/>
          <w:szCs w:val="24"/>
        </w:rPr>
      </w:pPr>
      <w:r w:rsidRPr="007404FA">
        <w:rPr>
          <w:rFonts w:ascii="Times New Roman" w:hAnsi="Times New Roman" w:cs="Times New Roman"/>
          <w:noProof/>
          <w:sz w:val="24"/>
          <w:szCs w:val="24"/>
          <w:lang w:val="en-US" w:eastAsia="en-US"/>
        </w:rPr>
        <mc:AlternateContent>
          <mc:Choice Requires="wps">
            <w:drawing>
              <wp:anchor distT="4294967293" distB="4294967293" distL="114300" distR="114300" simplePos="0" relativeHeight="251660288" behindDoc="0" locked="0" layoutInCell="0" allowOverlap="1" wp14:anchorId="1F6836CD" wp14:editId="7C0B17E2">
                <wp:simplePos x="0" y="0"/>
                <wp:positionH relativeFrom="margin">
                  <wp:posOffset>-75565</wp:posOffset>
                </wp:positionH>
                <wp:positionV relativeFrom="paragraph">
                  <wp:posOffset>63500</wp:posOffset>
                </wp:positionV>
                <wp:extent cx="6342380" cy="7620"/>
                <wp:effectExtent l="0" t="19050" r="39370" b="4953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2380" cy="7620"/>
                        </a:xfrm>
                        <a:prstGeom prst="line">
                          <a:avLst/>
                        </a:prstGeom>
                        <a:noFill/>
                        <a:ln w="57150" cmpd="thickThin">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50ACD" id="Straight Connector 33"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95pt,5pt" to="493.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" o:allowincell="f" strokeweight="4.5pt">
                <v:stroke linestyle="thickThin"/>
                <w10:wrap anchorx="margin"/>
              </v:line>
            </w:pict>
          </mc:Fallback>
        </mc:AlternateContent>
      </w:r>
    </w:p>
    <w:p w:rsidR="00E42714" w:rsidRPr="007404FA" w:rsidRDefault="00E42714" w:rsidP="00DB6B05">
      <w:pPr>
        <w:spacing w:line="360" w:lineRule="auto"/>
        <w:ind w:firstLine="709"/>
        <w:jc w:val="both"/>
        <w:rPr>
          <w:rFonts w:ascii="Times New Roman" w:eastAsia="Times New Roman" w:hAnsi="Times New Roman" w:cs="Times New Roman"/>
          <w:b/>
          <w:w w:val="120"/>
          <w:sz w:val="24"/>
          <w:szCs w:val="24"/>
        </w:rPr>
      </w:pPr>
    </w:p>
    <w:p w:rsidR="00E42714" w:rsidRPr="007404FA" w:rsidRDefault="00E42714" w:rsidP="00DB6B05">
      <w:pPr>
        <w:spacing w:line="360" w:lineRule="auto"/>
        <w:ind w:firstLine="709"/>
        <w:jc w:val="both"/>
        <w:rPr>
          <w:rFonts w:ascii="Times New Roman" w:eastAsia="Times New Roman" w:hAnsi="Times New Roman" w:cs="Times New Roman"/>
          <w:b/>
          <w:w w:val="120"/>
          <w:sz w:val="24"/>
          <w:szCs w:val="24"/>
        </w:rPr>
      </w:pPr>
    </w:p>
    <w:p w:rsidR="00E42714" w:rsidRPr="007404FA" w:rsidRDefault="00E42714" w:rsidP="00DB6B05">
      <w:pPr>
        <w:spacing w:line="360" w:lineRule="auto"/>
        <w:ind w:firstLine="709"/>
        <w:jc w:val="both"/>
        <w:rPr>
          <w:rFonts w:ascii="Times New Roman" w:eastAsia="Times New Roman" w:hAnsi="Times New Roman" w:cs="Times New Roman"/>
          <w:b/>
          <w:w w:val="120"/>
          <w:sz w:val="24"/>
          <w:szCs w:val="24"/>
        </w:rPr>
      </w:pPr>
    </w:p>
    <w:p w:rsidR="00E42714" w:rsidRPr="007404FA" w:rsidRDefault="00E42714" w:rsidP="00DB6B05">
      <w:pPr>
        <w:spacing w:line="360" w:lineRule="auto"/>
        <w:ind w:firstLine="709"/>
        <w:jc w:val="both"/>
        <w:rPr>
          <w:rFonts w:ascii="Times New Roman" w:eastAsia="Times New Roman" w:hAnsi="Times New Roman" w:cs="Times New Roman"/>
          <w:b/>
          <w:w w:val="120"/>
          <w:sz w:val="24"/>
          <w:szCs w:val="24"/>
        </w:rPr>
      </w:pPr>
    </w:p>
    <w:p w:rsidR="00E42714" w:rsidRPr="007404FA" w:rsidRDefault="00E42714" w:rsidP="00DB6B05">
      <w:pPr>
        <w:spacing w:line="360" w:lineRule="auto"/>
        <w:ind w:firstLine="709"/>
        <w:jc w:val="center"/>
        <w:rPr>
          <w:rFonts w:ascii="Times New Roman" w:eastAsia="Times New Roman" w:hAnsi="Times New Roman" w:cs="Times New Roman"/>
          <w:b/>
          <w:w w:val="120"/>
          <w:sz w:val="52"/>
          <w:szCs w:val="52"/>
        </w:rPr>
      </w:pPr>
      <w:r w:rsidRPr="007404FA">
        <w:rPr>
          <w:rFonts w:ascii="Times New Roman" w:eastAsia="Times New Roman" w:hAnsi="Times New Roman" w:cs="Times New Roman"/>
          <w:b/>
          <w:w w:val="120"/>
          <w:sz w:val="52"/>
          <w:szCs w:val="52"/>
        </w:rPr>
        <w:t>Г О Д И Ш Е Н</w:t>
      </w:r>
      <w:r w:rsidR="003637AA">
        <w:rPr>
          <w:rFonts w:ascii="Times New Roman" w:eastAsia="Times New Roman" w:hAnsi="Times New Roman" w:cs="Times New Roman"/>
          <w:b/>
          <w:w w:val="120"/>
          <w:sz w:val="52"/>
          <w:szCs w:val="52"/>
          <w:lang w:val="en-US"/>
        </w:rPr>
        <w:t xml:space="preserve">   </w:t>
      </w:r>
      <w:r w:rsidRPr="007404FA">
        <w:rPr>
          <w:rFonts w:ascii="Times New Roman" w:eastAsia="Times New Roman" w:hAnsi="Times New Roman" w:cs="Times New Roman"/>
          <w:b/>
          <w:w w:val="120"/>
          <w:sz w:val="52"/>
          <w:szCs w:val="52"/>
        </w:rPr>
        <w:t>О Т Ч Е Т</w:t>
      </w:r>
    </w:p>
    <w:p w:rsidR="00E42714" w:rsidRPr="007404FA" w:rsidRDefault="00E42714" w:rsidP="00DB6B05">
      <w:pPr>
        <w:spacing w:line="360" w:lineRule="auto"/>
        <w:ind w:firstLine="709"/>
        <w:jc w:val="center"/>
        <w:rPr>
          <w:rFonts w:ascii="Times New Roman" w:eastAsia="Times New Roman" w:hAnsi="Times New Roman" w:cs="Times New Roman"/>
          <w:b/>
          <w:sz w:val="24"/>
          <w:szCs w:val="24"/>
        </w:rPr>
      </w:pPr>
    </w:p>
    <w:p w:rsidR="00E42714" w:rsidRPr="007404FA" w:rsidRDefault="00E42714" w:rsidP="00DB6B05">
      <w:pPr>
        <w:spacing w:line="360" w:lineRule="auto"/>
        <w:ind w:firstLine="709"/>
        <w:jc w:val="center"/>
        <w:rPr>
          <w:rFonts w:ascii="Times New Roman" w:eastAsia="Times New Roman" w:hAnsi="Times New Roman" w:cs="Times New Roman"/>
          <w:b/>
          <w:sz w:val="24"/>
          <w:szCs w:val="24"/>
        </w:rPr>
      </w:pPr>
    </w:p>
    <w:p w:rsidR="00E42714" w:rsidRPr="007404FA" w:rsidRDefault="00E42714" w:rsidP="00DB6B05">
      <w:pPr>
        <w:spacing w:line="360" w:lineRule="auto"/>
        <w:ind w:firstLine="709"/>
        <w:jc w:val="center"/>
        <w:rPr>
          <w:rFonts w:ascii="Times New Roman" w:eastAsia="Times New Roman" w:hAnsi="Times New Roman" w:cs="Times New Roman"/>
          <w:b/>
          <w:sz w:val="24"/>
          <w:szCs w:val="24"/>
        </w:rPr>
      </w:pPr>
    </w:p>
    <w:p w:rsidR="00E42714" w:rsidRPr="007404FA" w:rsidRDefault="00E42714" w:rsidP="00DB6B05">
      <w:pPr>
        <w:spacing w:line="360" w:lineRule="auto"/>
        <w:ind w:firstLine="709"/>
        <w:jc w:val="center"/>
        <w:rPr>
          <w:rFonts w:ascii="Times New Roman" w:eastAsia="Times New Roman" w:hAnsi="Times New Roman" w:cs="Times New Roman"/>
          <w:b/>
          <w:sz w:val="44"/>
          <w:szCs w:val="44"/>
        </w:rPr>
      </w:pPr>
      <w:r w:rsidRPr="007404FA">
        <w:rPr>
          <w:rFonts w:ascii="Times New Roman" w:eastAsia="Times New Roman" w:hAnsi="Times New Roman" w:cs="Times New Roman"/>
          <w:b/>
          <w:sz w:val="44"/>
          <w:szCs w:val="44"/>
        </w:rPr>
        <w:t>на Комисията за защита на личните данни</w:t>
      </w:r>
    </w:p>
    <w:p w:rsidR="00E42714" w:rsidRPr="007404FA" w:rsidRDefault="00E42714" w:rsidP="00DB6B05">
      <w:pPr>
        <w:tabs>
          <w:tab w:val="left" w:pos="284"/>
        </w:tabs>
        <w:spacing w:line="360" w:lineRule="auto"/>
        <w:ind w:firstLine="709"/>
        <w:jc w:val="center"/>
        <w:rPr>
          <w:rFonts w:ascii="Times New Roman" w:eastAsia="Times New Roman" w:hAnsi="Times New Roman" w:cs="Times New Roman"/>
          <w:b/>
          <w:sz w:val="44"/>
          <w:szCs w:val="44"/>
        </w:rPr>
      </w:pPr>
      <w:r w:rsidRPr="007404FA">
        <w:rPr>
          <w:rFonts w:ascii="Times New Roman" w:eastAsia="Times New Roman" w:hAnsi="Times New Roman" w:cs="Times New Roman"/>
          <w:b/>
          <w:sz w:val="44"/>
          <w:szCs w:val="44"/>
        </w:rPr>
        <w:t>за дейността ѝ през 2022</w:t>
      </w:r>
      <w:r w:rsidR="00F06583" w:rsidRPr="007404FA">
        <w:rPr>
          <w:rFonts w:ascii="Times New Roman" w:eastAsia="Times New Roman" w:hAnsi="Times New Roman" w:cs="Times New Roman"/>
          <w:b/>
          <w:sz w:val="44"/>
          <w:szCs w:val="44"/>
        </w:rPr>
        <w:t> г.</w:t>
      </w:r>
    </w:p>
    <w:p w:rsidR="00E42714" w:rsidRPr="007404FA" w:rsidRDefault="00E42714" w:rsidP="00DB6B05">
      <w:pPr>
        <w:tabs>
          <w:tab w:val="left" w:pos="284"/>
        </w:tabs>
        <w:spacing w:line="360" w:lineRule="auto"/>
        <w:ind w:firstLine="709"/>
        <w:jc w:val="both"/>
        <w:rPr>
          <w:rFonts w:ascii="Times New Roman" w:eastAsia="Times New Roman" w:hAnsi="Times New Roman" w:cs="Times New Roman"/>
          <w:b/>
          <w:sz w:val="44"/>
          <w:szCs w:val="44"/>
        </w:rPr>
      </w:pPr>
    </w:p>
    <w:p w:rsidR="00E42714" w:rsidRPr="007404FA" w:rsidRDefault="00E42714" w:rsidP="00DB6B05">
      <w:pPr>
        <w:spacing w:line="360" w:lineRule="auto"/>
        <w:ind w:firstLine="709"/>
        <w:jc w:val="both"/>
        <w:rPr>
          <w:rFonts w:ascii="Times New Roman" w:eastAsia="Times New Roman" w:hAnsi="Times New Roman" w:cs="Times New Roman"/>
          <w:b/>
          <w:sz w:val="44"/>
          <w:szCs w:val="44"/>
        </w:rPr>
      </w:pPr>
    </w:p>
    <w:p w:rsidR="00E42714" w:rsidRPr="007404FA" w:rsidRDefault="00E42714" w:rsidP="00DB6B05">
      <w:pPr>
        <w:spacing w:line="360" w:lineRule="auto"/>
        <w:ind w:firstLine="709"/>
        <w:jc w:val="both"/>
        <w:rPr>
          <w:rFonts w:ascii="Times New Roman" w:eastAsia="Times New Roman" w:hAnsi="Times New Roman" w:cs="Times New Roman"/>
          <w:b/>
          <w:sz w:val="44"/>
          <w:szCs w:val="44"/>
        </w:rPr>
      </w:pPr>
    </w:p>
    <w:p w:rsidR="00E42714" w:rsidRPr="007404FA" w:rsidRDefault="00E42714" w:rsidP="00DB6B05">
      <w:pPr>
        <w:spacing w:line="360" w:lineRule="auto"/>
        <w:ind w:firstLine="709"/>
        <w:jc w:val="both"/>
        <w:rPr>
          <w:rFonts w:ascii="Times New Roman" w:eastAsia="Times New Roman" w:hAnsi="Times New Roman" w:cs="Times New Roman"/>
          <w:b/>
          <w:sz w:val="44"/>
          <w:szCs w:val="44"/>
        </w:rPr>
      </w:pPr>
    </w:p>
    <w:p w:rsidR="00E42714" w:rsidRPr="007404FA" w:rsidRDefault="00E42714" w:rsidP="00DB6B05">
      <w:pPr>
        <w:spacing w:line="360" w:lineRule="auto"/>
        <w:ind w:firstLine="709"/>
        <w:jc w:val="center"/>
        <w:rPr>
          <w:rFonts w:ascii="Times New Roman" w:eastAsia="Times New Roman" w:hAnsi="Times New Roman" w:cs="Times New Roman"/>
          <w:b/>
          <w:sz w:val="44"/>
          <w:szCs w:val="44"/>
        </w:rPr>
      </w:pPr>
      <w:r w:rsidRPr="007404FA">
        <w:rPr>
          <w:rFonts w:ascii="Times New Roman" w:eastAsia="Times New Roman" w:hAnsi="Times New Roman" w:cs="Times New Roman"/>
          <w:b/>
          <w:sz w:val="44"/>
          <w:szCs w:val="44"/>
        </w:rPr>
        <w:t>на основание</w:t>
      </w:r>
      <w:r w:rsidR="00F06583" w:rsidRPr="007404FA">
        <w:rPr>
          <w:rFonts w:ascii="Times New Roman" w:eastAsia="Times New Roman" w:hAnsi="Times New Roman" w:cs="Times New Roman"/>
          <w:b/>
          <w:sz w:val="44"/>
          <w:szCs w:val="44"/>
        </w:rPr>
        <w:t xml:space="preserve"> чл. </w:t>
      </w:r>
      <w:r w:rsidRPr="007404FA">
        <w:rPr>
          <w:rFonts w:ascii="Times New Roman" w:eastAsia="Times New Roman" w:hAnsi="Times New Roman" w:cs="Times New Roman"/>
          <w:b/>
          <w:sz w:val="44"/>
          <w:szCs w:val="44"/>
        </w:rPr>
        <w:t>7,</w:t>
      </w:r>
      <w:r w:rsidR="00F06583" w:rsidRPr="007404FA">
        <w:rPr>
          <w:rFonts w:ascii="Times New Roman" w:eastAsia="Times New Roman" w:hAnsi="Times New Roman" w:cs="Times New Roman"/>
          <w:b/>
          <w:sz w:val="44"/>
          <w:szCs w:val="44"/>
        </w:rPr>
        <w:t xml:space="preserve"> ал. </w:t>
      </w:r>
      <w:r w:rsidRPr="007404FA">
        <w:rPr>
          <w:rFonts w:ascii="Times New Roman" w:eastAsia="Times New Roman" w:hAnsi="Times New Roman" w:cs="Times New Roman"/>
          <w:b/>
          <w:sz w:val="44"/>
          <w:szCs w:val="44"/>
        </w:rPr>
        <w:t>6 от Закона за защита на личните данни</w:t>
      </w:r>
    </w:p>
    <w:p w:rsidR="00E42714" w:rsidRPr="007404FA" w:rsidRDefault="00E42714" w:rsidP="00DB6B05">
      <w:pPr>
        <w:spacing w:line="360" w:lineRule="auto"/>
        <w:ind w:firstLine="709"/>
        <w:jc w:val="both"/>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br w:type="page"/>
      </w:r>
    </w:p>
    <w:p w:rsidR="00E42714" w:rsidRPr="007404FA" w:rsidRDefault="00E42714" w:rsidP="00DB6B05">
      <w:pPr>
        <w:keepNext/>
        <w:keepLines/>
        <w:spacing w:line="360" w:lineRule="auto"/>
        <w:ind w:firstLine="709"/>
        <w:jc w:val="both"/>
        <w:rPr>
          <w:rFonts w:ascii="Times New Roman" w:eastAsiaTheme="majorEastAsia" w:hAnsi="Times New Roman" w:cs="Times New Roman"/>
          <w:b/>
          <w:bCs/>
          <w:color w:val="2E74B5" w:themeColor="accent1" w:themeShade="BF"/>
          <w:sz w:val="24"/>
          <w:szCs w:val="24"/>
        </w:rPr>
      </w:pPr>
      <w:r w:rsidRPr="007404FA">
        <w:rPr>
          <w:rFonts w:ascii="Times New Roman" w:eastAsiaTheme="majorEastAsia" w:hAnsi="Times New Roman" w:cs="Times New Roman"/>
          <w:b/>
          <w:bCs/>
          <w:color w:val="2E74B5" w:themeColor="accent1" w:themeShade="BF"/>
          <w:sz w:val="24"/>
          <w:szCs w:val="24"/>
        </w:rPr>
        <w:lastRenderedPageBreak/>
        <w:t>СЪДЪРЖАНИЕ</w:t>
      </w:r>
    </w:p>
    <w:p w:rsidR="00E42714" w:rsidRPr="007404FA" w:rsidRDefault="00E42714" w:rsidP="00DB6B05">
      <w:pPr>
        <w:spacing w:line="360" w:lineRule="auto"/>
        <w:ind w:firstLine="709"/>
        <w:jc w:val="both"/>
        <w:rPr>
          <w:rFonts w:ascii="Times New Roman" w:hAnsi="Times New Roman" w:cs="Times New Roman"/>
          <w:sz w:val="24"/>
          <w:szCs w:val="24"/>
        </w:rPr>
      </w:pPr>
    </w:p>
    <w:p w:rsidR="000B5F8F" w:rsidRPr="000B5F8F" w:rsidRDefault="00E42714">
      <w:pPr>
        <w:pStyle w:val="TOC1"/>
        <w:rPr>
          <w:rFonts w:ascii="Times New Roman" w:eastAsiaTheme="minorEastAsia" w:hAnsi="Times New Roman" w:cs="Times New Roman"/>
          <w:b/>
          <w:noProof/>
          <w:sz w:val="24"/>
          <w:szCs w:val="24"/>
        </w:rPr>
      </w:pPr>
      <w:r w:rsidRPr="000B5F8F">
        <w:rPr>
          <w:rFonts w:ascii="Times New Roman" w:hAnsi="Times New Roman" w:cs="Times New Roman"/>
          <w:b/>
          <w:sz w:val="24"/>
          <w:szCs w:val="24"/>
          <w:lang w:val="bg-BG"/>
        </w:rPr>
        <w:fldChar w:fldCharType="begin"/>
      </w:r>
      <w:r w:rsidRPr="000B5F8F">
        <w:rPr>
          <w:rFonts w:ascii="Times New Roman" w:hAnsi="Times New Roman" w:cs="Times New Roman"/>
          <w:b/>
          <w:sz w:val="24"/>
          <w:szCs w:val="24"/>
          <w:lang w:val="bg-BG"/>
        </w:rPr>
        <w:instrText xml:space="preserve"> TOC \o "1-3" \h \z \u </w:instrText>
      </w:r>
      <w:r w:rsidRPr="000B5F8F">
        <w:rPr>
          <w:rFonts w:ascii="Times New Roman" w:hAnsi="Times New Roman" w:cs="Times New Roman"/>
          <w:b/>
          <w:sz w:val="24"/>
          <w:szCs w:val="24"/>
          <w:lang w:val="bg-BG"/>
        </w:rPr>
        <w:fldChar w:fldCharType="separate"/>
      </w:r>
      <w:hyperlink w:anchor="_Toc130915377" w:history="1">
        <w:r w:rsidR="000B5F8F" w:rsidRPr="000B5F8F">
          <w:rPr>
            <w:rStyle w:val="Hyperlink"/>
            <w:rFonts w:ascii="Times New Roman" w:hAnsi="Times New Roman" w:cs="Times New Roman"/>
            <w:b/>
            <w:noProof/>
            <w:sz w:val="24"/>
            <w:szCs w:val="24"/>
          </w:rPr>
          <w:t xml:space="preserve">I. </w:t>
        </w:r>
        <w:r w:rsidR="000B5F8F">
          <w:rPr>
            <w:rStyle w:val="Hyperlink"/>
            <w:rFonts w:ascii="Times New Roman" w:hAnsi="Times New Roman" w:cs="Times New Roman"/>
            <w:b/>
            <w:noProof/>
            <w:sz w:val="24"/>
            <w:szCs w:val="24"/>
          </w:rPr>
          <w:tab/>
        </w:r>
        <w:r w:rsidR="000B5F8F" w:rsidRPr="000B5F8F">
          <w:rPr>
            <w:rStyle w:val="Hyperlink"/>
            <w:rFonts w:ascii="Times New Roman" w:hAnsi="Times New Roman" w:cs="Times New Roman"/>
            <w:b/>
            <w:noProof/>
            <w:sz w:val="24"/>
            <w:szCs w:val="24"/>
          </w:rPr>
          <w:t>УВОД</w:t>
        </w:r>
        <w:r w:rsidR="000B5F8F" w:rsidRPr="000B5F8F">
          <w:rPr>
            <w:rFonts w:ascii="Times New Roman" w:hAnsi="Times New Roman" w:cs="Times New Roman"/>
            <w:b/>
            <w:noProof/>
            <w:webHidden/>
            <w:sz w:val="24"/>
            <w:szCs w:val="24"/>
          </w:rPr>
          <w:tab/>
        </w:r>
        <w:r w:rsidR="000B5F8F" w:rsidRPr="000B5F8F">
          <w:rPr>
            <w:rFonts w:ascii="Times New Roman" w:hAnsi="Times New Roman" w:cs="Times New Roman"/>
            <w:b/>
            <w:noProof/>
            <w:webHidden/>
            <w:sz w:val="24"/>
            <w:szCs w:val="24"/>
          </w:rPr>
          <w:fldChar w:fldCharType="begin"/>
        </w:r>
        <w:r w:rsidR="000B5F8F" w:rsidRPr="000B5F8F">
          <w:rPr>
            <w:rFonts w:ascii="Times New Roman" w:hAnsi="Times New Roman" w:cs="Times New Roman"/>
            <w:b/>
            <w:noProof/>
            <w:webHidden/>
            <w:sz w:val="24"/>
            <w:szCs w:val="24"/>
          </w:rPr>
          <w:instrText xml:space="preserve"> PAGEREF _Toc130915377 \h </w:instrText>
        </w:r>
        <w:r w:rsidR="000B5F8F" w:rsidRPr="000B5F8F">
          <w:rPr>
            <w:rFonts w:ascii="Times New Roman" w:hAnsi="Times New Roman" w:cs="Times New Roman"/>
            <w:b/>
            <w:noProof/>
            <w:webHidden/>
            <w:sz w:val="24"/>
            <w:szCs w:val="24"/>
          </w:rPr>
        </w:r>
        <w:r w:rsidR="000B5F8F" w:rsidRPr="000B5F8F">
          <w:rPr>
            <w:rFonts w:ascii="Times New Roman" w:hAnsi="Times New Roman" w:cs="Times New Roman"/>
            <w:b/>
            <w:noProof/>
            <w:webHidden/>
            <w:sz w:val="24"/>
            <w:szCs w:val="24"/>
          </w:rPr>
          <w:fldChar w:fldCharType="separate"/>
        </w:r>
        <w:r w:rsidR="005476A2">
          <w:rPr>
            <w:rFonts w:ascii="Times New Roman" w:hAnsi="Times New Roman" w:cs="Times New Roman"/>
            <w:b/>
            <w:noProof/>
            <w:webHidden/>
            <w:sz w:val="24"/>
            <w:szCs w:val="24"/>
          </w:rPr>
          <w:t>5</w:t>
        </w:r>
        <w:r w:rsidR="000B5F8F" w:rsidRPr="000B5F8F">
          <w:rPr>
            <w:rFonts w:ascii="Times New Roman" w:hAnsi="Times New Roman" w:cs="Times New Roman"/>
            <w:b/>
            <w:noProof/>
            <w:webHidden/>
            <w:sz w:val="24"/>
            <w:szCs w:val="24"/>
          </w:rPr>
          <w:fldChar w:fldCharType="end"/>
        </w:r>
      </w:hyperlink>
    </w:p>
    <w:p w:rsidR="000B5F8F" w:rsidRPr="000B5F8F" w:rsidRDefault="00F46DC1">
      <w:pPr>
        <w:pStyle w:val="TOC1"/>
        <w:rPr>
          <w:rFonts w:ascii="Times New Roman" w:eastAsiaTheme="minorEastAsia" w:hAnsi="Times New Roman" w:cs="Times New Roman"/>
          <w:b/>
          <w:noProof/>
          <w:sz w:val="24"/>
          <w:szCs w:val="24"/>
        </w:rPr>
      </w:pPr>
      <w:hyperlink w:anchor="_Toc130915378" w:history="1">
        <w:r w:rsidR="000B5F8F" w:rsidRPr="000B5F8F">
          <w:rPr>
            <w:rStyle w:val="Hyperlink"/>
            <w:rFonts w:ascii="Times New Roman" w:hAnsi="Times New Roman" w:cs="Times New Roman"/>
            <w:b/>
            <w:noProof/>
            <w:sz w:val="24"/>
            <w:szCs w:val="24"/>
          </w:rPr>
          <w:t xml:space="preserve">II. </w:t>
        </w:r>
        <w:r w:rsidR="000B5F8F">
          <w:rPr>
            <w:rStyle w:val="Hyperlink"/>
            <w:rFonts w:ascii="Times New Roman" w:hAnsi="Times New Roman" w:cs="Times New Roman"/>
            <w:b/>
            <w:noProof/>
            <w:sz w:val="24"/>
            <w:szCs w:val="24"/>
          </w:rPr>
          <w:tab/>
        </w:r>
        <w:r w:rsidR="000B5F8F" w:rsidRPr="000B5F8F">
          <w:rPr>
            <w:rStyle w:val="Hyperlink"/>
            <w:rFonts w:ascii="Times New Roman" w:hAnsi="Times New Roman" w:cs="Times New Roman"/>
            <w:b/>
            <w:noProof/>
            <w:sz w:val="24"/>
            <w:szCs w:val="24"/>
          </w:rPr>
          <w:t xml:space="preserve">АНАЛИЗ И ОТЧЕТ НА СТЕПЕНТА НА ПОСТИГАНЕ НА </w:t>
        </w:r>
        <w:r w:rsidR="00B64ECB">
          <w:rPr>
            <w:rStyle w:val="Hyperlink"/>
            <w:rFonts w:ascii="Times New Roman" w:hAnsi="Times New Roman" w:cs="Times New Roman"/>
            <w:b/>
            <w:noProof/>
            <w:sz w:val="24"/>
            <w:szCs w:val="24"/>
          </w:rPr>
          <w:br/>
        </w:r>
        <w:r w:rsidR="000B5F8F" w:rsidRPr="000B5F8F">
          <w:rPr>
            <w:rStyle w:val="Hyperlink"/>
            <w:rFonts w:ascii="Times New Roman" w:hAnsi="Times New Roman" w:cs="Times New Roman"/>
            <w:b/>
            <w:noProof/>
            <w:sz w:val="24"/>
            <w:szCs w:val="24"/>
          </w:rPr>
          <w:t xml:space="preserve">ЦЕЛИТЕ И ПРИОРИТЕТИТЕ НА КЗЛД, ЗАЛЕГНАЛИ В </w:t>
        </w:r>
        <w:r w:rsidR="00B64ECB">
          <w:rPr>
            <w:rStyle w:val="Hyperlink"/>
            <w:rFonts w:ascii="Times New Roman" w:hAnsi="Times New Roman" w:cs="Times New Roman"/>
            <w:b/>
            <w:noProof/>
            <w:sz w:val="24"/>
            <w:szCs w:val="24"/>
          </w:rPr>
          <w:br/>
        </w:r>
        <w:r w:rsidR="000B5F8F" w:rsidRPr="000B5F8F">
          <w:rPr>
            <w:rStyle w:val="Hyperlink"/>
            <w:rFonts w:ascii="Times New Roman" w:hAnsi="Times New Roman" w:cs="Times New Roman"/>
            <w:b/>
            <w:noProof/>
            <w:sz w:val="24"/>
            <w:szCs w:val="24"/>
          </w:rPr>
          <w:t>ГОДИШНИЯ ОТЧЕТ ЗА 2022 г.</w:t>
        </w:r>
        <w:r w:rsidR="000B5F8F" w:rsidRPr="000B5F8F">
          <w:rPr>
            <w:rFonts w:ascii="Times New Roman" w:hAnsi="Times New Roman" w:cs="Times New Roman"/>
            <w:b/>
            <w:noProof/>
            <w:webHidden/>
            <w:sz w:val="24"/>
            <w:szCs w:val="24"/>
          </w:rPr>
          <w:tab/>
        </w:r>
        <w:r w:rsidR="000B5F8F" w:rsidRPr="000B5F8F">
          <w:rPr>
            <w:rFonts w:ascii="Times New Roman" w:hAnsi="Times New Roman" w:cs="Times New Roman"/>
            <w:b/>
            <w:noProof/>
            <w:webHidden/>
            <w:sz w:val="24"/>
            <w:szCs w:val="24"/>
          </w:rPr>
          <w:fldChar w:fldCharType="begin"/>
        </w:r>
        <w:r w:rsidR="000B5F8F" w:rsidRPr="000B5F8F">
          <w:rPr>
            <w:rFonts w:ascii="Times New Roman" w:hAnsi="Times New Roman" w:cs="Times New Roman"/>
            <w:b/>
            <w:noProof/>
            <w:webHidden/>
            <w:sz w:val="24"/>
            <w:szCs w:val="24"/>
          </w:rPr>
          <w:instrText xml:space="preserve"> PAGEREF _Toc130915378 \h </w:instrText>
        </w:r>
        <w:r w:rsidR="000B5F8F" w:rsidRPr="000B5F8F">
          <w:rPr>
            <w:rFonts w:ascii="Times New Roman" w:hAnsi="Times New Roman" w:cs="Times New Roman"/>
            <w:b/>
            <w:noProof/>
            <w:webHidden/>
            <w:sz w:val="24"/>
            <w:szCs w:val="24"/>
          </w:rPr>
        </w:r>
        <w:r w:rsidR="000B5F8F" w:rsidRPr="000B5F8F">
          <w:rPr>
            <w:rFonts w:ascii="Times New Roman" w:hAnsi="Times New Roman" w:cs="Times New Roman"/>
            <w:b/>
            <w:noProof/>
            <w:webHidden/>
            <w:sz w:val="24"/>
            <w:szCs w:val="24"/>
          </w:rPr>
          <w:fldChar w:fldCharType="separate"/>
        </w:r>
        <w:r w:rsidR="005476A2">
          <w:rPr>
            <w:rFonts w:ascii="Times New Roman" w:hAnsi="Times New Roman" w:cs="Times New Roman"/>
            <w:b/>
            <w:noProof/>
            <w:webHidden/>
            <w:sz w:val="24"/>
            <w:szCs w:val="24"/>
          </w:rPr>
          <w:t>6</w:t>
        </w:r>
        <w:r w:rsidR="000B5F8F" w:rsidRPr="000B5F8F">
          <w:rPr>
            <w:rFonts w:ascii="Times New Roman" w:hAnsi="Times New Roman" w:cs="Times New Roman"/>
            <w:b/>
            <w:noProof/>
            <w:webHidden/>
            <w:sz w:val="24"/>
            <w:szCs w:val="24"/>
          </w:rPr>
          <w:fldChar w:fldCharType="end"/>
        </w:r>
      </w:hyperlink>
    </w:p>
    <w:p w:rsidR="000B5F8F" w:rsidRPr="000B5F8F" w:rsidRDefault="00F46DC1">
      <w:pPr>
        <w:pStyle w:val="TOC1"/>
        <w:rPr>
          <w:rFonts w:ascii="Times New Roman" w:eastAsiaTheme="minorEastAsia" w:hAnsi="Times New Roman" w:cs="Times New Roman"/>
          <w:b/>
          <w:noProof/>
          <w:sz w:val="24"/>
          <w:szCs w:val="24"/>
        </w:rPr>
      </w:pPr>
      <w:hyperlink w:anchor="_Toc130915379" w:history="1">
        <w:r w:rsidR="000B5F8F" w:rsidRPr="000B5F8F">
          <w:rPr>
            <w:rStyle w:val="Hyperlink"/>
            <w:rFonts w:ascii="Times New Roman" w:hAnsi="Times New Roman" w:cs="Times New Roman"/>
            <w:b/>
            <w:noProof/>
            <w:sz w:val="24"/>
            <w:szCs w:val="24"/>
          </w:rPr>
          <w:t xml:space="preserve">III. </w:t>
        </w:r>
        <w:r w:rsidR="000B5F8F">
          <w:rPr>
            <w:rStyle w:val="Hyperlink"/>
            <w:rFonts w:ascii="Times New Roman" w:hAnsi="Times New Roman" w:cs="Times New Roman"/>
            <w:b/>
            <w:noProof/>
            <w:sz w:val="24"/>
            <w:szCs w:val="24"/>
          </w:rPr>
          <w:tab/>
        </w:r>
        <w:r w:rsidR="000B5F8F" w:rsidRPr="000B5F8F">
          <w:rPr>
            <w:rStyle w:val="Hyperlink"/>
            <w:rFonts w:ascii="Times New Roman" w:hAnsi="Times New Roman" w:cs="Times New Roman"/>
            <w:b/>
            <w:noProof/>
            <w:sz w:val="24"/>
            <w:szCs w:val="24"/>
          </w:rPr>
          <w:t xml:space="preserve">ЗАЩИТА НА ПРАВАТА НА СУБЕКТИТЕ НА ДАННИ ПРИ </w:t>
        </w:r>
        <w:r w:rsidR="00B64ECB">
          <w:rPr>
            <w:rStyle w:val="Hyperlink"/>
            <w:rFonts w:ascii="Times New Roman" w:hAnsi="Times New Roman" w:cs="Times New Roman"/>
            <w:b/>
            <w:noProof/>
            <w:sz w:val="24"/>
            <w:szCs w:val="24"/>
          </w:rPr>
          <w:br/>
        </w:r>
        <w:r w:rsidR="000B5F8F" w:rsidRPr="000B5F8F">
          <w:rPr>
            <w:rStyle w:val="Hyperlink"/>
            <w:rFonts w:ascii="Times New Roman" w:hAnsi="Times New Roman" w:cs="Times New Roman"/>
            <w:b/>
            <w:noProof/>
            <w:sz w:val="24"/>
            <w:szCs w:val="24"/>
          </w:rPr>
          <w:t>ОБРАБОТВАНЕ НА ЛИЧНИТЕ ИМ ДАННИ</w:t>
        </w:r>
        <w:r w:rsidR="000B5F8F" w:rsidRPr="000B5F8F">
          <w:rPr>
            <w:rFonts w:ascii="Times New Roman" w:hAnsi="Times New Roman" w:cs="Times New Roman"/>
            <w:b/>
            <w:noProof/>
            <w:webHidden/>
            <w:sz w:val="24"/>
            <w:szCs w:val="24"/>
          </w:rPr>
          <w:tab/>
        </w:r>
        <w:r w:rsidR="000B5F8F" w:rsidRPr="000B5F8F">
          <w:rPr>
            <w:rFonts w:ascii="Times New Roman" w:hAnsi="Times New Roman" w:cs="Times New Roman"/>
            <w:b/>
            <w:noProof/>
            <w:webHidden/>
            <w:sz w:val="24"/>
            <w:szCs w:val="24"/>
          </w:rPr>
          <w:fldChar w:fldCharType="begin"/>
        </w:r>
        <w:r w:rsidR="000B5F8F" w:rsidRPr="000B5F8F">
          <w:rPr>
            <w:rFonts w:ascii="Times New Roman" w:hAnsi="Times New Roman" w:cs="Times New Roman"/>
            <w:b/>
            <w:noProof/>
            <w:webHidden/>
            <w:sz w:val="24"/>
            <w:szCs w:val="24"/>
          </w:rPr>
          <w:instrText xml:space="preserve"> PAGEREF _Toc130915379 \h </w:instrText>
        </w:r>
        <w:r w:rsidR="000B5F8F" w:rsidRPr="000B5F8F">
          <w:rPr>
            <w:rFonts w:ascii="Times New Roman" w:hAnsi="Times New Roman" w:cs="Times New Roman"/>
            <w:b/>
            <w:noProof/>
            <w:webHidden/>
            <w:sz w:val="24"/>
            <w:szCs w:val="24"/>
          </w:rPr>
        </w:r>
        <w:r w:rsidR="000B5F8F" w:rsidRPr="000B5F8F">
          <w:rPr>
            <w:rFonts w:ascii="Times New Roman" w:hAnsi="Times New Roman" w:cs="Times New Roman"/>
            <w:b/>
            <w:noProof/>
            <w:webHidden/>
            <w:sz w:val="24"/>
            <w:szCs w:val="24"/>
          </w:rPr>
          <w:fldChar w:fldCharType="separate"/>
        </w:r>
        <w:r w:rsidR="005476A2">
          <w:rPr>
            <w:rFonts w:ascii="Times New Roman" w:hAnsi="Times New Roman" w:cs="Times New Roman"/>
            <w:b/>
            <w:noProof/>
            <w:webHidden/>
            <w:sz w:val="24"/>
            <w:szCs w:val="24"/>
          </w:rPr>
          <w:t>12</w:t>
        </w:r>
        <w:r w:rsidR="000B5F8F" w:rsidRPr="000B5F8F">
          <w:rPr>
            <w:rFonts w:ascii="Times New Roman" w:hAnsi="Times New Roman" w:cs="Times New Roman"/>
            <w:b/>
            <w:noProof/>
            <w:webHidden/>
            <w:sz w:val="24"/>
            <w:szCs w:val="24"/>
          </w:rPr>
          <w:fldChar w:fldCharType="end"/>
        </w:r>
      </w:hyperlink>
    </w:p>
    <w:p w:rsidR="000B5F8F" w:rsidRPr="000B5F8F" w:rsidRDefault="00F46DC1">
      <w:pPr>
        <w:pStyle w:val="TOC1"/>
        <w:rPr>
          <w:rFonts w:ascii="Times New Roman" w:eastAsiaTheme="minorEastAsia" w:hAnsi="Times New Roman" w:cs="Times New Roman"/>
          <w:b/>
          <w:noProof/>
          <w:sz w:val="24"/>
          <w:szCs w:val="24"/>
        </w:rPr>
      </w:pPr>
      <w:hyperlink w:anchor="_Toc130915380" w:history="1">
        <w:r w:rsidR="000B5F8F" w:rsidRPr="000B5F8F">
          <w:rPr>
            <w:rStyle w:val="Hyperlink"/>
            <w:rFonts w:ascii="Times New Roman" w:eastAsia="Batang" w:hAnsi="Times New Roman" w:cs="Times New Roman"/>
            <w:b/>
            <w:noProof/>
            <w:sz w:val="24"/>
            <w:szCs w:val="24"/>
          </w:rPr>
          <w:t xml:space="preserve">IV. </w:t>
        </w:r>
        <w:r w:rsidR="000B5F8F">
          <w:rPr>
            <w:rStyle w:val="Hyperlink"/>
            <w:rFonts w:ascii="Times New Roman" w:eastAsia="Batang" w:hAnsi="Times New Roman" w:cs="Times New Roman"/>
            <w:b/>
            <w:noProof/>
            <w:sz w:val="24"/>
            <w:szCs w:val="24"/>
          </w:rPr>
          <w:tab/>
        </w:r>
        <w:r w:rsidR="000B5F8F" w:rsidRPr="000B5F8F">
          <w:rPr>
            <w:rStyle w:val="Hyperlink"/>
            <w:rFonts w:ascii="Times New Roman" w:eastAsia="Batang" w:hAnsi="Times New Roman" w:cs="Times New Roman"/>
            <w:b/>
            <w:noProof/>
            <w:sz w:val="24"/>
            <w:szCs w:val="24"/>
          </w:rPr>
          <w:t>КОНТРОЛНА ДЕЙНОСТ</w:t>
        </w:r>
        <w:r w:rsidR="000B5F8F" w:rsidRPr="000B5F8F">
          <w:rPr>
            <w:rFonts w:ascii="Times New Roman" w:hAnsi="Times New Roman" w:cs="Times New Roman"/>
            <w:b/>
            <w:noProof/>
            <w:webHidden/>
            <w:sz w:val="24"/>
            <w:szCs w:val="24"/>
          </w:rPr>
          <w:tab/>
        </w:r>
        <w:r w:rsidR="000B5F8F" w:rsidRPr="000B5F8F">
          <w:rPr>
            <w:rFonts w:ascii="Times New Roman" w:hAnsi="Times New Roman" w:cs="Times New Roman"/>
            <w:b/>
            <w:noProof/>
            <w:webHidden/>
            <w:sz w:val="24"/>
            <w:szCs w:val="24"/>
          </w:rPr>
          <w:fldChar w:fldCharType="begin"/>
        </w:r>
        <w:r w:rsidR="000B5F8F" w:rsidRPr="000B5F8F">
          <w:rPr>
            <w:rFonts w:ascii="Times New Roman" w:hAnsi="Times New Roman" w:cs="Times New Roman"/>
            <w:b/>
            <w:noProof/>
            <w:webHidden/>
            <w:sz w:val="24"/>
            <w:szCs w:val="24"/>
          </w:rPr>
          <w:instrText xml:space="preserve"> PAGEREF _Toc130915380 \h </w:instrText>
        </w:r>
        <w:r w:rsidR="000B5F8F" w:rsidRPr="000B5F8F">
          <w:rPr>
            <w:rFonts w:ascii="Times New Roman" w:hAnsi="Times New Roman" w:cs="Times New Roman"/>
            <w:b/>
            <w:noProof/>
            <w:webHidden/>
            <w:sz w:val="24"/>
            <w:szCs w:val="24"/>
          </w:rPr>
        </w:r>
        <w:r w:rsidR="000B5F8F" w:rsidRPr="000B5F8F">
          <w:rPr>
            <w:rFonts w:ascii="Times New Roman" w:hAnsi="Times New Roman" w:cs="Times New Roman"/>
            <w:b/>
            <w:noProof/>
            <w:webHidden/>
            <w:sz w:val="24"/>
            <w:szCs w:val="24"/>
          </w:rPr>
          <w:fldChar w:fldCharType="separate"/>
        </w:r>
        <w:r w:rsidR="005476A2">
          <w:rPr>
            <w:rFonts w:ascii="Times New Roman" w:hAnsi="Times New Roman" w:cs="Times New Roman"/>
            <w:b/>
            <w:noProof/>
            <w:webHidden/>
            <w:sz w:val="24"/>
            <w:szCs w:val="24"/>
          </w:rPr>
          <w:t>44</w:t>
        </w:r>
        <w:r w:rsidR="000B5F8F" w:rsidRPr="000B5F8F">
          <w:rPr>
            <w:rFonts w:ascii="Times New Roman" w:hAnsi="Times New Roman" w:cs="Times New Roman"/>
            <w:b/>
            <w:noProof/>
            <w:webHidden/>
            <w:sz w:val="24"/>
            <w:szCs w:val="24"/>
          </w:rPr>
          <w:fldChar w:fldCharType="end"/>
        </w:r>
      </w:hyperlink>
    </w:p>
    <w:p w:rsidR="000B5F8F" w:rsidRPr="000B5F8F" w:rsidRDefault="00F46DC1">
      <w:pPr>
        <w:pStyle w:val="TOC1"/>
        <w:rPr>
          <w:rFonts w:ascii="Times New Roman" w:eastAsiaTheme="minorEastAsia" w:hAnsi="Times New Roman" w:cs="Times New Roman"/>
          <w:b/>
          <w:noProof/>
          <w:sz w:val="24"/>
          <w:szCs w:val="24"/>
        </w:rPr>
      </w:pPr>
      <w:hyperlink w:anchor="_Toc130915381" w:history="1">
        <w:r w:rsidR="000B5F8F" w:rsidRPr="000B5F8F">
          <w:rPr>
            <w:rStyle w:val="Hyperlink"/>
            <w:rFonts w:ascii="Times New Roman" w:hAnsi="Times New Roman" w:cs="Times New Roman"/>
            <w:b/>
            <w:noProof/>
            <w:sz w:val="24"/>
            <w:szCs w:val="24"/>
          </w:rPr>
          <w:t xml:space="preserve">V. </w:t>
        </w:r>
        <w:r w:rsidR="000B5F8F">
          <w:rPr>
            <w:rStyle w:val="Hyperlink"/>
            <w:rFonts w:ascii="Times New Roman" w:hAnsi="Times New Roman" w:cs="Times New Roman"/>
            <w:b/>
            <w:noProof/>
            <w:sz w:val="24"/>
            <w:szCs w:val="24"/>
          </w:rPr>
          <w:tab/>
        </w:r>
        <w:r w:rsidR="000B5F8F" w:rsidRPr="000B5F8F">
          <w:rPr>
            <w:rStyle w:val="Hyperlink"/>
            <w:rFonts w:ascii="Times New Roman" w:hAnsi="Times New Roman" w:cs="Times New Roman"/>
            <w:b/>
            <w:noProof/>
            <w:sz w:val="24"/>
            <w:szCs w:val="24"/>
          </w:rPr>
          <w:t>ПРОИЗВОДСТВА ПО ИЗРАЗЯВАНЕ НА СТАНОВИЩА И УЧАСТИЕ В СЪГЛАСУВАТЕЛНИ ПРОЦЕДУРИ НА НОРМАТИВНИ АКТОВЕ ПО ВЪПРОСИТЕ, СВЪРЗАНИ СЪС ЗАЩИТА НА ЛИЧНИТЕ ДАННИ</w:t>
        </w:r>
        <w:r w:rsidR="000B5F8F" w:rsidRPr="000B5F8F">
          <w:rPr>
            <w:rFonts w:ascii="Times New Roman" w:hAnsi="Times New Roman" w:cs="Times New Roman"/>
            <w:b/>
            <w:noProof/>
            <w:webHidden/>
            <w:sz w:val="24"/>
            <w:szCs w:val="24"/>
          </w:rPr>
          <w:tab/>
        </w:r>
        <w:r w:rsidR="000B5F8F" w:rsidRPr="000B5F8F">
          <w:rPr>
            <w:rFonts w:ascii="Times New Roman" w:hAnsi="Times New Roman" w:cs="Times New Roman"/>
            <w:b/>
            <w:noProof/>
            <w:webHidden/>
            <w:sz w:val="24"/>
            <w:szCs w:val="24"/>
          </w:rPr>
          <w:fldChar w:fldCharType="begin"/>
        </w:r>
        <w:r w:rsidR="000B5F8F" w:rsidRPr="000B5F8F">
          <w:rPr>
            <w:rFonts w:ascii="Times New Roman" w:hAnsi="Times New Roman" w:cs="Times New Roman"/>
            <w:b/>
            <w:noProof/>
            <w:webHidden/>
            <w:sz w:val="24"/>
            <w:szCs w:val="24"/>
          </w:rPr>
          <w:instrText xml:space="preserve"> PAGEREF _Toc130915381 \h </w:instrText>
        </w:r>
        <w:r w:rsidR="000B5F8F" w:rsidRPr="000B5F8F">
          <w:rPr>
            <w:rFonts w:ascii="Times New Roman" w:hAnsi="Times New Roman" w:cs="Times New Roman"/>
            <w:b/>
            <w:noProof/>
            <w:webHidden/>
            <w:sz w:val="24"/>
            <w:szCs w:val="24"/>
          </w:rPr>
        </w:r>
        <w:r w:rsidR="000B5F8F" w:rsidRPr="000B5F8F">
          <w:rPr>
            <w:rFonts w:ascii="Times New Roman" w:hAnsi="Times New Roman" w:cs="Times New Roman"/>
            <w:b/>
            <w:noProof/>
            <w:webHidden/>
            <w:sz w:val="24"/>
            <w:szCs w:val="24"/>
          </w:rPr>
          <w:fldChar w:fldCharType="separate"/>
        </w:r>
        <w:r w:rsidR="005476A2">
          <w:rPr>
            <w:rFonts w:ascii="Times New Roman" w:hAnsi="Times New Roman" w:cs="Times New Roman"/>
            <w:b/>
            <w:noProof/>
            <w:webHidden/>
            <w:sz w:val="24"/>
            <w:szCs w:val="24"/>
          </w:rPr>
          <w:t>69</w:t>
        </w:r>
        <w:r w:rsidR="000B5F8F" w:rsidRPr="000B5F8F">
          <w:rPr>
            <w:rFonts w:ascii="Times New Roman" w:hAnsi="Times New Roman" w:cs="Times New Roman"/>
            <w:b/>
            <w:noProof/>
            <w:webHidden/>
            <w:sz w:val="24"/>
            <w:szCs w:val="24"/>
          </w:rPr>
          <w:fldChar w:fldCharType="end"/>
        </w:r>
      </w:hyperlink>
    </w:p>
    <w:p w:rsidR="000B5F8F" w:rsidRPr="000B5F8F" w:rsidRDefault="00F46DC1">
      <w:pPr>
        <w:pStyle w:val="TOC1"/>
        <w:rPr>
          <w:rFonts w:ascii="Times New Roman" w:eastAsiaTheme="minorEastAsia" w:hAnsi="Times New Roman" w:cs="Times New Roman"/>
          <w:b/>
          <w:noProof/>
          <w:sz w:val="24"/>
          <w:szCs w:val="24"/>
        </w:rPr>
      </w:pPr>
      <w:hyperlink w:anchor="_Toc130915382" w:history="1">
        <w:r w:rsidR="000B5F8F" w:rsidRPr="000B5F8F">
          <w:rPr>
            <w:rStyle w:val="Hyperlink"/>
            <w:rFonts w:ascii="Times New Roman" w:hAnsi="Times New Roman" w:cs="Times New Roman"/>
            <w:b/>
            <w:noProof/>
            <w:sz w:val="24"/>
            <w:szCs w:val="24"/>
          </w:rPr>
          <w:t xml:space="preserve">VI. </w:t>
        </w:r>
        <w:r w:rsidR="000B5F8F">
          <w:rPr>
            <w:rStyle w:val="Hyperlink"/>
            <w:rFonts w:ascii="Times New Roman" w:hAnsi="Times New Roman" w:cs="Times New Roman"/>
            <w:b/>
            <w:noProof/>
            <w:sz w:val="24"/>
            <w:szCs w:val="24"/>
          </w:rPr>
          <w:tab/>
        </w:r>
        <w:r w:rsidR="000B5F8F" w:rsidRPr="000B5F8F">
          <w:rPr>
            <w:rStyle w:val="Hyperlink"/>
            <w:rFonts w:ascii="Times New Roman" w:hAnsi="Times New Roman" w:cs="Times New Roman"/>
            <w:b/>
            <w:noProof/>
            <w:sz w:val="24"/>
            <w:szCs w:val="24"/>
          </w:rPr>
          <w:t xml:space="preserve">УЧАСТИЕ В МЕХАНИЗМИТЕ ЗА СЪГЛАСУВАНОСТ И СЪТРУДНИЧЕСТВО В РАМКИТЕ НА ЕВРОПЕЙСКИЯ </w:t>
        </w:r>
        <w:r w:rsidR="00B64ECB">
          <w:rPr>
            <w:rStyle w:val="Hyperlink"/>
            <w:rFonts w:ascii="Times New Roman" w:hAnsi="Times New Roman" w:cs="Times New Roman"/>
            <w:b/>
            <w:noProof/>
            <w:sz w:val="24"/>
            <w:szCs w:val="24"/>
          </w:rPr>
          <w:br/>
        </w:r>
        <w:r w:rsidR="000B5F8F" w:rsidRPr="000B5F8F">
          <w:rPr>
            <w:rStyle w:val="Hyperlink"/>
            <w:rFonts w:ascii="Times New Roman" w:hAnsi="Times New Roman" w:cs="Times New Roman"/>
            <w:b/>
            <w:noProof/>
            <w:sz w:val="24"/>
            <w:szCs w:val="24"/>
          </w:rPr>
          <w:t>КОМИТЕТ ЗА ЗАЩИТА НА ДАННИТЕ</w:t>
        </w:r>
        <w:r w:rsidR="000B5F8F" w:rsidRPr="000B5F8F">
          <w:rPr>
            <w:rFonts w:ascii="Times New Roman" w:hAnsi="Times New Roman" w:cs="Times New Roman"/>
            <w:b/>
            <w:noProof/>
            <w:webHidden/>
            <w:sz w:val="24"/>
            <w:szCs w:val="24"/>
          </w:rPr>
          <w:tab/>
        </w:r>
        <w:r w:rsidR="000B5F8F" w:rsidRPr="000B5F8F">
          <w:rPr>
            <w:rFonts w:ascii="Times New Roman" w:hAnsi="Times New Roman" w:cs="Times New Roman"/>
            <w:b/>
            <w:noProof/>
            <w:webHidden/>
            <w:sz w:val="24"/>
            <w:szCs w:val="24"/>
          </w:rPr>
          <w:fldChar w:fldCharType="begin"/>
        </w:r>
        <w:r w:rsidR="000B5F8F" w:rsidRPr="000B5F8F">
          <w:rPr>
            <w:rFonts w:ascii="Times New Roman" w:hAnsi="Times New Roman" w:cs="Times New Roman"/>
            <w:b/>
            <w:noProof/>
            <w:webHidden/>
            <w:sz w:val="24"/>
            <w:szCs w:val="24"/>
          </w:rPr>
          <w:instrText xml:space="preserve"> PAGEREF _Toc130915382 \h </w:instrText>
        </w:r>
        <w:r w:rsidR="000B5F8F" w:rsidRPr="000B5F8F">
          <w:rPr>
            <w:rFonts w:ascii="Times New Roman" w:hAnsi="Times New Roman" w:cs="Times New Roman"/>
            <w:b/>
            <w:noProof/>
            <w:webHidden/>
            <w:sz w:val="24"/>
            <w:szCs w:val="24"/>
          </w:rPr>
        </w:r>
        <w:r w:rsidR="000B5F8F" w:rsidRPr="000B5F8F">
          <w:rPr>
            <w:rFonts w:ascii="Times New Roman" w:hAnsi="Times New Roman" w:cs="Times New Roman"/>
            <w:b/>
            <w:noProof/>
            <w:webHidden/>
            <w:sz w:val="24"/>
            <w:szCs w:val="24"/>
          </w:rPr>
          <w:fldChar w:fldCharType="separate"/>
        </w:r>
        <w:r w:rsidR="005476A2">
          <w:rPr>
            <w:rFonts w:ascii="Times New Roman" w:hAnsi="Times New Roman" w:cs="Times New Roman"/>
            <w:b/>
            <w:noProof/>
            <w:webHidden/>
            <w:sz w:val="24"/>
            <w:szCs w:val="24"/>
          </w:rPr>
          <w:t>89</w:t>
        </w:r>
        <w:r w:rsidR="000B5F8F" w:rsidRPr="000B5F8F">
          <w:rPr>
            <w:rFonts w:ascii="Times New Roman" w:hAnsi="Times New Roman" w:cs="Times New Roman"/>
            <w:b/>
            <w:noProof/>
            <w:webHidden/>
            <w:sz w:val="24"/>
            <w:szCs w:val="24"/>
          </w:rPr>
          <w:fldChar w:fldCharType="end"/>
        </w:r>
      </w:hyperlink>
    </w:p>
    <w:p w:rsidR="000B5F8F" w:rsidRPr="000B5F8F" w:rsidRDefault="00F46DC1">
      <w:pPr>
        <w:pStyle w:val="TOC1"/>
        <w:rPr>
          <w:rFonts w:ascii="Times New Roman" w:eastAsiaTheme="minorEastAsia" w:hAnsi="Times New Roman" w:cs="Times New Roman"/>
          <w:b/>
          <w:noProof/>
          <w:sz w:val="24"/>
          <w:szCs w:val="24"/>
        </w:rPr>
      </w:pPr>
      <w:hyperlink w:anchor="_Toc130915383" w:history="1">
        <w:r w:rsidR="000B5F8F" w:rsidRPr="000B5F8F">
          <w:rPr>
            <w:rStyle w:val="Hyperlink"/>
            <w:rFonts w:ascii="Times New Roman" w:hAnsi="Times New Roman" w:cs="Times New Roman"/>
            <w:b/>
            <w:noProof/>
            <w:sz w:val="24"/>
            <w:szCs w:val="24"/>
          </w:rPr>
          <w:t xml:space="preserve">VII. </w:t>
        </w:r>
        <w:r w:rsidR="000B5F8F">
          <w:rPr>
            <w:rStyle w:val="Hyperlink"/>
            <w:rFonts w:ascii="Times New Roman" w:hAnsi="Times New Roman" w:cs="Times New Roman"/>
            <w:b/>
            <w:noProof/>
            <w:sz w:val="24"/>
            <w:szCs w:val="24"/>
          </w:rPr>
          <w:tab/>
        </w:r>
        <w:r w:rsidR="000B5F8F" w:rsidRPr="000B5F8F">
          <w:rPr>
            <w:rStyle w:val="Hyperlink"/>
            <w:rFonts w:ascii="Times New Roman" w:hAnsi="Times New Roman" w:cs="Times New Roman"/>
            <w:b/>
            <w:noProof/>
            <w:sz w:val="24"/>
            <w:szCs w:val="24"/>
          </w:rPr>
          <w:t>МЕЖДУНАРОДНА ДЕЙНОСТ</w:t>
        </w:r>
        <w:r w:rsidR="000B5F8F" w:rsidRPr="000B5F8F">
          <w:rPr>
            <w:rFonts w:ascii="Times New Roman" w:hAnsi="Times New Roman" w:cs="Times New Roman"/>
            <w:b/>
            <w:noProof/>
            <w:webHidden/>
            <w:sz w:val="24"/>
            <w:szCs w:val="24"/>
          </w:rPr>
          <w:tab/>
        </w:r>
        <w:r w:rsidR="000B5F8F" w:rsidRPr="000B5F8F">
          <w:rPr>
            <w:rFonts w:ascii="Times New Roman" w:hAnsi="Times New Roman" w:cs="Times New Roman"/>
            <w:b/>
            <w:noProof/>
            <w:webHidden/>
            <w:sz w:val="24"/>
            <w:szCs w:val="24"/>
          </w:rPr>
          <w:fldChar w:fldCharType="begin"/>
        </w:r>
        <w:r w:rsidR="000B5F8F" w:rsidRPr="000B5F8F">
          <w:rPr>
            <w:rFonts w:ascii="Times New Roman" w:hAnsi="Times New Roman" w:cs="Times New Roman"/>
            <w:b/>
            <w:noProof/>
            <w:webHidden/>
            <w:sz w:val="24"/>
            <w:szCs w:val="24"/>
          </w:rPr>
          <w:instrText xml:space="preserve"> PAGEREF _Toc130915383 \h </w:instrText>
        </w:r>
        <w:r w:rsidR="000B5F8F" w:rsidRPr="000B5F8F">
          <w:rPr>
            <w:rFonts w:ascii="Times New Roman" w:hAnsi="Times New Roman" w:cs="Times New Roman"/>
            <w:b/>
            <w:noProof/>
            <w:webHidden/>
            <w:sz w:val="24"/>
            <w:szCs w:val="24"/>
          </w:rPr>
        </w:r>
        <w:r w:rsidR="000B5F8F" w:rsidRPr="000B5F8F">
          <w:rPr>
            <w:rFonts w:ascii="Times New Roman" w:hAnsi="Times New Roman" w:cs="Times New Roman"/>
            <w:b/>
            <w:noProof/>
            <w:webHidden/>
            <w:sz w:val="24"/>
            <w:szCs w:val="24"/>
          </w:rPr>
          <w:fldChar w:fldCharType="separate"/>
        </w:r>
        <w:r w:rsidR="005476A2">
          <w:rPr>
            <w:rFonts w:ascii="Times New Roman" w:hAnsi="Times New Roman" w:cs="Times New Roman"/>
            <w:b/>
            <w:noProof/>
            <w:webHidden/>
            <w:sz w:val="24"/>
            <w:szCs w:val="24"/>
          </w:rPr>
          <w:t>96</w:t>
        </w:r>
        <w:r w:rsidR="000B5F8F" w:rsidRPr="000B5F8F">
          <w:rPr>
            <w:rFonts w:ascii="Times New Roman" w:hAnsi="Times New Roman" w:cs="Times New Roman"/>
            <w:b/>
            <w:noProof/>
            <w:webHidden/>
            <w:sz w:val="24"/>
            <w:szCs w:val="24"/>
          </w:rPr>
          <w:fldChar w:fldCharType="end"/>
        </w:r>
      </w:hyperlink>
    </w:p>
    <w:p w:rsidR="000B5F8F" w:rsidRPr="000B5F8F" w:rsidRDefault="00F46DC1">
      <w:pPr>
        <w:pStyle w:val="TOC1"/>
        <w:rPr>
          <w:rFonts w:ascii="Times New Roman" w:eastAsiaTheme="minorEastAsia" w:hAnsi="Times New Roman" w:cs="Times New Roman"/>
          <w:b/>
          <w:noProof/>
          <w:sz w:val="24"/>
          <w:szCs w:val="24"/>
        </w:rPr>
      </w:pPr>
      <w:hyperlink w:anchor="_Toc130915384" w:history="1">
        <w:r w:rsidR="000B5F8F" w:rsidRPr="000B5F8F">
          <w:rPr>
            <w:rStyle w:val="Hyperlink"/>
            <w:rFonts w:ascii="Times New Roman" w:hAnsi="Times New Roman" w:cs="Times New Roman"/>
            <w:b/>
            <w:noProof/>
            <w:sz w:val="24"/>
            <w:szCs w:val="24"/>
          </w:rPr>
          <w:t xml:space="preserve">VIII. </w:t>
        </w:r>
        <w:r w:rsidR="000B5F8F">
          <w:rPr>
            <w:rStyle w:val="Hyperlink"/>
            <w:rFonts w:ascii="Times New Roman" w:hAnsi="Times New Roman" w:cs="Times New Roman"/>
            <w:b/>
            <w:noProof/>
            <w:sz w:val="24"/>
            <w:szCs w:val="24"/>
          </w:rPr>
          <w:tab/>
        </w:r>
        <w:r w:rsidR="000B5F8F" w:rsidRPr="000B5F8F">
          <w:rPr>
            <w:rStyle w:val="Hyperlink"/>
            <w:rFonts w:ascii="Times New Roman" w:hAnsi="Times New Roman" w:cs="Times New Roman"/>
            <w:b/>
            <w:noProof/>
            <w:sz w:val="24"/>
            <w:szCs w:val="24"/>
          </w:rPr>
          <w:t xml:space="preserve">ПОДПОМАГАНЕ ИЗПЪЛНЕНИЕТО НА ЦЕЛИТЕ НА КЗЛД ЧРЕЗ РЕАЛИЗАЦИЯ НА ПРОЕКТИ С НАЦИОНАЛНО И </w:t>
        </w:r>
        <w:r w:rsidR="00B64ECB">
          <w:rPr>
            <w:rStyle w:val="Hyperlink"/>
            <w:rFonts w:ascii="Times New Roman" w:hAnsi="Times New Roman" w:cs="Times New Roman"/>
            <w:b/>
            <w:noProof/>
            <w:sz w:val="24"/>
            <w:szCs w:val="24"/>
          </w:rPr>
          <w:br/>
        </w:r>
        <w:r w:rsidR="000B5F8F" w:rsidRPr="000B5F8F">
          <w:rPr>
            <w:rStyle w:val="Hyperlink"/>
            <w:rFonts w:ascii="Times New Roman" w:hAnsi="Times New Roman" w:cs="Times New Roman"/>
            <w:b/>
            <w:noProof/>
            <w:sz w:val="24"/>
            <w:szCs w:val="24"/>
          </w:rPr>
          <w:t>МЕЖДУНАРОДНО ФИНАНСИРАНЕ</w:t>
        </w:r>
        <w:r w:rsidR="000B5F8F" w:rsidRPr="000B5F8F">
          <w:rPr>
            <w:rFonts w:ascii="Times New Roman" w:hAnsi="Times New Roman" w:cs="Times New Roman"/>
            <w:b/>
            <w:noProof/>
            <w:webHidden/>
            <w:sz w:val="24"/>
            <w:szCs w:val="24"/>
          </w:rPr>
          <w:tab/>
        </w:r>
        <w:r w:rsidR="000B5F8F" w:rsidRPr="000B5F8F">
          <w:rPr>
            <w:rFonts w:ascii="Times New Roman" w:hAnsi="Times New Roman" w:cs="Times New Roman"/>
            <w:b/>
            <w:noProof/>
            <w:webHidden/>
            <w:sz w:val="24"/>
            <w:szCs w:val="24"/>
          </w:rPr>
          <w:fldChar w:fldCharType="begin"/>
        </w:r>
        <w:r w:rsidR="000B5F8F" w:rsidRPr="000B5F8F">
          <w:rPr>
            <w:rFonts w:ascii="Times New Roman" w:hAnsi="Times New Roman" w:cs="Times New Roman"/>
            <w:b/>
            <w:noProof/>
            <w:webHidden/>
            <w:sz w:val="24"/>
            <w:szCs w:val="24"/>
          </w:rPr>
          <w:instrText xml:space="preserve"> PAGEREF _Toc130915384 \h </w:instrText>
        </w:r>
        <w:r w:rsidR="000B5F8F" w:rsidRPr="000B5F8F">
          <w:rPr>
            <w:rFonts w:ascii="Times New Roman" w:hAnsi="Times New Roman" w:cs="Times New Roman"/>
            <w:b/>
            <w:noProof/>
            <w:webHidden/>
            <w:sz w:val="24"/>
            <w:szCs w:val="24"/>
          </w:rPr>
        </w:r>
        <w:r w:rsidR="000B5F8F" w:rsidRPr="000B5F8F">
          <w:rPr>
            <w:rFonts w:ascii="Times New Roman" w:hAnsi="Times New Roman" w:cs="Times New Roman"/>
            <w:b/>
            <w:noProof/>
            <w:webHidden/>
            <w:sz w:val="24"/>
            <w:szCs w:val="24"/>
          </w:rPr>
          <w:fldChar w:fldCharType="separate"/>
        </w:r>
        <w:r w:rsidR="005476A2">
          <w:rPr>
            <w:rFonts w:ascii="Times New Roman" w:hAnsi="Times New Roman" w:cs="Times New Roman"/>
            <w:b/>
            <w:noProof/>
            <w:webHidden/>
            <w:sz w:val="24"/>
            <w:szCs w:val="24"/>
          </w:rPr>
          <w:t>113</w:t>
        </w:r>
        <w:r w:rsidR="000B5F8F" w:rsidRPr="000B5F8F">
          <w:rPr>
            <w:rFonts w:ascii="Times New Roman" w:hAnsi="Times New Roman" w:cs="Times New Roman"/>
            <w:b/>
            <w:noProof/>
            <w:webHidden/>
            <w:sz w:val="24"/>
            <w:szCs w:val="24"/>
          </w:rPr>
          <w:fldChar w:fldCharType="end"/>
        </w:r>
      </w:hyperlink>
    </w:p>
    <w:p w:rsidR="000B5F8F" w:rsidRPr="000B5F8F" w:rsidRDefault="00F46DC1">
      <w:pPr>
        <w:pStyle w:val="TOC1"/>
        <w:rPr>
          <w:rFonts w:ascii="Times New Roman" w:eastAsiaTheme="minorEastAsia" w:hAnsi="Times New Roman" w:cs="Times New Roman"/>
          <w:b/>
          <w:noProof/>
          <w:sz w:val="24"/>
          <w:szCs w:val="24"/>
        </w:rPr>
      </w:pPr>
      <w:hyperlink w:anchor="_Toc130915385" w:history="1">
        <w:r w:rsidR="000B5F8F" w:rsidRPr="000B5F8F">
          <w:rPr>
            <w:rStyle w:val="Hyperlink"/>
            <w:rFonts w:ascii="Times New Roman" w:eastAsia="Calibri" w:hAnsi="Times New Roman" w:cs="Times New Roman"/>
            <w:b/>
            <w:noProof/>
            <w:sz w:val="24"/>
            <w:szCs w:val="24"/>
          </w:rPr>
          <w:t xml:space="preserve">IX. </w:t>
        </w:r>
        <w:r w:rsidR="000B5F8F">
          <w:rPr>
            <w:rStyle w:val="Hyperlink"/>
            <w:rFonts w:ascii="Times New Roman" w:eastAsia="Calibri" w:hAnsi="Times New Roman" w:cs="Times New Roman"/>
            <w:b/>
            <w:noProof/>
            <w:sz w:val="24"/>
            <w:szCs w:val="24"/>
          </w:rPr>
          <w:tab/>
        </w:r>
        <w:r w:rsidR="000B5F8F" w:rsidRPr="000B5F8F">
          <w:rPr>
            <w:rStyle w:val="Hyperlink"/>
            <w:rFonts w:ascii="Times New Roman" w:eastAsia="Calibri" w:hAnsi="Times New Roman" w:cs="Times New Roman"/>
            <w:b/>
            <w:noProof/>
            <w:sz w:val="24"/>
            <w:szCs w:val="24"/>
          </w:rPr>
          <w:t xml:space="preserve">КОМИСИЯ ЗА ЗАЩИТА НА ЛИЧНИТЕ ДАННИ – </w:t>
        </w:r>
        <w:r w:rsidR="00B64ECB">
          <w:rPr>
            <w:rStyle w:val="Hyperlink"/>
            <w:rFonts w:ascii="Times New Roman" w:eastAsia="Calibri" w:hAnsi="Times New Roman" w:cs="Times New Roman"/>
            <w:b/>
            <w:noProof/>
            <w:sz w:val="24"/>
            <w:szCs w:val="24"/>
          </w:rPr>
          <w:br/>
        </w:r>
        <w:r w:rsidR="000B5F8F" w:rsidRPr="000B5F8F">
          <w:rPr>
            <w:rStyle w:val="Hyperlink"/>
            <w:rFonts w:ascii="Times New Roman" w:eastAsia="Calibri" w:hAnsi="Times New Roman" w:cs="Times New Roman"/>
            <w:b/>
            <w:noProof/>
            <w:sz w:val="24"/>
            <w:szCs w:val="24"/>
          </w:rPr>
          <w:t>НАБЛЮДАВАЩ ОРГАН ОТНОСНО СИГУРНОСТТА НА ДАННИТЕ СЪГЛАСНО ЗАКОНА ЗА ЕЛЕКТРОННИТЕ СЪОБЩЕНИЯ</w:t>
        </w:r>
        <w:r w:rsidR="000B5F8F" w:rsidRPr="000B5F8F">
          <w:rPr>
            <w:rFonts w:ascii="Times New Roman" w:hAnsi="Times New Roman" w:cs="Times New Roman"/>
            <w:b/>
            <w:noProof/>
            <w:webHidden/>
            <w:sz w:val="24"/>
            <w:szCs w:val="24"/>
          </w:rPr>
          <w:tab/>
        </w:r>
        <w:r w:rsidR="000B5F8F" w:rsidRPr="000B5F8F">
          <w:rPr>
            <w:rFonts w:ascii="Times New Roman" w:hAnsi="Times New Roman" w:cs="Times New Roman"/>
            <w:b/>
            <w:noProof/>
            <w:webHidden/>
            <w:sz w:val="24"/>
            <w:szCs w:val="24"/>
          </w:rPr>
          <w:fldChar w:fldCharType="begin"/>
        </w:r>
        <w:r w:rsidR="000B5F8F" w:rsidRPr="000B5F8F">
          <w:rPr>
            <w:rFonts w:ascii="Times New Roman" w:hAnsi="Times New Roman" w:cs="Times New Roman"/>
            <w:b/>
            <w:noProof/>
            <w:webHidden/>
            <w:sz w:val="24"/>
            <w:szCs w:val="24"/>
          </w:rPr>
          <w:instrText xml:space="preserve"> PAGEREF _Toc130915385 \h </w:instrText>
        </w:r>
        <w:r w:rsidR="000B5F8F" w:rsidRPr="000B5F8F">
          <w:rPr>
            <w:rFonts w:ascii="Times New Roman" w:hAnsi="Times New Roman" w:cs="Times New Roman"/>
            <w:b/>
            <w:noProof/>
            <w:webHidden/>
            <w:sz w:val="24"/>
            <w:szCs w:val="24"/>
          </w:rPr>
        </w:r>
        <w:r w:rsidR="000B5F8F" w:rsidRPr="000B5F8F">
          <w:rPr>
            <w:rFonts w:ascii="Times New Roman" w:hAnsi="Times New Roman" w:cs="Times New Roman"/>
            <w:b/>
            <w:noProof/>
            <w:webHidden/>
            <w:sz w:val="24"/>
            <w:szCs w:val="24"/>
          </w:rPr>
          <w:fldChar w:fldCharType="separate"/>
        </w:r>
        <w:r w:rsidR="005476A2">
          <w:rPr>
            <w:rFonts w:ascii="Times New Roman" w:hAnsi="Times New Roman" w:cs="Times New Roman"/>
            <w:b/>
            <w:noProof/>
            <w:webHidden/>
            <w:sz w:val="24"/>
            <w:szCs w:val="24"/>
          </w:rPr>
          <w:t>116</w:t>
        </w:r>
        <w:r w:rsidR="000B5F8F" w:rsidRPr="000B5F8F">
          <w:rPr>
            <w:rFonts w:ascii="Times New Roman" w:hAnsi="Times New Roman" w:cs="Times New Roman"/>
            <w:b/>
            <w:noProof/>
            <w:webHidden/>
            <w:sz w:val="24"/>
            <w:szCs w:val="24"/>
          </w:rPr>
          <w:fldChar w:fldCharType="end"/>
        </w:r>
      </w:hyperlink>
    </w:p>
    <w:p w:rsidR="000B5F8F" w:rsidRPr="000B5F8F" w:rsidRDefault="00F46DC1">
      <w:pPr>
        <w:pStyle w:val="TOC1"/>
        <w:rPr>
          <w:rFonts w:ascii="Times New Roman" w:eastAsiaTheme="minorEastAsia" w:hAnsi="Times New Roman" w:cs="Times New Roman"/>
          <w:b/>
          <w:noProof/>
          <w:sz w:val="24"/>
          <w:szCs w:val="24"/>
        </w:rPr>
      </w:pPr>
      <w:hyperlink w:anchor="_Toc130915386" w:history="1">
        <w:r w:rsidR="000B5F8F" w:rsidRPr="000B5F8F">
          <w:rPr>
            <w:rStyle w:val="Hyperlink"/>
            <w:rFonts w:ascii="Times New Roman" w:eastAsia="Calibri" w:hAnsi="Times New Roman" w:cs="Times New Roman"/>
            <w:b/>
            <w:noProof/>
            <w:sz w:val="24"/>
            <w:szCs w:val="24"/>
          </w:rPr>
          <w:t xml:space="preserve">X. </w:t>
        </w:r>
        <w:r w:rsidR="000B5F8F">
          <w:rPr>
            <w:rStyle w:val="Hyperlink"/>
            <w:rFonts w:ascii="Times New Roman" w:eastAsia="Calibri" w:hAnsi="Times New Roman" w:cs="Times New Roman"/>
            <w:b/>
            <w:noProof/>
            <w:sz w:val="24"/>
            <w:szCs w:val="24"/>
          </w:rPr>
          <w:tab/>
        </w:r>
        <w:r w:rsidR="000B5F8F" w:rsidRPr="000B5F8F">
          <w:rPr>
            <w:rStyle w:val="Hyperlink"/>
            <w:rFonts w:ascii="Times New Roman" w:eastAsia="Calibri" w:hAnsi="Times New Roman" w:cs="Times New Roman"/>
            <w:b/>
            <w:noProof/>
            <w:sz w:val="24"/>
            <w:szCs w:val="24"/>
          </w:rPr>
          <w:t xml:space="preserve">РЕАЛИЗИРАНЕ НА ПОЛИТИКИТЕ ЗА ПУБЛИЧНОСТ И </w:t>
        </w:r>
        <w:r w:rsidR="005525FC">
          <w:rPr>
            <w:rStyle w:val="Hyperlink"/>
            <w:rFonts w:ascii="Times New Roman" w:eastAsia="Calibri" w:hAnsi="Times New Roman" w:cs="Times New Roman"/>
            <w:b/>
            <w:noProof/>
            <w:sz w:val="24"/>
            <w:szCs w:val="24"/>
          </w:rPr>
          <w:br/>
        </w:r>
        <w:r w:rsidR="000B5F8F" w:rsidRPr="000B5F8F">
          <w:rPr>
            <w:rStyle w:val="Hyperlink"/>
            <w:rFonts w:ascii="Times New Roman" w:eastAsia="Calibri" w:hAnsi="Times New Roman" w:cs="Times New Roman"/>
            <w:b/>
            <w:noProof/>
            <w:sz w:val="24"/>
            <w:szCs w:val="24"/>
          </w:rPr>
          <w:t xml:space="preserve">ПОВИШАВАНЕ НА ОБЩЕСТВЕНАТА ИНФОРМИРАНОСТ И РАЗБИРАНЕ НА РИСКОВЕТЕ, ПРАВИЛАТА, ГАРАНЦИИТЕ И ПРАВАТА, СВЪРЗАНИ С ОБРАБОТВАНЕТО НА ЛИЧНИ ДАННИ. </w:t>
        </w:r>
        <w:r w:rsidR="005525FC">
          <w:rPr>
            <w:rStyle w:val="Hyperlink"/>
            <w:rFonts w:ascii="Times New Roman" w:eastAsia="Calibri" w:hAnsi="Times New Roman" w:cs="Times New Roman"/>
            <w:b/>
            <w:noProof/>
            <w:sz w:val="24"/>
            <w:szCs w:val="24"/>
          </w:rPr>
          <w:br/>
        </w:r>
        <w:r w:rsidR="000B5F8F" w:rsidRPr="000B5F8F">
          <w:rPr>
            <w:rStyle w:val="Hyperlink"/>
            <w:rFonts w:ascii="Times New Roman" w:eastAsia="Calibri" w:hAnsi="Times New Roman" w:cs="Times New Roman"/>
            <w:b/>
            <w:noProof/>
            <w:sz w:val="24"/>
            <w:szCs w:val="24"/>
          </w:rPr>
          <w:t>ИНСТИТУЦИОНАЛНО ВЗАИМОДЕЙСТВИЕ</w:t>
        </w:r>
        <w:r w:rsidR="000B5F8F" w:rsidRPr="000B5F8F">
          <w:rPr>
            <w:rFonts w:ascii="Times New Roman" w:hAnsi="Times New Roman" w:cs="Times New Roman"/>
            <w:b/>
            <w:noProof/>
            <w:webHidden/>
            <w:sz w:val="24"/>
            <w:szCs w:val="24"/>
          </w:rPr>
          <w:tab/>
        </w:r>
        <w:r w:rsidR="000B5F8F" w:rsidRPr="000B5F8F">
          <w:rPr>
            <w:rFonts w:ascii="Times New Roman" w:hAnsi="Times New Roman" w:cs="Times New Roman"/>
            <w:b/>
            <w:noProof/>
            <w:webHidden/>
            <w:sz w:val="24"/>
            <w:szCs w:val="24"/>
          </w:rPr>
          <w:fldChar w:fldCharType="begin"/>
        </w:r>
        <w:r w:rsidR="000B5F8F" w:rsidRPr="000B5F8F">
          <w:rPr>
            <w:rFonts w:ascii="Times New Roman" w:hAnsi="Times New Roman" w:cs="Times New Roman"/>
            <w:b/>
            <w:noProof/>
            <w:webHidden/>
            <w:sz w:val="24"/>
            <w:szCs w:val="24"/>
          </w:rPr>
          <w:instrText xml:space="preserve"> PAGEREF _Toc130915386 \h </w:instrText>
        </w:r>
        <w:r w:rsidR="000B5F8F" w:rsidRPr="000B5F8F">
          <w:rPr>
            <w:rFonts w:ascii="Times New Roman" w:hAnsi="Times New Roman" w:cs="Times New Roman"/>
            <w:b/>
            <w:noProof/>
            <w:webHidden/>
            <w:sz w:val="24"/>
            <w:szCs w:val="24"/>
          </w:rPr>
        </w:r>
        <w:r w:rsidR="000B5F8F" w:rsidRPr="000B5F8F">
          <w:rPr>
            <w:rFonts w:ascii="Times New Roman" w:hAnsi="Times New Roman" w:cs="Times New Roman"/>
            <w:b/>
            <w:noProof/>
            <w:webHidden/>
            <w:sz w:val="24"/>
            <w:szCs w:val="24"/>
          </w:rPr>
          <w:fldChar w:fldCharType="separate"/>
        </w:r>
        <w:r w:rsidR="005476A2">
          <w:rPr>
            <w:rFonts w:ascii="Times New Roman" w:hAnsi="Times New Roman" w:cs="Times New Roman"/>
            <w:b/>
            <w:noProof/>
            <w:webHidden/>
            <w:sz w:val="24"/>
            <w:szCs w:val="24"/>
          </w:rPr>
          <w:t>119</w:t>
        </w:r>
        <w:r w:rsidR="000B5F8F" w:rsidRPr="000B5F8F">
          <w:rPr>
            <w:rFonts w:ascii="Times New Roman" w:hAnsi="Times New Roman" w:cs="Times New Roman"/>
            <w:b/>
            <w:noProof/>
            <w:webHidden/>
            <w:sz w:val="24"/>
            <w:szCs w:val="24"/>
          </w:rPr>
          <w:fldChar w:fldCharType="end"/>
        </w:r>
      </w:hyperlink>
    </w:p>
    <w:p w:rsidR="000B5F8F" w:rsidRPr="000B5F8F" w:rsidRDefault="00F46DC1">
      <w:pPr>
        <w:pStyle w:val="TOC1"/>
        <w:rPr>
          <w:rFonts w:ascii="Times New Roman" w:eastAsiaTheme="minorEastAsia" w:hAnsi="Times New Roman" w:cs="Times New Roman"/>
          <w:b/>
          <w:noProof/>
          <w:sz w:val="24"/>
          <w:szCs w:val="24"/>
        </w:rPr>
      </w:pPr>
      <w:hyperlink w:anchor="_Toc130915387" w:history="1">
        <w:r w:rsidR="000B5F8F" w:rsidRPr="000B5F8F">
          <w:rPr>
            <w:rStyle w:val="Hyperlink"/>
            <w:rFonts w:ascii="Times New Roman" w:hAnsi="Times New Roman" w:cs="Times New Roman"/>
            <w:b/>
            <w:noProof/>
            <w:sz w:val="24"/>
            <w:szCs w:val="24"/>
          </w:rPr>
          <w:t xml:space="preserve">XI. </w:t>
        </w:r>
        <w:r w:rsidR="000B5F8F">
          <w:rPr>
            <w:rStyle w:val="Hyperlink"/>
            <w:rFonts w:ascii="Times New Roman" w:hAnsi="Times New Roman" w:cs="Times New Roman"/>
            <w:b/>
            <w:noProof/>
            <w:sz w:val="24"/>
            <w:szCs w:val="24"/>
          </w:rPr>
          <w:tab/>
        </w:r>
        <w:r w:rsidR="000B5F8F" w:rsidRPr="000B5F8F">
          <w:rPr>
            <w:rStyle w:val="Hyperlink"/>
            <w:rFonts w:ascii="Times New Roman" w:hAnsi="Times New Roman" w:cs="Times New Roman"/>
            <w:b/>
            <w:noProof/>
            <w:sz w:val="24"/>
            <w:szCs w:val="24"/>
          </w:rPr>
          <w:t>АДМИНИСТРАТИВЕН КАПАЦИТЕТ И ФИНАНСОВИ РЕСУРСИ</w:t>
        </w:r>
        <w:r w:rsidR="000B5F8F" w:rsidRPr="000B5F8F">
          <w:rPr>
            <w:rFonts w:ascii="Times New Roman" w:hAnsi="Times New Roman" w:cs="Times New Roman"/>
            <w:b/>
            <w:noProof/>
            <w:webHidden/>
            <w:sz w:val="24"/>
            <w:szCs w:val="24"/>
          </w:rPr>
          <w:tab/>
        </w:r>
        <w:r w:rsidR="000B5F8F" w:rsidRPr="000B5F8F">
          <w:rPr>
            <w:rFonts w:ascii="Times New Roman" w:hAnsi="Times New Roman" w:cs="Times New Roman"/>
            <w:b/>
            <w:noProof/>
            <w:webHidden/>
            <w:sz w:val="24"/>
            <w:szCs w:val="24"/>
          </w:rPr>
          <w:fldChar w:fldCharType="begin"/>
        </w:r>
        <w:r w:rsidR="000B5F8F" w:rsidRPr="000B5F8F">
          <w:rPr>
            <w:rFonts w:ascii="Times New Roman" w:hAnsi="Times New Roman" w:cs="Times New Roman"/>
            <w:b/>
            <w:noProof/>
            <w:webHidden/>
            <w:sz w:val="24"/>
            <w:szCs w:val="24"/>
          </w:rPr>
          <w:instrText xml:space="preserve"> PAGEREF _Toc130915387 \h </w:instrText>
        </w:r>
        <w:r w:rsidR="000B5F8F" w:rsidRPr="000B5F8F">
          <w:rPr>
            <w:rFonts w:ascii="Times New Roman" w:hAnsi="Times New Roman" w:cs="Times New Roman"/>
            <w:b/>
            <w:noProof/>
            <w:webHidden/>
            <w:sz w:val="24"/>
            <w:szCs w:val="24"/>
          </w:rPr>
        </w:r>
        <w:r w:rsidR="000B5F8F" w:rsidRPr="000B5F8F">
          <w:rPr>
            <w:rFonts w:ascii="Times New Roman" w:hAnsi="Times New Roman" w:cs="Times New Roman"/>
            <w:b/>
            <w:noProof/>
            <w:webHidden/>
            <w:sz w:val="24"/>
            <w:szCs w:val="24"/>
          </w:rPr>
          <w:fldChar w:fldCharType="separate"/>
        </w:r>
        <w:r w:rsidR="005476A2">
          <w:rPr>
            <w:rFonts w:ascii="Times New Roman" w:hAnsi="Times New Roman" w:cs="Times New Roman"/>
            <w:b/>
            <w:noProof/>
            <w:webHidden/>
            <w:sz w:val="24"/>
            <w:szCs w:val="24"/>
          </w:rPr>
          <w:t>134</w:t>
        </w:r>
        <w:r w:rsidR="000B5F8F" w:rsidRPr="000B5F8F">
          <w:rPr>
            <w:rFonts w:ascii="Times New Roman" w:hAnsi="Times New Roman" w:cs="Times New Roman"/>
            <w:b/>
            <w:noProof/>
            <w:webHidden/>
            <w:sz w:val="24"/>
            <w:szCs w:val="24"/>
          </w:rPr>
          <w:fldChar w:fldCharType="end"/>
        </w:r>
      </w:hyperlink>
    </w:p>
    <w:p w:rsidR="000B5F8F" w:rsidRPr="000B5F8F" w:rsidRDefault="00F46DC1">
      <w:pPr>
        <w:pStyle w:val="TOC1"/>
        <w:rPr>
          <w:rFonts w:ascii="Times New Roman" w:eastAsiaTheme="minorEastAsia" w:hAnsi="Times New Roman" w:cs="Times New Roman"/>
          <w:b/>
          <w:noProof/>
          <w:sz w:val="24"/>
          <w:szCs w:val="24"/>
        </w:rPr>
      </w:pPr>
      <w:hyperlink w:anchor="_Toc130915388" w:history="1">
        <w:r w:rsidR="000B5F8F" w:rsidRPr="000B5F8F">
          <w:rPr>
            <w:rStyle w:val="Hyperlink"/>
            <w:rFonts w:ascii="Times New Roman" w:hAnsi="Times New Roman" w:cs="Times New Roman"/>
            <w:b/>
            <w:noProof/>
            <w:sz w:val="24"/>
            <w:szCs w:val="24"/>
          </w:rPr>
          <w:t xml:space="preserve">XII. </w:t>
        </w:r>
        <w:r w:rsidR="000B5F8F">
          <w:rPr>
            <w:rStyle w:val="Hyperlink"/>
            <w:rFonts w:ascii="Times New Roman" w:hAnsi="Times New Roman" w:cs="Times New Roman"/>
            <w:b/>
            <w:noProof/>
            <w:sz w:val="24"/>
            <w:szCs w:val="24"/>
          </w:rPr>
          <w:tab/>
        </w:r>
        <w:r w:rsidR="000B5F8F" w:rsidRPr="000B5F8F">
          <w:rPr>
            <w:rStyle w:val="Hyperlink"/>
            <w:rFonts w:ascii="Times New Roman" w:hAnsi="Times New Roman" w:cs="Times New Roman"/>
            <w:b/>
            <w:noProof/>
            <w:sz w:val="24"/>
            <w:szCs w:val="24"/>
          </w:rPr>
          <w:t>ЦЕЛИ И ПРИОРИТЕТИ НА КЗЛД ЗА 2023 г.</w:t>
        </w:r>
        <w:r w:rsidR="000B5F8F" w:rsidRPr="000B5F8F">
          <w:rPr>
            <w:rFonts w:ascii="Times New Roman" w:hAnsi="Times New Roman" w:cs="Times New Roman"/>
            <w:b/>
            <w:noProof/>
            <w:webHidden/>
            <w:sz w:val="24"/>
            <w:szCs w:val="24"/>
          </w:rPr>
          <w:tab/>
        </w:r>
        <w:r w:rsidR="000B5F8F" w:rsidRPr="000B5F8F">
          <w:rPr>
            <w:rFonts w:ascii="Times New Roman" w:hAnsi="Times New Roman" w:cs="Times New Roman"/>
            <w:b/>
            <w:noProof/>
            <w:webHidden/>
            <w:sz w:val="24"/>
            <w:szCs w:val="24"/>
          </w:rPr>
          <w:fldChar w:fldCharType="begin"/>
        </w:r>
        <w:r w:rsidR="000B5F8F" w:rsidRPr="000B5F8F">
          <w:rPr>
            <w:rFonts w:ascii="Times New Roman" w:hAnsi="Times New Roman" w:cs="Times New Roman"/>
            <w:b/>
            <w:noProof/>
            <w:webHidden/>
            <w:sz w:val="24"/>
            <w:szCs w:val="24"/>
          </w:rPr>
          <w:instrText xml:space="preserve"> PAGEREF _Toc130915388 \h </w:instrText>
        </w:r>
        <w:r w:rsidR="000B5F8F" w:rsidRPr="000B5F8F">
          <w:rPr>
            <w:rFonts w:ascii="Times New Roman" w:hAnsi="Times New Roman" w:cs="Times New Roman"/>
            <w:b/>
            <w:noProof/>
            <w:webHidden/>
            <w:sz w:val="24"/>
            <w:szCs w:val="24"/>
          </w:rPr>
        </w:r>
        <w:r w:rsidR="000B5F8F" w:rsidRPr="000B5F8F">
          <w:rPr>
            <w:rFonts w:ascii="Times New Roman" w:hAnsi="Times New Roman" w:cs="Times New Roman"/>
            <w:b/>
            <w:noProof/>
            <w:webHidden/>
            <w:sz w:val="24"/>
            <w:szCs w:val="24"/>
          </w:rPr>
          <w:fldChar w:fldCharType="separate"/>
        </w:r>
        <w:r w:rsidR="005476A2">
          <w:rPr>
            <w:rFonts w:ascii="Times New Roman" w:hAnsi="Times New Roman" w:cs="Times New Roman"/>
            <w:b/>
            <w:noProof/>
            <w:webHidden/>
            <w:sz w:val="24"/>
            <w:szCs w:val="24"/>
          </w:rPr>
          <w:t>145</w:t>
        </w:r>
        <w:r w:rsidR="000B5F8F" w:rsidRPr="000B5F8F">
          <w:rPr>
            <w:rFonts w:ascii="Times New Roman" w:hAnsi="Times New Roman" w:cs="Times New Roman"/>
            <w:b/>
            <w:noProof/>
            <w:webHidden/>
            <w:sz w:val="24"/>
            <w:szCs w:val="24"/>
          </w:rPr>
          <w:fldChar w:fldCharType="end"/>
        </w:r>
      </w:hyperlink>
    </w:p>
    <w:p w:rsidR="00E42714" w:rsidRPr="007404FA" w:rsidRDefault="00E42714" w:rsidP="00DB6B05">
      <w:pPr>
        <w:spacing w:line="360" w:lineRule="auto"/>
        <w:ind w:left="709" w:hanging="709"/>
        <w:jc w:val="both"/>
        <w:rPr>
          <w:rFonts w:ascii="Times New Roman" w:hAnsi="Times New Roman" w:cs="Times New Roman"/>
          <w:sz w:val="24"/>
          <w:szCs w:val="24"/>
        </w:rPr>
      </w:pPr>
      <w:r w:rsidRPr="000B5F8F">
        <w:rPr>
          <w:rFonts w:ascii="Times New Roman" w:hAnsi="Times New Roman" w:cs="Times New Roman"/>
          <w:b/>
          <w:bCs/>
          <w:sz w:val="24"/>
          <w:szCs w:val="24"/>
        </w:rPr>
        <w:fldChar w:fldCharType="end"/>
      </w:r>
    </w:p>
    <w:p w:rsidR="00E42714" w:rsidRPr="007404FA" w:rsidRDefault="00E42714" w:rsidP="00DB6B05">
      <w:pPr>
        <w:spacing w:line="360" w:lineRule="auto"/>
        <w:ind w:firstLine="709"/>
        <w:jc w:val="both"/>
        <w:rPr>
          <w:rFonts w:ascii="Times New Roman" w:hAnsi="Times New Roman" w:cs="Times New Roman"/>
          <w:sz w:val="24"/>
          <w:szCs w:val="24"/>
        </w:rPr>
      </w:pPr>
    </w:p>
    <w:p w:rsidR="00E42714" w:rsidRPr="007404FA" w:rsidRDefault="00E42714" w:rsidP="00DB6B05">
      <w:pPr>
        <w:spacing w:line="360" w:lineRule="auto"/>
        <w:ind w:firstLine="709"/>
        <w:jc w:val="both"/>
        <w:rPr>
          <w:rFonts w:ascii="Times New Roman" w:hAnsi="Times New Roman" w:cs="Times New Roman"/>
          <w:b/>
          <w:sz w:val="24"/>
          <w:szCs w:val="24"/>
        </w:rPr>
      </w:pPr>
      <w:r w:rsidRPr="007404FA">
        <w:rPr>
          <w:rFonts w:ascii="Times New Roman" w:hAnsi="Times New Roman" w:cs="Times New Roman"/>
          <w:b/>
          <w:sz w:val="24"/>
          <w:szCs w:val="24"/>
        </w:rPr>
        <w:br w:type="page"/>
      </w:r>
    </w:p>
    <w:p w:rsidR="00E42714" w:rsidRPr="007404FA" w:rsidRDefault="00E42714" w:rsidP="00DB6B05">
      <w:pPr>
        <w:spacing w:line="360" w:lineRule="auto"/>
        <w:ind w:firstLine="709"/>
        <w:jc w:val="both"/>
        <w:rPr>
          <w:rFonts w:ascii="Times New Roman" w:hAnsi="Times New Roman" w:cs="Times New Roman"/>
          <w:b/>
          <w:sz w:val="24"/>
          <w:szCs w:val="24"/>
        </w:rPr>
      </w:pPr>
      <w:r w:rsidRPr="007404FA">
        <w:rPr>
          <w:rFonts w:ascii="Times New Roman" w:hAnsi="Times New Roman" w:cs="Times New Roman"/>
          <w:b/>
          <w:sz w:val="24"/>
          <w:szCs w:val="24"/>
        </w:rPr>
        <w:lastRenderedPageBreak/>
        <w:t>СПИСЪК НА ИЗПОЛЗВАНИТЕ СЪКРАЩЕНИЯ</w:t>
      </w:r>
    </w:p>
    <w:p w:rsidR="00E42714" w:rsidRPr="007404FA" w:rsidRDefault="00E42714" w:rsidP="00DB6B05">
      <w:pPr>
        <w:spacing w:line="360" w:lineRule="auto"/>
        <w:ind w:firstLine="709"/>
        <w:jc w:val="both"/>
        <w:rPr>
          <w:rFonts w:ascii="Times New Roman" w:hAnsi="Times New Roman" w:cs="Times New Roman"/>
          <w:b/>
          <w:sz w:val="24"/>
          <w:szCs w:val="24"/>
        </w:rPr>
      </w:pPr>
    </w:p>
    <w:tbl>
      <w:tblPr>
        <w:tblStyle w:val="TableGrid"/>
        <w:tblW w:w="9947" w:type="dxa"/>
        <w:tblLook w:val="04A0" w:firstRow="1" w:lastRow="0" w:firstColumn="1" w:lastColumn="0" w:noHBand="0" w:noVBand="1"/>
      </w:tblPr>
      <w:tblGrid>
        <w:gridCol w:w="2972"/>
        <w:gridCol w:w="6975"/>
      </w:tblGrid>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АЛД</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Администратор на лични данни</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 xml:space="preserve">АПК </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 xml:space="preserve">Административнопроцесуален кодекс </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АСП</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Batang" w:hAnsi="Times New Roman" w:cs="Times New Roman"/>
                <w:sz w:val="24"/>
                <w:szCs w:val="24"/>
              </w:rPr>
              <w:t>Агенция за социално подпомагане</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АУАН</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Акт за установяване на административно нарушение</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ВАС</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 xml:space="preserve">Върховен административен съд </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ВИС</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Визова информационна система</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ВНО</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Водещ надзорен орган</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ГПК</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 xml:space="preserve">Граждански процесуален кодекс </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 xml:space="preserve">ЕГН </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 xml:space="preserve">Единен граждански номер </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ЕИК</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Единен идентификационен код</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ДВ</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Държавен вестник</w:t>
            </w:r>
          </w:p>
        </w:tc>
      </w:tr>
      <w:tr w:rsidR="005A4E02" w:rsidRPr="007404FA" w:rsidTr="0017682E">
        <w:tc>
          <w:tcPr>
            <w:tcW w:w="2972" w:type="dxa"/>
            <w:vAlign w:val="center"/>
          </w:tcPr>
          <w:p w:rsidR="005A4E02" w:rsidRPr="007404FA" w:rsidRDefault="005A4E02"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Директива (ЕС) 2016/680</w:t>
            </w:r>
          </w:p>
        </w:tc>
        <w:tc>
          <w:tcPr>
            <w:tcW w:w="6975" w:type="dxa"/>
            <w:vAlign w:val="center"/>
          </w:tcPr>
          <w:p w:rsidR="005A4E02" w:rsidRPr="007404FA" w:rsidRDefault="005A4E02" w:rsidP="00DB6B05">
            <w:pPr>
              <w:spacing w:line="276" w:lineRule="auto"/>
              <w:ind w:left="60" w:firstLine="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Директива (ЕС) 2016/680 на Европейския парламент и на Съвета от 27 април 2016 година относно защитата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и относно свободното движение на такива данни, и за отмяна на Рамково решение 2008/977/ПВР на Съвета</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ДЛЗД</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Длъжностно лице по защита на данните</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ЕКЗД</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Европейски комитет по защита на данните</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ЕНОЗД</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Calibri" w:hAnsi="Times New Roman" w:cs="Times New Roman"/>
                <w:sz w:val="24"/>
                <w:szCs w:val="24"/>
              </w:rPr>
              <w:t>Европейски надзорен орган по защита на данните</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ЕС</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Европейски съюз</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ЗАНН</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Batang" w:hAnsi="Times New Roman" w:cs="Times New Roman"/>
                <w:sz w:val="24"/>
                <w:szCs w:val="24"/>
              </w:rPr>
              <w:t>Закон за административните нарушения и наказания</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ЗГР</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Закон за гражданската регистрация</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ЗДОИ</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Закон за достъп до обществена информация</w:t>
            </w:r>
          </w:p>
        </w:tc>
      </w:tr>
      <w:tr w:rsidR="00BF75D1" w:rsidRPr="007404FA" w:rsidTr="0017682E">
        <w:tc>
          <w:tcPr>
            <w:tcW w:w="2972" w:type="dxa"/>
            <w:vAlign w:val="center"/>
          </w:tcPr>
          <w:p w:rsidR="00BF75D1" w:rsidRPr="007404FA" w:rsidRDefault="00BF75D1"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ЗЕС</w:t>
            </w:r>
          </w:p>
        </w:tc>
        <w:tc>
          <w:tcPr>
            <w:tcW w:w="6975" w:type="dxa"/>
            <w:vAlign w:val="center"/>
          </w:tcPr>
          <w:p w:rsidR="00BF75D1" w:rsidRPr="007404FA" w:rsidRDefault="00BF75D1"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Закон за електронните съобщения</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ЗЗдр</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Закон за здравето</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ЗЗЛД</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Закон за защита на личните данни</w:t>
            </w:r>
          </w:p>
        </w:tc>
      </w:tr>
      <w:tr w:rsidR="000347E9" w:rsidRPr="007404FA" w:rsidTr="0017682E">
        <w:tc>
          <w:tcPr>
            <w:tcW w:w="2972" w:type="dxa"/>
            <w:vAlign w:val="center"/>
          </w:tcPr>
          <w:p w:rsidR="000347E9" w:rsidRPr="007404FA" w:rsidRDefault="000347E9"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ЗЗЛПСПОИН</w:t>
            </w:r>
          </w:p>
        </w:tc>
        <w:tc>
          <w:tcPr>
            <w:tcW w:w="6975" w:type="dxa"/>
            <w:vAlign w:val="center"/>
          </w:tcPr>
          <w:p w:rsidR="000347E9" w:rsidRPr="007404FA" w:rsidRDefault="000347E9" w:rsidP="00DB6B05">
            <w:pPr>
              <w:spacing w:line="276" w:lineRule="auto"/>
              <w:ind w:left="39" w:firstLine="2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Закон за защита на лицата, подаващи сигнали или публично оповестяващи информация за нарушения</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ЗМИП</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Закон за мерките срещу изпирането на пари</w:t>
            </w:r>
          </w:p>
        </w:tc>
      </w:tr>
      <w:tr w:rsidR="00E42714" w:rsidRPr="007404FA" w:rsidTr="00571550">
        <w:tc>
          <w:tcPr>
            <w:tcW w:w="2972" w:type="dxa"/>
            <w:tcBorders>
              <w:bottom w:val="single" w:sz="4" w:space="0" w:color="auto"/>
            </w:tcBorders>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ЗНО</w:t>
            </w:r>
          </w:p>
        </w:tc>
        <w:tc>
          <w:tcPr>
            <w:tcW w:w="6975" w:type="dxa"/>
            <w:tcBorders>
              <w:bottom w:val="single" w:sz="4" w:space="0" w:color="auto"/>
            </w:tcBorders>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Batang" w:hAnsi="Times New Roman" w:cs="Times New Roman"/>
                <w:sz w:val="24"/>
                <w:szCs w:val="24"/>
              </w:rPr>
              <w:t>Засегнат надзорен орган</w:t>
            </w:r>
          </w:p>
        </w:tc>
      </w:tr>
      <w:tr w:rsidR="00A30AF8" w:rsidRPr="007404FA" w:rsidTr="00571550">
        <w:tc>
          <w:tcPr>
            <w:tcW w:w="2972" w:type="dxa"/>
            <w:tcBorders>
              <w:top w:val="single" w:sz="4" w:space="0" w:color="auto"/>
              <w:left w:val="single" w:sz="4" w:space="0" w:color="auto"/>
              <w:bottom w:val="single" w:sz="4" w:space="0" w:color="auto"/>
              <w:right w:val="nil"/>
            </w:tcBorders>
            <w:vAlign w:val="center"/>
          </w:tcPr>
          <w:p w:rsidR="00A30AF8" w:rsidRPr="007404FA" w:rsidRDefault="00A30AF8"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ЗПКОНПИ</w:t>
            </w:r>
          </w:p>
        </w:tc>
        <w:tc>
          <w:tcPr>
            <w:tcW w:w="6975" w:type="dxa"/>
            <w:tcBorders>
              <w:top w:val="single" w:sz="4" w:space="0" w:color="auto"/>
              <w:left w:val="nil"/>
              <w:bottom w:val="single" w:sz="4" w:space="0" w:color="auto"/>
              <w:right w:val="single" w:sz="4" w:space="0" w:color="auto"/>
            </w:tcBorders>
            <w:vAlign w:val="center"/>
          </w:tcPr>
          <w:p w:rsidR="00A30AF8" w:rsidRPr="007404FA" w:rsidRDefault="00A30AF8" w:rsidP="00DB6B05">
            <w:pPr>
              <w:spacing w:line="276" w:lineRule="auto"/>
              <w:ind w:left="39" w:firstLine="2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Закон за противодействие на корупцията и за отнемане на незаконно придобито имущество</w:t>
            </w:r>
          </w:p>
        </w:tc>
      </w:tr>
      <w:tr w:rsidR="00E42714" w:rsidRPr="007404FA" w:rsidTr="00571550">
        <w:tc>
          <w:tcPr>
            <w:tcW w:w="2972" w:type="dxa"/>
            <w:tcBorders>
              <w:top w:val="single" w:sz="4" w:space="0" w:color="auto"/>
              <w:bottom w:val="nil"/>
            </w:tcBorders>
            <w:vAlign w:val="center"/>
          </w:tcPr>
          <w:p w:rsidR="00E42714" w:rsidRPr="007404FA" w:rsidRDefault="00B92BF8"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lastRenderedPageBreak/>
              <w:t>ИСВП</w:t>
            </w:r>
          </w:p>
        </w:tc>
        <w:tc>
          <w:tcPr>
            <w:tcW w:w="6975" w:type="dxa"/>
            <w:tcBorders>
              <w:top w:val="single" w:sz="4" w:space="0" w:color="auto"/>
              <w:bottom w:val="nil"/>
            </w:tcBorders>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 xml:space="preserve">Информационна система на вътрешния пазар </w:t>
            </w:r>
          </w:p>
        </w:tc>
      </w:tr>
      <w:tr w:rsidR="000A1222" w:rsidRPr="007404FA" w:rsidTr="0017682E">
        <w:tc>
          <w:tcPr>
            <w:tcW w:w="2972" w:type="dxa"/>
            <w:vAlign w:val="center"/>
          </w:tcPr>
          <w:p w:rsidR="000A1222" w:rsidRPr="007404FA" w:rsidRDefault="000A1222"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КЕП</w:t>
            </w:r>
          </w:p>
        </w:tc>
        <w:tc>
          <w:tcPr>
            <w:tcW w:w="6975" w:type="dxa"/>
            <w:vAlign w:val="center"/>
          </w:tcPr>
          <w:p w:rsidR="000A1222" w:rsidRPr="007404FA" w:rsidRDefault="00B92BF8"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Квалифициран електронен подпис</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КЗЛД, Комисията</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Комисия за защита на личните данни</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ККН</w:t>
            </w:r>
          </w:p>
        </w:tc>
        <w:tc>
          <w:tcPr>
            <w:tcW w:w="6975" w:type="dxa"/>
            <w:vAlign w:val="center"/>
          </w:tcPr>
          <w:p w:rsidR="00E42714" w:rsidRPr="007404FA" w:rsidRDefault="00E42714" w:rsidP="00DB6B05">
            <w:pPr>
              <w:spacing w:line="360" w:lineRule="auto"/>
              <w:ind w:firstLine="68"/>
              <w:jc w:val="both"/>
              <w:rPr>
                <w:rFonts w:ascii="Times New Roman" w:eastAsia="Batang" w:hAnsi="Times New Roman" w:cs="Times New Roman"/>
                <w:sz w:val="24"/>
                <w:szCs w:val="24"/>
              </w:rPr>
            </w:pPr>
            <w:r w:rsidRPr="007404FA">
              <w:rPr>
                <w:rFonts w:ascii="Times New Roman" w:eastAsia="Calibri" w:hAnsi="Times New Roman" w:cs="Times New Roman"/>
                <w:sz w:val="24"/>
                <w:szCs w:val="24"/>
              </w:rPr>
              <w:t>Комитет за координиран надзор към ЕКЗД</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КРС</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Batang" w:hAnsi="Times New Roman" w:cs="Times New Roman"/>
                <w:sz w:val="24"/>
                <w:szCs w:val="24"/>
              </w:rPr>
              <w:t>Комисия за регулиране на съобщенията</w:t>
            </w:r>
          </w:p>
        </w:tc>
      </w:tr>
      <w:tr w:rsidR="004B730A" w:rsidRPr="007404FA" w:rsidTr="0017682E">
        <w:tc>
          <w:tcPr>
            <w:tcW w:w="2972" w:type="dxa"/>
            <w:vAlign w:val="center"/>
          </w:tcPr>
          <w:p w:rsidR="004B730A" w:rsidRPr="007404FA" w:rsidRDefault="004B730A"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КЗП</w:t>
            </w:r>
          </w:p>
        </w:tc>
        <w:tc>
          <w:tcPr>
            <w:tcW w:w="6975" w:type="dxa"/>
            <w:vAlign w:val="center"/>
          </w:tcPr>
          <w:p w:rsidR="004B730A" w:rsidRPr="007404FA" w:rsidRDefault="004B730A"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Комисия за защита на потребителите</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ЛНЧ</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Личен номер на чужденец</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МВР</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Министерство на вътрешните работи</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МИС</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Митническа информационна система</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МОН</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Министерство на образованието и науката</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МСП</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Малки и средни предприятия</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НАП</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Национална агенция за приходите</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НП</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Наказателно постановление</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ОВЗД</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Оценка на въздействието върху защитата на данните</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ОИСР</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Организация за икономическо сътрудничество и развитие</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ОЛД</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Обработващ лични данни</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ПДКЗЛДНА</w:t>
            </w:r>
          </w:p>
          <w:p w:rsidR="00E42714" w:rsidRPr="007404FA" w:rsidRDefault="00E42714" w:rsidP="00DB6B05">
            <w:pPr>
              <w:spacing w:line="360" w:lineRule="auto"/>
              <w:ind w:firstLine="22"/>
              <w:jc w:val="both"/>
              <w:rPr>
                <w:rFonts w:ascii="Times New Roman" w:eastAsia="Times New Roman" w:hAnsi="Times New Roman" w:cs="Times New Roman"/>
                <w:sz w:val="24"/>
                <w:szCs w:val="24"/>
              </w:rPr>
            </w:pP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Правилник за дейността на Комисията за защита на личните д</w:t>
            </w:r>
            <w:r w:rsidR="007404FA">
              <w:rPr>
                <w:rFonts w:ascii="Times New Roman" w:eastAsia="Times New Roman" w:hAnsi="Times New Roman" w:cs="Times New Roman"/>
                <w:sz w:val="24"/>
                <w:szCs w:val="24"/>
              </w:rPr>
              <w:t>анни и на нейната администрация</w:t>
            </w:r>
          </w:p>
        </w:tc>
      </w:tr>
      <w:tr w:rsidR="00E42714" w:rsidRPr="007404FA" w:rsidTr="0017682E">
        <w:tc>
          <w:tcPr>
            <w:tcW w:w="2972" w:type="dxa"/>
            <w:vAlign w:val="center"/>
          </w:tcPr>
          <w:p w:rsidR="00E42714" w:rsidRPr="007404FA" w:rsidRDefault="00E42714" w:rsidP="00DB6B05">
            <w:pPr>
              <w:spacing w:line="360" w:lineRule="auto"/>
              <w:ind w:firstLine="22"/>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 xml:space="preserve">Регламент (ЕС) 2016/679, Регламент 2016/679, Регламента, ОРЗД </w:t>
            </w:r>
          </w:p>
        </w:tc>
        <w:tc>
          <w:tcPr>
            <w:tcW w:w="6975" w:type="dxa"/>
            <w:vAlign w:val="center"/>
          </w:tcPr>
          <w:p w:rsidR="00E42714" w:rsidRPr="007404FA" w:rsidRDefault="00E42714" w:rsidP="00DB6B05">
            <w:pPr>
              <w:spacing w:line="276" w:lineRule="auto"/>
              <w:ind w:left="60" w:firstLine="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Регламент (ЕС) 2016/679 на Европейския парламент и на Съвета от 27 април 2016</w:t>
            </w:r>
            <w:r w:rsidR="00F06583" w:rsidRPr="007404FA">
              <w:rPr>
                <w:rFonts w:ascii="Times New Roman" w:eastAsia="Times New Roman" w:hAnsi="Times New Roman" w:cs="Times New Roman"/>
                <w:sz w:val="24"/>
                <w:szCs w:val="24"/>
              </w:rPr>
              <w:t> г.</w:t>
            </w:r>
            <w:r w:rsidRPr="007404FA">
              <w:rPr>
                <w:rFonts w:ascii="Times New Roman" w:eastAsia="Times New Roman" w:hAnsi="Times New Roman" w:cs="Times New Roman"/>
                <w:sz w:val="24"/>
                <w:szCs w:val="24"/>
              </w:rPr>
              <w:t xml:space="preserve">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tc>
      </w:tr>
      <w:tr w:rsidR="00E00633" w:rsidRPr="007404FA" w:rsidTr="0017682E">
        <w:tc>
          <w:tcPr>
            <w:tcW w:w="2972" w:type="dxa"/>
            <w:vAlign w:val="center"/>
          </w:tcPr>
          <w:p w:rsidR="00E00633" w:rsidRPr="007404FA" w:rsidRDefault="00E00633"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СЕС</w:t>
            </w:r>
          </w:p>
        </w:tc>
        <w:tc>
          <w:tcPr>
            <w:tcW w:w="6975" w:type="dxa"/>
            <w:vAlign w:val="center"/>
          </w:tcPr>
          <w:p w:rsidR="00E00633" w:rsidRPr="007404FA" w:rsidRDefault="00E00633"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Съд на Европейския съюз</w:t>
            </w:r>
          </w:p>
        </w:tc>
      </w:tr>
      <w:tr w:rsidR="00CD3F7B" w:rsidRPr="007404FA" w:rsidTr="0017682E">
        <w:tc>
          <w:tcPr>
            <w:tcW w:w="2972" w:type="dxa"/>
            <w:vAlign w:val="center"/>
          </w:tcPr>
          <w:p w:rsidR="00CD3F7B" w:rsidRPr="007404FA" w:rsidRDefault="00CD3F7B"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ЦИК</w:t>
            </w:r>
          </w:p>
        </w:tc>
        <w:tc>
          <w:tcPr>
            <w:tcW w:w="6975" w:type="dxa"/>
            <w:vAlign w:val="center"/>
          </w:tcPr>
          <w:p w:rsidR="00CD3F7B" w:rsidRPr="007404FA" w:rsidRDefault="00E00633"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Централна избирателна комисия</w:t>
            </w:r>
          </w:p>
        </w:tc>
      </w:tr>
      <w:tr w:rsidR="00E42714" w:rsidRPr="007404FA" w:rsidTr="0017682E">
        <w:tc>
          <w:tcPr>
            <w:tcW w:w="2972" w:type="dxa"/>
            <w:vAlign w:val="center"/>
          </w:tcPr>
          <w:p w:rsidR="00E42714" w:rsidRPr="007404FA" w:rsidRDefault="00E42714" w:rsidP="00DB6B05">
            <w:pPr>
              <w:spacing w:line="360" w:lineRule="auto"/>
              <w:ind w:firstLine="22"/>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ШИС II</w:t>
            </w:r>
          </w:p>
        </w:tc>
        <w:tc>
          <w:tcPr>
            <w:tcW w:w="6975" w:type="dxa"/>
            <w:vAlign w:val="center"/>
          </w:tcPr>
          <w:p w:rsidR="00E42714" w:rsidRPr="007404FA" w:rsidRDefault="00E42714" w:rsidP="00DB6B05">
            <w:pPr>
              <w:spacing w:line="360" w:lineRule="auto"/>
              <w:ind w:firstLine="68"/>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Шенгенска информационна система от второ поколение</w:t>
            </w:r>
          </w:p>
        </w:tc>
      </w:tr>
    </w:tbl>
    <w:p w:rsidR="00E42714" w:rsidRPr="007404FA" w:rsidRDefault="00E42714" w:rsidP="00DB6B05">
      <w:pPr>
        <w:spacing w:line="360" w:lineRule="auto"/>
        <w:ind w:firstLine="709"/>
        <w:jc w:val="both"/>
        <w:rPr>
          <w:rFonts w:ascii="Times New Roman" w:hAnsi="Times New Roman" w:cs="Times New Roman"/>
          <w:b/>
          <w:sz w:val="24"/>
          <w:szCs w:val="24"/>
        </w:rPr>
      </w:pPr>
      <w:r w:rsidRPr="007404FA">
        <w:rPr>
          <w:rFonts w:ascii="Times New Roman" w:hAnsi="Times New Roman" w:cs="Times New Roman"/>
          <w:b/>
          <w:sz w:val="24"/>
          <w:szCs w:val="24"/>
        </w:rPr>
        <w:br w:type="page"/>
      </w:r>
    </w:p>
    <w:p w:rsidR="00E42714" w:rsidRPr="00482505" w:rsidRDefault="00E42714" w:rsidP="00482505">
      <w:pPr>
        <w:pStyle w:val="Heading1"/>
        <w:spacing w:before="0" w:line="360" w:lineRule="auto"/>
        <w:ind w:firstLine="709"/>
        <w:rPr>
          <w:rFonts w:ascii="Times New Roman" w:hAnsi="Times New Roman" w:cs="Times New Roman"/>
          <w:sz w:val="24"/>
          <w:szCs w:val="24"/>
        </w:rPr>
      </w:pPr>
      <w:bookmarkStart w:id="0" w:name="_Toc130915377"/>
      <w:r w:rsidRPr="00482505">
        <w:rPr>
          <w:rFonts w:ascii="Times New Roman" w:hAnsi="Times New Roman" w:cs="Times New Roman"/>
          <w:sz w:val="24"/>
          <w:szCs w:val="24"/>
        </w:rPr>
        <w:lastRenderedPageBreak/>
        <w:t>I. УВОД</w:t>
      </w:r>
      <w:bookmarkEnd w:id="0"/>
    </w:p>
    <w:p w:rsidR="00E42714" w:rsidRPr="007404FA" w:rsidRDefault="00E42714" w:rsidP="00DB6B05">
      <w:pPr>
        <w:tabs>
          <w:tab w:val="left" w:pos="993"/>
        </w:tabs>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Настоящият отчет за дейността на Комисията за защита на личните данни (КЗЛД/Комисията) е изготвен на основание</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7,</w:t>
      </w:r>
      <w:r w:rsidR="00F06583" w:rsidRPr="007404FA">
        <w:rPr>
          <w:rFonts w:ascii="Times New Roman" w:eastAsia="Times New Roman" w:hAnsi="Times New Roman" w:cs="Times New Roman"/>
          <w:sz w:val="24"/>
          <w:szCs w:val="24"/>
        </w:rPr>
        <w:t xml:space="preserve"> ал. </w:t>
      </w:r>
      <w:r w:rsidRPr="007404FA">
        <w:rPr>
          <w:rFonts w:ascii="Times New Roman" w:eastAsia="Times New Roman" w:hAnsi="Times New Roman" w:cs="Times New Roman"/>
          <w:sz w:val="24"/>
          <w:szCs w:val="24"/>
        </w:rPr>
        <w:t>6 от Закона за защита на личните данни (ЗЗЛД) и обхваща периода от 01.01.2022</w:t>
      </w:r>
      <w:r w:rsidR="00F06583" w:rsidRPr="007404FA">
        <w:rPr>
          <w:rFonts w:ascii="Times New Roman" w:eastAsia="Times New Roman" w:hAnsi="Times New Roman" w:cs="Times New Roman"/>
          <w:sz w:val="24"/>
          <w:szCs w:val="24"/>
        </w:rPr>
        <w:t> г.</w:t>
      </w:r>
      <w:r w:rsidRPr="007404FA">
        <w:rPr>
          <w:rFonts w:ascii="Times New Roman" w:eastAsia="Times New Roman" w:hAnsi="Times New Roman" w:cs="Times New Roman"/>
          <w:sz w:val="24"/>
          <w:szCs w:val="24"/>
        </w:rPr>
        <w:t xml:space="preserve"> до 31.12.2022</w:t>
      </w:r>
      <w:r w:rsidR="00F06583" w:rsidRPr="007404FA">
        <w:rPr>
          <w:rFonts w:ascii="Times New Roman" w:eastAsia="Times New Roman" w:hAnsi="Times New Roman" w:cs="Times New Roman"/>
          <w:sz w:val="24"/>
          <w:szCs w:val="24"/>
        </w:rPr>
        <w:t> г.</w:t>
      </w:r>
      <w:r w:rsidRPr="007404FA">
        <w:rPr>
          <w:rFonts w:ascii="Times New Roman" w:eastAsia="Times New Roman" w:hAnsi="Times New Roman" w:cs="Times New Roman"/>
          <w:sz w:val="24"/>
          <w:szCs w:val="24"/>
        </w:rPr>
        <w:t xml:space="preserve"> </w:t>
      </w:r>
    </w:p>
    <w:p w:rsidR="00E42714" w:rsidRPr="007404FA" w:rsidRDefault="00E42714" w:rsidP="00DB6B05">
      <w:pPr>
        <w:tabs>
          <w:tab w:val="left" w:pos="993"/>
        </w:tabs>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 xml:space="preserve">В отчета е представена информация </w:t>
      </w:r>
      <w:r w:rsidR="00C01383" w:rsidRPr="007404FA">
        <w:rPr>
          <w:rFonts w:ascii="Times New Roman" w:eastAsia="Times New Roman" w:hAnsi="Times New Roman" w:cs="Times New Roman"/>
          <w:sz w:val="24"/>
          <w:szCs w:val="24"/>
        </w:rPr>
        <w:t xml:space="preserve">както по основни </w:t>
      </w:r>
      <w:r w:rsidRPr="007404FA">
        <w:rPr>
          <w:rFonts w:ascii="Times New Roman" w:eastAsia="Times New Roman" w:hAnsi="Times New Roman" w:cs="Times New Roman"/>
          <w:sz w:val="24"/>
          <w:szCs w:val="24"/>
        </w:rPr>
        <w:t>направления на дейност на КЗЛД</w:t>
      </w:r>
      <w:r w:rsidR="00C01383" w:rsidRPr="007404FA">
        <w:rPr>
          <w:rFonts w:ascii="Times New Roman" w:eastAsia="Times New Roman" w:hAnsi="Times New Roman" w:cs="Times New Roman"/>
          <w:sz w:val="24"/>
          <w:szCs w:val="24"/>
        </w:rPr>
        <w:t>, така и по ключови въпроси</w:t>
      </w:r>
      <w:r w:rsidR="00553661" w:rsidRPr="007404FA">
        <w:rPr>
          <w:rFonts w:ascii="Times New Roman" w:eastAsia="Times New Roman" w:hAnsi="Times New Roman" w:cs="Times New Roman"/>
          <w:sz w:val="24"/>
          <w:szCs w:val="24"/>
        </w:rPr>
        <w:t xml:space="preserve"> – </w:t>
      </w:r>
      <w:r w:rsidR="00C01383" w:rsidRPr="007404FA">
        <w:rPr>
          <w:rFonts w:ascii="Times New Roman" w:eastAsia="Times New Roman" w:hAnsi="Times New Roman" w:cs="Times New Roman"/>
          <w:sz w:val="24"/>
          <w:szCs w:val="24"/>
        </w:rPr>
        <w:t>обект на обществен интерес</w:t>
      </w:r>
      <w:r w:rsidR="008E692B" w:rsidRPr="007404FA">
        <w:rPr>
          <w:rFonts w:ascii="Times New Roman" w:eastAsia="Times New Roman" w:hAnsi="Times New Roman" w:cs="Times New Roman"/>
          <w:sz w:val="24"/>
          <w:szCs w:val="24"/>
        </w:rPr>
        <w:t xml:space="preserve"> през посочения период</w:t>
      </w:r>
      <w:r w:rsidRPr="007404FA">
        <w:rPr>
          <w:rFonts w:ascii="Times New Roman" w:eastAsia="Times New Roman" w:hAnsi="Times New Roman" w:cs="Times New Roman"/>
          <w:sz w:val="24"/>
          <w:szCs w:val="24"/>
        </w:rPr>
        <w:t xml:space="preserve">. </w:t>
      </w:r>
      <w:r w:rsidR="00071BB2" w:rsidRPr="007404FA">
        <w:rPr>
          <w:rFonts w:ascii="Times New Roman" w:eastAsia="Times New Roman" w:hAnsi="Times New Roman" w:cs="Times New Roman"/>
          <w:sz w:val="24"/>
          <w:szCs w:val="24"/>
        </w:rPr>
        <w:t>Направен</w:t>
      </w:r>
      <w:r w:rsidRPr="007404FA">
        <w:rPr>
          <w:rFonts w:ascii="Times New Roman" w:eastAsia="Times New Roman" w:hAnsi="Times New Roman" w:cs="Times New Roman"/>
          <w:sz w:val="24"/>
          <w:szCs w:val="24"/>
        </w:rPr>
        <w:t xml:space="preserve"> е анализ на степента на постигане на цели</w:t>
      </w:r>
      <w:r w:rsidR="00F1243C" w:rsidRPr="007404FA">
        <w:rPr>
          <w:rFonts w:ascii="Times New Roman" w:eastAsia="Times New Roman" w:hAnsi="Times New Roman" w:cs="Times New Roman"/>
          <w:sz w:val="24"/>
          <w:szCs w:val="24"/>
        </w:rPr>
        <w:t>те</w:t>
      </w:r>
      <w:r w:rsidRPr="007404FA">
        <w:rPr>
          <w:rFonts w:ascii="Times New Roman" w:eastAsia="Times New Roman" w:hAnsi="Times New Roman" w:cs="Times New Roman"/>
          <w:sz w:val="24"/>
          <w:szCs w:val="24"/>
        </w:rPr>
        <w:t xml:space="preserve"> и приоритети</w:t>
      </w:r>
      <w:r w:rsidR="00F1243C" w:rsidRPr="007404FA">
        <w:rPr>
          <w:rFonts w:ascii="Times New Roman" w:eastAsia="Times New Roman" w:hAnsi="Times New Roman" w:cs="Times New Roman"/>
          <w:sz w:val="24"/>
          <w:szCs w:val="24"/>
        </w:rPr>
        <w:t>те</w:t>
      </w:r>
      <w:r w:rsidR="00B84289" w:rsidRPr="007404FA">
        <w:rPr>
          <w:rFonts w:ascii="Times New Roman" w:eastAsia="Times New Roman" w:hAnsi="Times New Roman" w:cs="Times New Roman"/>
          <w:sz w:val="24"/>
          <w:szCs w:val="24"/>
        </w:rPr>
        <w:t xml:space="preserve"> за отчетната 2022</w:t>
      </w:r>
      <w:r w:rsidR="00F06583" w:rsidRPr="007404FA">
        <w:rPr>
          <w:rFonts w:ascii="Times New Roman" w:eastAsia="Times New Roman" w:hAnsi="Times New Roman" w:cs="Times New Roman"/>
          <w:sz w:val="24"/>
          <w:szCs w:val="24"/>
        </w:rPr>
        <w:t> г.</w:t>
      </w:r>
      <w:r w:rsidRPr="007404FA">
        <w:rPr>
          <w:rFonts w:ascii="Times New Roman" w:eastAsia="Times New Roman" w:hAnsi="Times New Roman" w:cs="Times New Roman"/>
          <w:sz w:val="24"/>
          <w:szCs w:val="24"/>
        </w:rPr>
        <w:t xml:space="preserve"> Включена е обобщена информация </w:t>
      </w:r>
      <w:r w:rsidR="00463E01" w:rsidRPr="007404FA">
        <w:rPr>
          <w:rFonts w:ascii="Times New Roman" w:eastAsia="Times New Roman" w:hAnsi="Times New Roman" w:cs="Times New Roman"/>
          <w:sz w:val="24"/>
          <w:szCs w:val="24"/>
        </w:rPr>
        <w:t>относно разгледани</w:t>
      </w:r>
      <w:r w:rsidRPr="007404FA">
        <w:rPr>
          <w:rFonts w:ascii="Times New Roman" w:eastAsia="Times New Roman" w:hAnsi="Times New Roman" w:cs="Times New Roman"/>
          <w:sz w:val="24"/>
          <w:szCs w:val="24"/>
        </w:rPr>
        <w:t xml:space="preserve"> жалби и сигнали, запитвания на граждани и проведените консултации по тях. Отчетена е постоянната тенденция на повишаване обема и сложността на постъпващите жалби и сигнали, и извършените проверки н</w:t>
      </w:r>
      <w:r w:rsidR="00071BB2" w:rsidRPr="007404FA">
        <w:rPr>
          <w:rFonts w:ascii="Times New Roman" w:eastAsia="Times New Roman" w:hAnsi="Times New Roman" w:cs="Times New Roman"/>
          <w:sz w:val="24"/>
          <w:szCs w:val="24"/>
        </w:rPr>
        <w:t>а администратори на лични данни. Направен е преглед</w:t>
      </w:r>
      <w:r w:rsidRPr="007404FA">
        <w:rPr>
          <w:rFonts w:ascii="Times New Roman" w:eastAsia="Times New Roman" w:hAnsi="Times New Roman" w:cs="Times New Roman"/>
          <w:sz w:val="24"/>
          <w:szCs w:val="24"/>
        </w:rPr>
        <w:t xml:space="preserve"> </w:t>
      </w:r>
      <w:r w:rsidR="004878F9" w:rsidRPr="007404FA">
        <w:rPr>
          <w:rFonts w:ascii="Times New Roman" w:eastAsia="Times New Roman" w:hAnsi="Times New Roman" w:cs="Times New Roman"/>
          <w:sz w:val="24"/>
          <w:szCs w:val="24"/>
        </w:rPr>
        <w:t xml:space="preserve">на </w:t>
      </w:r>
      <w:r w:rsidRPr="007404FA">
        <w:rPr>
          <w:rFonts w:ascii="Times New Roman" w:eastAsia="Times New Roman" w:hAnsi="Times New Roman" w:cs="Times New Roman"/>
          <w:sz w:val="24"/>
          <w:szCs w:val="24"/>
        </w:rPr>
        <w:t xml:space="preserve">становища по </w:t>
      </w:r>
      <w:r w:rsidR="0074503E" w:rsidRPr="007404FA">
        <w:rPr>
          <w:rFonts w:ascii="Times New Roman" w:eastAsia="Times New Roman" w:hAnsi="Times New Roman" w:cs="Times New Roman"/>
          <w:sz w:val="24"/>
          <w:szCs w:val="24"/>
        </w:rPr>
        <w:t xml:space="preserve">обществено значима тематика </w:t>
      </w:r>
      <w:r w:rsidRPr="007404FA">
        <w:rPr>
          <w:rFonts w:ascii="Times New Roman" w:eastAsia="Times New Roman" w:hAnsi="Times New Roman" w:cs="Times New Roman"/>
          <w:sz w:val="24"/>
          <w:szCs w:val="24"/>
        </w:rPr>
        <w:t xml:space="preserve">и отговори на запитвания на администратори и обработващи лични данни по </w:t>
      </w:r>
      <w:r w:rsidR="0074503E" w:rsidRPr="007404FA">
        <w:rPr>
          <w:rFonts w:ascii="Times New Roman" w:eastAsia="Times New Roman" w:hAnsi="Times New Roman" w:cs="Times New Roman"/>
          <w:sz w:val="24"/>
          <w:szCs w:val="24"/>
        </w:rPr>
        <w:t>въпроси</w:t>
      </w:r>
      <w:r w:rsidRPr="007404FA">
        <w:rPr>
          <w:rFonts w:ascii="Times New Roman" w:eastAsia="Times New Roman" w:hAnsi="Times New Roman" w:cs="Times New Roman"/>
          <w:sz w:val="24"/>
          <w:szCs w:val="24"/>
        </w:rPr>
        <w:t xml:space="preserve"> с принципен характер. </w:t>
      </w:r>
      <w:r w:rsidR="004878F9" w:rsidRPr="007404FA">
        <w:rPr>
          <w:rFonts w:ascii="Times New Roman" w:eastAsia="Times New Roman" w:hAnsi="Times New Roman" w:cs="Times New Roman"/>
          <w:sz w:val="24"/>
          <w:szCs w:val="24"/>
        </w:rPr>
        <w:t>Представени</w:t>
      </w:r>
      <w:r w:rsidRPr="007404FA">
        <w:rPr>
          <w:rFonts w:ascii="Times New Roman" w:eastAsia="Times New Roman" w:hAnsi="Times New Roman" w:cs="Times New Roman"/>
          <w:sz w:val="24"/>
          <w:szCs w:val="24"/>
        </w:rPr>
        <w:t xml:space="preserve"> са административният капацитет и финансовото състояние на КЗЛД.</w:t>
      </w:r>
    </w:p>
    <w:p w:rsidR="00103365" w:rsidRPr="007404FA" w:rsidRDefault="00103365" w:rsidP="00DB6B05">
      <w:pPr>
        <w:spacing w:line="259" w:lineRule="auto"/>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br w:type="page"/>
      </w:r>
    </w:p>
    <w:p w:rsidR="00E42714" w:rsidRPr="00752CB0" w:rsidRDefault="00E42714" w:rsidP="00752CB0">
      <w:pPr>
        <w:pStyle w:val="Heading1"/>
        <w:spacing w:before="0" w:line="360" w:lineRule="auto"/>
        <w:ind w:firstLine="709"/>
        <w:jc w:val="both"/>
        <w:rPr>
          <w:rFonts w:ascii="Times New Roman" w:hAnsi="Times New Roman" w:cs="Times New Roman"/>
          <w:sz w:val="24"/>
          <w:szCs w:val="24"/>
        </w:rPr>
      </w:pPr>
      <w:bookmarkStart w:id="1" w:name="_Toc130915378"/>
      <w:r w:rsidRPr="00752CB0">
        <w:rPr>
          <w:rFonts w:ascii="Times New Roman" w:hAnsi="Times New Roman" w:cs="Times New Roman"/>
          <w:sz w:val="24"/>
          <w:szCs w:val="24"/>
        </w:rPr>
        <w:lastRenderedPageBreak/>
        <w:t>II. АНАЛИЗ И ОТЧЕТ НА СТЕПЕНТА НА ПОСТИГАНЕ НА ЦЕЛИТЕ И ПРИОРИТЕТИТЕ НА КЗЛД, ЗАЛЕГНАЛИ В ГОДИШНИЯ ОТЧЕТ ЗА 2022</w:t>
      </w:r>
      <w:r w:rsidR="00F06583" w:rsidRPr="00752CB0">
        <w:rPr>
          <w:rFonts w:ascii="Times New Roman" w:hAnsi="Times New Roman" w:cs="Times New Roman"/>
          <w:sz w:val="24"/>
          <w:szCs w:val="24"/>
        </w:rPr>
        <w:t> г.</w:t>
      </w:r>
      <w:bookmarkEnd w:id="1"/>
    </w:p>
    <w:p w:rsidR="00E42714" w:rsidRPr="007404FA" w:rsidRDefault="00E42714" w:rsidP="00DB6B05">
      <w:pPr>
        <w:tabs>
          <w:tab w:val="left" w:pos="720"/>
        </w:tabs>
        <w:spacing w:line="360" w:lineRule="auto"/>
        <w:ind w:firstLine="709"/>
        <w:jc w:val="both"/>
        <w:rPr>
          <w:rFonts w:ascii="Times New Roman" w:hAnsi="Times New Roman" w:cs="Times New Roman"/>
          <w:bCs/>
          <w:sz w:val="24"/>
          <w:szCs w:val="24"/>
        </w:rPr>
      </w:pPr>
    </w:p>
    <w:p w:rsidR="008702B9" w:rsidRPr="007404FA" w:rsidRDefault="008702B9" w:rsidP="00DB6B05">
      <w:pPr>
        <w:spacing w:line="360" w:lineRule="auto"/>
        <w:ind w:firstLine="709"/>
        <w:jc w:val="both"/>
        <w:rPr>
          <w:rFonts w:ascii="Times New Roman" w:eastAsia="Calibri" w:hAnsi="Times New Roman" w:cs="Times New Roman"/>
          <w:b/>
          <w:sz w:val="24"/>
          <w:szCs w:val="24"/>
        </w:rPr>
      </w:pPr>
      <w:r w:rsidRPr="007404FA">
        <w:rPr>
          <w:rFonts w:ascii="Times New Roman" w:eastAsia="Calibri" w:hAnsi="Times New Roman" w:cs="Times New Roman"/>
          <w:b/>
          <w:sz w:val="24"/>
          <w:szCs w:val="24"/>
        </w:rPr>
        <w:t>1. Отбелязване на 20-ата годишнина от създаването на Комисията за защита на личните данни.</w:t>
      </w:r>
    </w:p>
    <w:p w:rsidR="002E7FDE" w:rsidRPr="007404FA" w:rsidRDefault="00CD3674" w:rsidP="00DB6B05">
      <w:pPr>
        <w:spacing w:line="360" w:lineRule="auto"/>
        <w:ind w:firstLine="709"/>
        <w:contextualSpacing/>
        <w:jc w:val="both"/>
        <w:rPr>
          <w:rFonts w:ascii="Times New Roman" w:eastAsia="Times New Roman" w:hAnsi="Times New Roman" w:cs="Times New Roman"/>
          <w:sz w:val="24"/>
          <w:szCs w:val="24"/>
        </w:rPr>
      </w:pPr>
      <w:r w:rsidRPr="007404FA">
        <w:rPr>
          <w:rFonts w:ascii="Times New Roman" w:eastAsia="Calibri" w:hAnsi="Times New Roman" w:cs="Times New Roman"/>
          <w:sz w:val="24"/>
          <w:szCs w:val="24"/>
        </w:rPr>
        <w:t>През 2022</w:t>
      </w:r>
      <w:r w:rsidR="00F06583" w:rsidRPr="007404FA">
        <w:rPr>
          <w:rFonts w:ascii="Times New Roman" w:eastAsia="Calibri" w:hAnsi="Times New Roman" w:cs="Times New Roman"/>
          <w:sz w:val="24"/>
          <w:szCs w:val="24"/>
        </w:rPr>
        <w:t> г.</w:t>
      </w:r>
      <w:r w:rsidRPr="007404FA">
        <w:rPr>
          <w:rFonts w:ascii="Times New Roman" w:eastAsia="Calibri" w:hAnsi="Times New Roman" w:cs="Times New Roman"/>
          <w:sz w:val="24"/>
          <w:szCs w:val="24"/>
        </w:rPr>
        <w:t>,</w:t>
      </w:r>
      <w:r w:rsidR="008702B9" w:rsidRPr="007404FA">
        <w:rPr>
          <w:rFonts w:ascii="Times New Roman" w:eastAsia="Calibri" w:hAnsi="Times New Roman" w:cs="Times New Roman"/>
          <w:sz w:val="24"/>
          <w:szCs w:val="24"/>
        </w:rPr>
        <w:t xml:space="preserve"> юбилейна за Комисията за защита на личните данни</w:t>
      </w:r>
      <w:r w:rsidRPr="007404FA">
        <w:rPr>
          <w:rFonts w:ascii="Times New Roman" w:eastAsia="Calibri" w:hAnsi="Times New Roman" w:cs="Times New Roman"/>
          <w:sz w:val="24"/>
          <w:szCs w:val="24"/>
        </w:rPr>
        <w:t>,</w:t>
      </w:r>
      <w:r w:rsidR="00157B49">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се навършват</w:t>
      </w:r>
      <w:r w:rsidR="008702B9" w:rsidRPr="007404FA">
        <w:rPr>
          <w:rFonts w:ascii="Times New Roman" w:eastAsia="Calibri" w:hAnsi="Times New Roman" w:cs="Times New Roman"/>
          <w:sz w:val="24"/>
          <w:szCs w:val="24"/>
        </w:rPr>
        <w:t xml:space="preserve"> 20 години от влизането в сила на Закона за защита на</w:t>
      </w:r>
      <w:r w:rsidR="00294316" w:rsidRPr="007404FA">
        <w:rPr>
          <w:rFonts w:ascii="Times New Roman" w:eastAsia="Calibri" w:hAnsi="Times New Roman" w:cs="Times New Roman"/>
          <w:sz w:val="24"/>
          <w:szCs w:val="24"/>
        </w:rPr>
        <w:t xml:space="preserve"> личните данни (01.01.2002</w:t>
      </w:r>
      <w:r w:rsidR="00F06583" w:rsidRPr="007404FA">
        <w:rPr>
          <w:rFonts w:ascii="Times New Roman" w:eastAsia="Calibri" w:hAnsi="Times New Roman" w:cs="Times New Roman"/>
          <w:sz w:val="24"/>
          <w:szCs w:val="24"/>
        </w:rPr>
        <w:t> г.</w:t>
      </w:r>
      <w:r w:rsidR="00294316" w:rsidRPr="007404FA">
        <w:rPr>
          <w:rFonts w:ascii="Times New Roman" w:eastAsia="Calibri" w:hAnsi="Times New Roman" w:cs="Times New Roman"/>
          <w:sz w:val="24"/>
          <w:szCs w:val="24"/>
        </w:rPr>
        <w:t xml:space="preserve">) и </w:t>
      </w:r>
      <w:r w:rsidR="008702B9" w:rsidRPr="007404FA">
        <w:rPr>
          <w:rFonts w:ascii="Times New Roman" w:eastAsia="Calibri" w:hAnsi="Times New Roman" w:cs="Times New Roman"/>
          <w:sz w:val="24"/>
          <w:szCs w:val="24"/>
        </w:rPr>
        <w:t>20 години от създаването на КЗЛД (23.05.2002</w:t>
      </w:r>
      <w:r w:rsidR="00F06583" w:rsidRPr="007404FA">
        <w:rPr>
          <w:rFonts w:ascii="Times New Roman" w:eastAsia="Calibri" w:hAnsi="Times New Roman" w:cs="Times New Roman"/>
          <w:sz w:val="24"/>
          <w:szCs w:val="24"/>
        </w:rPr>
        <w:t> г.</w:t>
      </w:r>
      <w:r w:rsidR="008702B9" w:rsidRPr="007404FA">
        <w:rPr>
          <w:rFonts w:ascii="Times New Roman" w:eastAsia="Calibri" w:hAnsi="Times New Roman" w:cs="Times New Roman"/>
          <w:sz w:val="24"/>
          <w:szCs w:val="24"/>
        </w:rPr>
        <w:t xml:space="preserve">). </w:t>
      </w:r>
      <w:r w:rsidR="00152760" w:rsidRPr="007404FA">
        <w:rPr>
          <w:rFonts w:ascii="Times New Roman" w:eastAsia="Calibri" w:hAnsi="Times New Roman" w:cs="Times New Roman"/>
          <w:sz w:val="24"/>
          <w:szCs w:val="24"/>
        </w:rPr>
        <w:t xml:space="preserve">По този повод </w:t>
      </w:r>
      <w:r w:rsidR="00016470" w:rsidRPr="007404FA">
        <w:rPr>
          <w:rFonts w:ascii="Times New Roman" w:eastAsia="Calibri" w:hAnsi="Times New Roman" w:cs="Times New Roman"/>
          <w:sz w:val="24"/>
          <w:szCs w:val="24"/>
        </w:rPr>
        <w:t>в началото на годината</w:t>
      </w:r>
      <w:r w:rsidR="00152760" w:rsidRPr="007404FA">
        <w:rPr>
          <w:rFonts w:ascii="Times New Roman" w:eastAsia="Calibri" w:hAnsi="Times New Roman" w:cs="Times New Roman"/>
          <w:sz w:val="24"/>
          <w:szCs w:val="24"/>
        </w:rPr>
        <w:t xml:space="preserve"> КЗЛД публикува </w:t>
      </w:r>
      <w:r w:rsidR="00152760" w:rsidRPr="007404FA">
        <w:rPr>
          <w:rFonts w:ascii="Times New Roman" w:eastAsia="Times New Roman" w:hAnsi="Times New Roman" w:cs="Times New Roman"/>
          <w:sz w:val="24"/>
          <w:szCs w:val="24"/>
        </w:rPr>
        <w:t>информационни брошури „Големи бази данни (Big Data) и свързаната с тях възможност за профилиране“; „Съвременни заплахи и предизвикателства пред защитата на личните данни в контекста на тенденциите в развитието на изкуствения интелект и новите технологии за лицево разпознаване“; „Правата на децата и младите хора при работа в дигитални платформи. Защита и укрепване на п</w:t>
      </w:r>
      <w:r w:rsidR="007404FA">
        <w:rPr>
          <w:rFonts w:ascii="Times New Roman" w:eastAsia="Times New Roman" w:hAnsi="Times New Roman" w:cs="Times New Roman"/>
          <w:sz w:val="24"/>
          <w:szCs w:val="24"/>
        </w:rPr>
        <w:t>равата на децата и младите хора</w:t>
      </w:r>
      <w:r w:rsidR="00152760" w:rsidRPr="007404FA">
        <w:rPr>
          <w:rFonts w:ascii="Times New Roman" w:eastAsia="Times New Roman" w:hAnsi="Times New Roman" w:cs="Times New Roman"/>
          <w:sz w:val="24"/>
          <w:szCs w:val="24"/>
        </w:rPr>
        <w:t>“</w:t>
      </w:r>
      <w:r w:rsidR="007404FA">
        <w:rPr>
          <w:rFonts w:ascii="Times New Roman" w:eastAsia="Times New Roman" w:hAnsi="Times New Roman" w:cs="Times New Roman"/>
          <w:sz w:val="24"/>
          <w:szCs w:val="24"/>
        </w:rPr>
        <w:t>.</w:t>
      </w:r>
      <w:r w:rsidR="00152760" w:rsidRPr="007404FA">
        <w:rPr>
          <w:rFonts w:ascii="Times New Roman" w:eastAsia="Times New Roman" w:hAnsi="Times New Roman" w:cs="Times New Roman"/>
          <w:sz w:val="24"/>
          <w:szCs w:val="24"/>
        </w:rPr>
        <w:t xml:space="preserve"> Информационно-разяснителната кампания на КЗЛД продължава и през годината </w:t>
      </w:r>
      <w:r w:rsidR="007404FA" w:rsidRPr="007404FA">
        <w:rPr>
          <w:rFonts w:ascii="Times New Roman" w:eastAsia="Times New Roman" w:hAnsi="Times New Roman" w:cs="Times New Roman"/>
          <w:sz w:val="24"/>
          <w:szCs w:val="24"/>
        </w:rPr>
        <w:t>с публикуването</w:t>
      </w:r>
      <w:r w:rsidR="00152760" w:rsidRPr="007404FA">
        <w:rPr>
          <w:rFonts w:ascii="Times New Roman" w:eastAsia="Times New Roman" w:hAnsi="Times New Roman" w:cs="Times New Roman"/>
          <w:sz w:val="24"/>
          <w:szCs w:val="24"/>
        </w:rPr>
        <w:t xml:space="preserve"> на </w:t>
      </w:r>
      <w:r w:rsidR="002E7FDE" w:rsidRPr="007404FA">
        <w:rPr>
          <w:rFonts w:ascii="Times New Roman" w:eastAsia="Times New Roman" w:hAnsi="Times New Roman" w:cs="Times New Roman"/>
          <w:sz w:val="24"/>
          <w:szCs w:val="24"/>
        </w:rPr>
        <w:t xml:space="preserve">допълнителни информационно-разяснителни материали за деца, </w:t>
      </w:r>
      <w:r w:rsidR="004943DB" w:rsidRPr="007404FA">
        <w:rPr>
          <w:rFonts w:ascii="Times New Roman" w:eastAsia="Times New Roman" w:hAnsi="Times New Roman" w:cs="Times New Roman"/>
          <w:sz w:val="24"/>
          <w:szCs w:val="24"/>
        </w:rPr>
        <w:t xml:space="preserve">тематично обособени в самостоятелен раздел на интернет страницата на институцията, </w:t>
      </w:r>
      <w:r w:rsidR="002E7FDE" w:rsidRPr="007404FA">
        <w:rPr>
          <w:rFonts w:ascii="Times New Roman" w:eastAsia="Times New Roman" w:hAnsi="Times New Roman" w:cs="Times New Roman"/>
          <w:sz w:val="24"/>
          <w:szCs w:val="24"/>
        </w:rPr>
        <w:t>както и други тематични брошури „Шенгенското пространство и защитата на личните данни“ и „Широкомащабни системи на Европейския съюз“.</w:t>
      </w:r>
    </w:p>
    <w:p w:rsidR="008702B9" w:rsidRPr="007404FA" w:rsidRDefault="008702B9" w:rsidP="00DB6B05">
      <w:pPr>
        <w:tabs>
          <w:tab w:val="left" w:pos="993"/>
        </w:tabs>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По повод годишнина</w:t>
      </w:r>
      <w:r w:rsidR="005B53AC" w:rsidRPr="007404FA">
        <w:rPr>
          <w:rFonts w:ascii="Times New Roman" w:eastAsia="Calibri" w:hAnsi="Times New Roman" w:cs="Times New Roman"/>
          <w:sz w:val="24"/>
          <w:szCs w:val="24"/>
        </w:rPr>
        <w:t>та си през 2022</w:t>
      </w:r>
      <w:r w:rsidR="00F06583" w:rsidRPr="007404FA">
        <w:rPr>
          <w:rFonts w:ascii="Times New Roman" w:eastAsia="Calibri" w:hAnsi="Times New Roman" w:cs="Times New Roman"/>
          <w:sz w:val="24"/>
          <w:szCs w:val="24"/>
        </w:rPr>
        <w:t> г.</w:t>
      </w:r>
      <w:r w:rsidRPr="007404FA">
        <w:rPr>
          <w:rFonts w:ascii="Times New Roman" w:eastAsia="Calibri" w:hAnsi="Times New Roman" w:cs="Times New Roman"/>
          <w:sz w:val="24"/>
          <w:szCs w:val="24"/>
        </w:rPr>
        <w:t xml:space="preserve"> Комисията </w:t>
      </w:r>
      <w:r w:rsidR="0063145F" w:rsidRPr="007404FA">
        <w:rPr>
          <w:rFonts w:ascii="Times New Roman" w:eastAsia="Calibri" w:hAnsi="Times New Roman" w:cs="Times New Roman"/>
          <w:sz w:val="24"/>
          <w:szCs w:val="24"/>
        </w:rPr>
        <w:t>съставя</w:t>
      </w:r>
      <w:r w:rsidR="006656CF" w:rsidRPr="007404FA">
        <w:rPr>
          <w:rFonts w:ascii="Times New Roman" w:eastAsia="Calibri" w:hAnsi="Times New Roman" w:cs="Times New Roman"/>
          <w:sz w:val="24"/>
          <w:szCs w:val="24"/>
        </w:rPr>
        <w:t xml:space="preserve"> и публикува юбилейна</w:t>
      </w:r>
      <w:r w:rsidRPr="007404FA">
        <w:rPr>
          <w:rFonts w:ascii="Times New Roman" w:eastAsia="Calibri" w:hAnsi="Times New Roman" w:cs="Times New Roman"/>
          <w:sz w:val="24"/>
          <w:szCs w:val="24"/>
        </w:rPr>
        <w:t xml:space="preserve"> книга „</w:t>
      </w:r>
      <w:r w:rsidRPr="007404FA">
        <w:rPr>
          <w:rFonts w:ascii="Times New Roman" w:eastAsia="Calibri" w:hAnsi="Times New Roman" w:cs="Times New Roman"/>
          <w:b/>
          <w:sz w:val="24"/>
          <w:szCs w:val="24"/>
        </w:rPr>
        <w:t>20 години Комисия за защита на личните данни</w:t>
      </w:r>
      <w:r w:rsidRPr="007404FA">
        <w:rPr>
          <w:rFonts w:ascii="Times New Roman" w:eastAsia="Calibri" w:hAnsi="Times New Roman" w:cs="Times New Roman"/>
          <w:sz w:val="24"/>
          <w:szCs w:val="24"/>
        </w:rPr>
        <w:t>“, в която прави своеобразна равносметка на изминатия път и постигнатите постижения, както и на развитието на правото на защита на личните данни в България.</w:t>
      </w:r>
      <w:r w:rsidR="002B2E4F" w:rsidRPr="007404FA">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Книгата проследява утвърждаването на институцията, нейната разпознаваемост в национален и международен план, изграждането на доверие у заинтересованите страни и очакванията за справяне с бъдещи предизвикателства. Книгата е съставена от три основни части. В първата част е направен преглед на институционалното изграждане на Комисията, поставен е акцент върху най-важните постижения на институцията през годините и е предоставена обобщена статистика (актуална към 01.08.2022</w:t>
      </w:r>
      <w:r w:rsidR="00F06583" w:rsidRPr="007404FA">
        <w:rPr>
          <w:rFonts w:ascii="Times New Roman" w:eastAsia="Calibri" w:hAnsi="Times New Roman" w:cs="Times New Roman"/>
          <w:sz w:val="24"/>
          <w:szCs w:val="24"/>
        </w:rPr>
        <w:t> г.</w:t>
      </w:r>
      <w:r w:rsidRPr="007404FA">
        <w:rPr>
          <w:rFonts w:ascii="Times New Roman" w:eastAsia="Calibri" w:hAnsi="Times New Roman" w:cs="Times New Roman"/>
          <w:sz w:val="24"/>
          <w:szCs w:val="24"/>
        </w:rPr>
        <w:t>) по основните направления на нейната дейност</w:t>
      </w:r>
      <w:r w:rsidR="00553661" w:rsidRPr="007404FA">
        <w:rPr>
          <w:rFonts w:ascii="Times New Roman" w:eastAsia="Calibri" w:hAnsi="Times New Roman" w:cs="Times New Roman"/>
          <w:sz w:val="24"/>
          <w:szCs w:val="24"/>
        </w:rPr>
        <w:t xml:space="preserve"> – </w:t>
      </w:r>
      <w:r w:rsidRPr="007404FA">
        <w:rPr>
          <w:rFonts w:ascii="Times New Roman" w:eastAsia="Calibri" w:hAnsi="Times New Roman" w:cs="Times New Roman"/>
          <w:sz w:val="24"/>
          <w:szCs w:val="24"/>
        </w:rPr>
        <w:t>от полагането на</w:t>
      </w:r>
      <w:r w:rsidR="002B2E4F" w:rsidRPr="007404FA">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основите на националната система за защита на личните данни до настоящия момент. Равносметката на Комисията показва добре положени основи и осъзнатост на обществото за настоящите и бъдещите предизвикателства. В книгата е отразено ползотворното</w:t>
      </w:r>
      <w:r w:rsidR="002B2E4F" w:rsidRPr="007404FA">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сътрудничество с национални държавни органи, неправителствени и частни организации. Предоставена е информация за участието и доказания принос на КЗЛД в работата на</w:t>
      </w:r>
      <w:r w:rsidR="002B2E4F" w:rsidRPr="007404FA">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европейските и международни</w:t>
      </w:r>
      <w:r w:rsidR="007404FA">
        <w:rPr>
          <w:rFonts w:ascii="Times New Roman" w:eastAsia="Calibri" w:hAnsi="Times New Roman" w:cs="Times New Roman"/>
          <w:sz w:val="24"/>
          <w:szCs w:val="24"/>
        </w:rPr>
        <w:t>те</w:t>
      </w:r>
      <w:r w:rsidRPr="007404FA">
        <w:rPr>
          <w:rFonts w:ascii="Times New Roman" w:eastAsia="Calibri" w:hAnsi="Times New Roman" w:cs="Times New Roman"/>
          <w:sz w:val="24"/>
          <w:szCs w:val="24"/>
        </w:rPr>
        <w:t xml:space="preserve"> организации и форуми за защита на личните данни. </w:t>
      </w:r>
    </w:p>
    <w:p w:rsidR="008702B9" w:rsidRPr="007404FA" w:rsidRDefault="008702B9" w:rsidP="00DB6B05">
      <w:pPr>
        <w:tabs>
          <w:tab w:val="left" w:pos="993"/>
        </w:tabs>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lastRenderedPageBreak/>
        <w:t>Втората част на книгата е посветена на административната практика на институцията по ключови тематични направления. Публикувани са редица правни актове на Комисията, издържали съдебен контрол, и/или актове, представляващи трайна и принципна практика по въпроси от обществен интерес.</w:t>
      </w:r>
    </w:p>
    <w:p w:rsidR="008702B9" w:rsidRPr="007404FA" w:rsidRDefault="008702B9" w:rsidP="00DB6B05">
      <w:pPr>
        <w:tabs>
          <w:tab w:val="left" w:pos="993"/>
        </w:tabs>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В третата част на изданието</w:t>
      </w:r>
      <w:r w:rsidR="00BE5EF2" w:rsidRPr="007404FA">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 xml:space="preserve">са представени трите състава на </w:t>
      </w:r>
      <w:r w:rsidR="00F06583" w:rsidRPr="007404FA">
        <w:rPr>
          <w:rFonts w:ascii="Times New Roman" w:eastAsia="Calibri" w:hAnsi="Times New Roman" w:cs="Times New Roman"/>
          <w:sz w:val="24"/>
          <w:szCs w:val="24"/>
        </w:rPr>
        <w:t>КЗЛД</w:t>
      </w:r>
      <w:r w:rsidRPr="007404FA">
        <w:rPr>
          <w:rFonts w:ascii="Times New Roman" w:eastAsia="Calibri" w:hAnsi="Times New Roman" w:cs="Times New Roman"/>
          <w:sz w:val="24"/>
          <w:szCs w:val="24"/>
        </w:rPr>
        <w:t xml:space="preserve"> от 2002</w:t>
      </w:r>
      <w:r w:rsidR="00F06583" w:rsidRPr="007404FA">
        <w:rPr>
          <w:rFonts w:ascii="Times New Roman" w:eastAsia="Calibri" w:hAnsi="Times New Roman" w:cs="Times New Roman"/>
          <w:sz w:val="24"/>
          <w:szCs w:val="24"/>
        </w:rPr>
        <w:t> г.</w:t>
      </w:r>
      <w:r w:rsidRPr="007404FA">
        <w:rPr>
          <w:rFonts w:ascii="Times New Roman" w:eastAsia="Calibri" w:hAnsi="Times New Roman" w:cs="Times New Roman"/>
          <w:sz w:val="24"/>
          <w:szCs w:val="24"/>
        </w:rPr>
        <w:t xml:space="preserve"> до 2022</w:t>
      </w:r>
      <w:r w:rsidR="00F06583" w:rsidRPr="007404FA">
        <w:rPr>
          <w:rFonts w:ascii="Times New Roman" w:eastAsia="Calibri" w:hAnsi="Times New Roman" w:cs="Times New Roman"/>
          <w:sz w:val="24"/>
          <w:szCs w:val="24"/>
        </w:rPr>
        <w:t> г.</w:t>
      </w:r>
      <w:r w:rsidRPr="007404FA">
        <w:rPr>
          <w:rFonts w:ascii="Times New Roman" w:eastAsia="Calibri" w:hAnsi="Times New Roman" w:cs="Times New Roman"/>
          <w:sz w:val="24"/>
          <w:szCs w:val="24"/>
        </w:rPr>
        <w:t xml:space="preserve"> Предоставен</w:t>
      </w:r>
      <w:r w:rsidR="00677932">
        <w:rPr>
          <w:rFonts w:ascii="Times New Roman" w:eastAsia="Calibri" w:hAnsi="Times New Roman" w:cs="Times New Roman"/>
          <w:sz w:val="24"/>
          <w:szCs w:val="24"/>
        </w:rPr>
        <w:t>и</w:t>
      </w:r>
      <w:r w:rsidRPr="007404FA">
        <w:rPr>
          <w:rFonts w:ascii="Times New Roman" w:eastAsia="Calibri" w:hAnsi="Times New Roman" w:cs="Times New Roman"/>
          <w:sz w:val="24"/>
          <w:szCs w:val="24"/>
        </w:rPr>
        <w:t xml:space="preserve"> </w:t>
      </w:r>
      <w:r w:rsidR="00677932">
        <w:rPr>
          <w:rFonts w:ascii="Times New Roman" w:eastAsia="Calibri" w:hAnsi="Times New Roman" w:cs="Times New Roman"/>
          <w:sz w:val="24"/>
          <w:szCs w:val="24"/>
        </w:rPr>
        <w:t>са</w:t>
      </w:r>
      <w:r w:rsidRPr="007404FA">
        <w:rPr>
          <w:rFonts w:ascii="Times New Roman" w:eastAsia="Calibri" w:hAnsi="Times New Roman" w:cs="Times New Roman"/>
          <w:sz w:val="24"/>
          <w:szCs w:val="24"/>
        </w:rPr>
        <w:t xml:space="preserve"> кратка професионална биография на</w:t>
      </w:r>
      <w:r w:rsidR="002B2E4F" w:rsidRPr="007404FA">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председателите и членовете на всеки от съставите и техния</w:t>
      </w:r>
      <w:r w:rsidR="00677932">
        <w:rPr>
          <w:rFonts w:ascii="Times New Roman" w:eastAsia="Calibri" w:hAnsi="Times New Roman" w:cs="Times New Roman"/>
          <w:sz w:val="24"/>
          <w:szCs w:val="24"/>
        </w:rPr>
        <w:t>т</w:t>
      </w:r>
      <w:r w:rsidRPr="007404FA">
        <w:rPr>
          <w:rFonts w:ascii="Times New Roman" w:eastAsia="Calibri" w:hAnsi="Times New Roman" w:cs="Times New Roman"/>
          <w:sz w:val="24"/>
          <w:szCs w:val="24"/>
        </w:rPr>
        <w:t xml:space="preserve"> принос за изграждането на ефективно функционираща национална система за защита на личните данни в Република България.</w:t>
      </w:r>
    </w:p>
    <w:p w:rsidR="005118E3" w:rsidRPr="007404FA" w:rsidRDefault="008702B9" w:rsidP="00DB6B05">
      <w:pPr>
        <w:tabs>
          <w:tab w:val="left" w:pos="993"/>
        </w:tabs>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 xml:space="preserve">Към юбилейната книга са приложени снимки от важни събития, както и на грамоти и награди за КЗЛД. </w:t>
      </w:r>
      <w:r w:rsidR="005118E3" w:rsidRPr="007404FA">
        <w:rPr>
          <w:rFonts w:ascii="Times New Roman" w:eastAsia="Calibri" w:hAnsi="Times New Roman" w:cs="Times New Roman"/>
          <w:sz w:val="24"/>
          <w:szCs w:val="24"/>
        </w:rPr>
        <w:t xml:space="preserve">Електронният вариант на книгата е публикуван на интернет страницата на Комисията. </w:t>
      </w:r>
    </w:p>
    <w:p w:rsidR="008702B9" w:rsidRPr="007404FA" w:rsidRDefault="008702B9" w:rsidP="00DB6B05">
      <w:pPr>
        <w:spacing w:line="360" w:lineRule="auto"/>
        <w:ind w:firstLine="709"/>
        <w:jc w:val="both"/>
        <w:rPr>
          <w:rFonts w:ascii="Times New Roman" w:eastAsia="Calibri" w:hAnsi="Times New Roman" w:cs="Times New Roman"/>
          <w:b/>
          <w:sz w:val="24"/>
          <w:szCs w:val="24"/>
        </w:rPr>
      </w:pPr>
    </w:p>
    <w:p w:rsidR="008702B9" w:rsidRPr="007404FA" w:rsidRDefault="008702B9" w:rsidP="00DB6B05">
      <w:pPr>
        <w:spacing w:line="360" w:lineRule="auto"/>
        <w:ind w:firstLine="709"/>
        <w:jc w:val="both"/>
        <w:rPr>
          <w:rFonts w:ascii="Times New Roman" w:eastAsia="Calibri" w:hAnsi="Times New Roman" w:cs="Times New Roman"/>
          <w:b/>
          <w:sz w:val="24"/>
          <w:szCs w:val="24"/>
        </w:rPr>
      </w:pPr>
      <w:r w:rsidRPr="007404FA">
        <w:rPr>
          <w:rFonts w:ascii="Times New Roman" w:eastAsia="Calibri" w:hAnsi="Times New Roman" w:cs="Times New Roman"/>
          <w:b/>
          <w:sz w:val="24"/>
          <w:szCs w:val="24"/>
        </w:rPr>
        <w:t>2. Приемане на нова Стратегия на КЗЛД за развитие в областта на защитата на личните данни.</w:t>
      </w:r>
    </w:p>
    <w:p w:rsidR="008702B9" w:rsidRPr="007404FA" w:rsidRDefault="008702B9" w:rsidP="00DB6B05">
      <w:pPr>
        <w:spacing w:line="360" w:lineRule="auto"/>
        <w:ind w:firstLine="709"/>
        <w:contextualSpacing/>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През 2022</w:t>
      </w:r>
      <w:r w:rsidR="00F06583" w:rsidRPr="007404FA">
        <w:rPr>
          <w:rFonts w:ascii="Times New Roman" w:eastAsia="Times New Roman" w:hAnsi="Times New Roman" w:cs="Times New Roman"/>
          <w:sz w:val="24"/>
          <w:szCs w:val="24"/>
        </w:rPr>
        <w:t> г.</w:t>
      </w:r>
      <w:r w:rsidRPr="007404FA">
        <w:rPr>
          <w:rFonts w:ascii="Times New Roman" w:eastAsia="Times New Roman" w:hAnsi="Times New Roman" w:cs="Times New Roman"/>
          <w:sz w:val="24"/>
          <w:szCs w:val="24"/>
        </w:rPr>
        <w:t xml:space="preserve"> </w:t>
      </w:r>
      <w:r w:rsidR="00677932">
        <w:rPr>
          <w:rFonts w:ascii="Times New Roman" w:eastAsia="Times New Roman" w:hAnsi="Times New Roman" w:cs="Times New Roman"/>
          <w:sz w:val="24"/>
          <w:szCs w:val="24"/>
        </w:rPr>
        <w:t>са</w:t>
      </w:r>
      <w:r w:rsidRPr="007404FA">
        <w:rPr>
          <w:rFonts w:ascii="Times New Roman" w:eastAsia="Times New Roman" w:hAnsi="Times New Roman" w:cs="Times New Roman"/>
          <w:sz w:val="24"/>
          <w:szCs w:val="24"/>
        </w:rPr>
        <w:t xml:space="preserve"> извършен</w:t>
      </w:r>
      <w:r w:rsidR="00677932">
        <w:rPr>
          <w:rFonts w:ascii="Times New Roman" w:eastAsia="Times New Roman" w:hAnsi="Times New Roman" w:cs="Times New Roman"/>
          <w:sz w:val="24"/>
          <w:szCs w:val="24"/>
        </w:rPr>
        <w:t>и</w:t>
      </w:r>
      <w:r w:rsidRPr="007404FA">
        <w:rPr>
          <w:rFonts w:ascii="Times New Roman" w:eastAsia="Times New Roman" w:hAnsi="Times New Roman" w:cs="Times New Roman"/>
          <w:sz w:val="24"/>
          <w:szCs w:val="24"/>
        </w:rPr>
        <w:t xml:space="preserve"> цялостен преглед и анализ на изпълнението на стратегическите цели, </w:t>
      </w:r>
      <w:r w:rsidR="00677932">
        <w:rPr>
          <w:rFonts w:ascii="Times New Roman" w:eastAsia="Times New Roman" w:hAnsi="Times New Roman" w:cs="Times New Roman"/>
          <w:sz w:val="24"/>
          <w:szCs w:val="24"/>
        </w:rPr>
        <w:t>залегнали в</w:t>
      </w:r>
      <w:r w:rsidRPr="007404FA">
        <w:rPr>
          <w:rFonts w:ascii="Times New Roman" w:eastAsia="Times New Roman" w:hAnsi="Times New Roman" w:cs="Times New Roman"/>
          <w:sz w:val="24"/>
          <w:szCs w:val="24"/>
        </w:rPr>
        <w:t xml:space="preserve"> „Стратегията на КЗЛД</w:t>
      </w:r>
      <w:r w:rsidR="00677932">
        <w:rPr>
          <w:rFonts w:ascii="Times New Roman" w:eastAsia="Times New Roman" w:hAnsi="Times New Roman" w:cs="Times New Roman"/>
          <w:sz w:val="24"/>
          <w:szCs w:val="24"/>
        </w:rPr>
        <w:t> –</w:t>
      </w:r>
      <w:r w:rsidR="00F06583" w:rsidRPr="007404FA">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 xml:space="preserve">Хоризонт 2022“, като </w:t>
      </w:r>
      <w:r w:rsidR="005F5BE3" w:rsidRPr="007404FA">
        <w:rPr>
          <w:rFonts w:ascii="Times New Roman" w:eastAsia="Times New Roman" w:hAnsi="Times New Roman" w:cs="Times New Roman"/>
          <w:sz w:val="24"/>
          <w:szCs w:val="24"/>
        </w:rPr>
        <w:t>са</w:t>
      </w:r>
      <w:r w:rsidRPr="007404FA">
        <w:rPr>
          <w:rFonts w:ascii="Times New Roman" w:eastAsia="Times New Roman" w:hAnsi="Times New Roman" w:cs="Times New Roman"/>
          <w:sz w:val="24"/>
          <w:szCs w:val="24"/>
        </w:rPr>
        <w:t xml:space="preserve"> отчетени преимуществата на натрупания 20-годишен опит на Комисията, върху които следва да надгражда следващата „</w:t>
      </w:r>
      <w:r w:rsidR="00677932">
        <w:rPr>
          <w:rFonts w:ascii="Times New Roman" w:eastAsia="Times New Roman" w:hAnsi="Times New Roman" w:cs="Times New Roman"/>
          <w:sz w:val="24"/>
          <w:szCs w:val="24"/>
        </w:rPr>
        <w:t>Стратегия</w:t>
      </w:r>
      <w:r w:rsidR="000D12CD" w:rsidRPr="007404FA">
        <w:rPr>
          <w:rFonts w:ascii="Times New Roman" w:eastAsia="Times New Roman" w:hAnsi="Times New Roman" w:cs="Times New Roman"/>
          <w:sz w:val="24"/>
          <w:szCs w:val="24"/>
        </w:rPr>
        <w:t xml:space="preserve"> на КЗЛД </w:t>
      </w:r>
      <w:r w:rsidR="00677932">
        <w:rPr>
          <w:rFonts w:ascii="Times New Roman" w:eastAsia="Times New Roman" w:hAnsi="Times New Roman" w:cs="Times New Roman"/>
          <w:sz w:val="24"/>
          <w:szCs w:val="24"/>
        </w:rPr>
        <w:t>–</w:t>
      </w:r>
      <w:r w:rsidR="000D12CD" w:rsidRPr="007404FA">
        <w:rPr>
          <w:rFonts w:ascii="Times New Roman" w:eastAsia="Times New Roman" w:hAnsi="Times New Roman" w:cs="Times New Roman"/>
          <w:sz w:val="24"/>
          <w:szCs w:val="24"/>
        </w:rPr>
        <w:t xml:space="preserve"> Хоризонт 2028</w:t>
      </w:r>
      <w:r w:rsidRPr="007404FA">
        <w:rPr>
          <w:rFonts w:ascii="Times New Roman" w:eastAsia="Times New Roman" w:hAnsi="Times New Roman" w:cs="Times New Roman"/>
          <w:sz w:val="24"/>
          <w:szCs w:val="24"/>
        </w:rPr>
        <w:t xml:space="preserve">“. Отчетени </w:t>
      </w:r>
      <w:r w:rsidR="0061415E" w:rsidRPr="007404FA">
        <w:rPr>
          <w:rFonts w:ascii="Times New Roman" w:eastAsia="Times New Roman" w:hAnsi="Times New Roman" w:cs="Times New Roman"/>
          <w:sz w:val="24"/>
          <w:szCs w:val="24"/>
        </w:rPr>
        <w:t>са</w:t>
      </w:r>
      <w:r w:rsidRPr="007404FA">
        <w:rPr>
          <w:rFonts w:ascii="Times New Roman" w:eastAsia="Times New Roman" w:hAnsi="Times New Roman" w:cs="Times New Roman"/>
          <w:sz w:val="24"/>
          <w:szCs w:val="24"/>
        </w:rPr>
        <w:t xml:space="preserve"> проблемните области и слабите моменти в изпълнението, които почти изцяло са в резултат на недостатъчната </w:t>
      </w:r>
      <w:r w:rsidR="001E6F49" w:rsidRPr="007404FA">
        <w:rPr>
          <w:rFonts w:ascii="Times New Roman" w:eastAsia="Times New Roman" w:hAnsi="Times New Roman" w:cs="Times New Roman"/>
          <w:sz w:val="24"/>
          <w:szCs w:val="24"/>
        </w:rPr>
        <w:t>ресурсна</w:t>
      </w:r>
      <w:r w:rsidR="00677932">
        <w:rPr>
          <w:rFonts w:ascii="Times New Roman" w:eastAsia="Times New Roman" w:hAnsi="Times New Roman" w:cs="Times New Roman"/>
          <w:sz w:val="24"/>
          <w:szCs w:val="24"/>
        </w:rPr>
        <w:t xml:space="preserve"> обезпеченост на К</w:t>
      </w:r>
      <w:r w:rsidRPr="007404FA">
        <w:rPr>
          <w:rFonts w:ascii="Times New Roman" w:eastAsia="Times New Roman" w:hAnsi="Times New Roman" w:cs="Times New Roman"/>
          <w:sz w:val="24"/>
          <w:szCs w:val="24"/>
        </w:rPr>
        <w:t xml:space="preserve">омисията и голямото текучество </w:t>
      </w:r>
      <w:r w:rsidR="001E6F49" w:rsidRPr="007404FA">
        <w:rPr>
          <w:rFonts w:ascii="Times New Roman" w:eastAsia="Times New Roman" w:hAnsi="Times New Roman" w:cs="Times New Roman"/>
          <w:sz w:val="24"/>
          <w:szCs w:val="24"/>
        </w:rPr>
        <w:t>на кадри</w:t>
      </w:r>
      <w:r w:rsidRPr="007404FA">
        <w:rPr>
          <w:rFonts w:ascii="Times New Roman" w:eastAsia="Times New Roman" w:hAnsi="Times New Roman" w:cs="Times New Roman"/>
          <w:sz w:val="24"/>
          <w:szCs w:val="24"/>
        </w:rPr>
        <w:t xml:space="preserve">, привлечени </w:t>
      </w:r>
      <w:r w:rsidR="004A4468" w:rsidRPr="007404FA">
        <w:rPr>
          <w:rFonts w:ascii="Times New Roman" w:eastAsia="Times New Roman" w:hAnsi="Times New Roman" w:cs="Times New Roman"/>
          <w:sz w:val="24"/>
          <w:szCs w:val="24"/>
        </w:rPr>
        <w:t>от</w:t>
      </w:r>
      <w:r w:rsidRPr="007404FA">
        <w:rPr>
          <w:rFonts w:ascii="Times New Roman" w:eastAsia="Times New Roman" w:hAnsi="Times New Roman" w:cs="Times New Roman"/>
          <w:sz w:val="24"/>
          <w:szCs w:val="24"/>
        </w:rPr>
        <w:t xml:space="preserve"> по-добри финансови </w:t>
      </w:r>
      <w:r w:rsidR="004A4468" w:rsidRPr="007404FA">
        <w:rPr>
          <w:rFonts w:ascii="Times New Roman" w:eastAsia="Times New Roman" w:hAnsi="Times New Roman" w:cs="Times New Roman"/>
          <w:sz w:val="24"/>
          <w:szCs w:val="24"/>
        </w:rPr>
        <w:t>възможности в частния и публичния сектор</w:t>
      </w:r>
      <w:r w:rsidRPr="007404FA">
        <w:rPr>
          <w:rFonts w:ascii="Times New Roman" w:eastAsia="Times New Roman" w:hAnsi="Times New Roman" w:cs="Times New Roman"/>
          <w:sz w:val="24"/>
          <w:szCs w:val="24"/>
        </w:rPr>
        <w:t xml:space="preserve">. </w:t>
      </w:r>
    </w:p>
    <w:p w:rsidR="008702B9" w:rsidRPr="007404FA" w:rsidRDefault="008702B9" w:rsidP="00DB6B05">
      <w:pPr>
        <w:spacing w:line="360" w:lineRule="auto"/>
        <w:ind w:firstLine="709"/>
        <w:contextualSpacing/>
        <w:jc w:val="both"/>
        <w:rPr>
          <w:rFonts w:ascii="Times New Roman" w:eastAsia="Times New Roman" w:hAnsi="Times New Roman" w:cs="Times New Roman"/>
          <w:b/>
          <w:sz w:val="24"/>
          <w:szCs w:val="24"/>
          <w:u w:val="single"/>
        </w:rPr>
      </w:pPr>
      <w:r w:rsidRPr="007404FA">
        <w:rPr>
          <w:rFonts w:ascii="Times New Roman" w:eastAsia="Times New Roman" w:hAnsi="Times New Roman" w:cs="Times New Roman"/>
          <w:sz w:val="24"/>
          <w:szCs w:val="24"/>
        </w:rPr>
        <w:t xml:space="preserve">В </w:t>
      </w:r>
      <w:r w:rsidR="00814C81" w:rsidRPr="007404FA">
        <w:rPr>
          <w:rFonts w:ascii="Times New Roman" w:eastAsia="Times New Roman" w:hAnsi="Times New Roman" w:cs="Times New Roman"/>
          <w:sz w:val="24"/>
          <w:szCs w:val="24"/>
        </w:rPr>
        <w:t xml:space="preserve">проекта на </w:t>
      </w:r>
      <w:r w:rsidRPr="007404FA">
        <w:rPr>
          <w:rFonts w:ascii="Times New Roman" w:eastAsia="Times New Roman" w:hAnsi="Times New Roman" w:cs="Times New Roman"/>
          <w:sz w:val="24"/>
          <w:szCs w:val="24"/>
        </w:rPr>
        <w:t>нова „Стратегия на КЗЛД</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Хоризонт 2028“</w:t>
      </w:r>
      <w:r w:rsidR="00814C81" w:rsidRPr="007404FA">
        <w:rPr>
          <w:rFonts w:ascii="Times New Roman" w:eastAsia="Times New Roman" w:hAnsi="Times New Roman" w:cs="Times New Roman"/>
          <w:sz w:val="24"/>
          <w:szCs w:val="24"/>
        </w:rPr>
        <w:t>, разработен в края на отчетния период,</w:t>
      </w:r>
      <w:r w:rsidRPr="007404FA">
        <w:rPr>
          <w:rFonts w:ascii="Times New Roman" w:eastAsia="Times New Roman" w:hAnsi="Times New Roman" w:cs="Times New Roman"/>
          <w:sz w:val="24"/>
          <w:szCs w:val="24"/>
        </w:rPr>
        <w:t xml:space="preserve"> са залегнали възможностите за по-нататъшно устойчиво развитие на практиката на Комисията и са отчетени съвременните заплахи, свързани с новите технологии при обработката и защитата на личните данни. Новата стратегия </w:t>
      </w:r>
      <w:r w:rsidR="00BC548C" w:rsidRPr="007404FA">
        <w:rPr>
          <w:rFonts w:ascii="Times New Roman" w:eastAsia="Times New Roman" w:hAnsi="Times New Roman" w:cs="Times New Roman"/>
          <w:sz w:val="24"/>
          <w:szCs w:val="24"/>
        </w:rPr>
        <w:t>отчита в цялост</w:t>
      </w:r>
      <w:r w:rsidRPr="007404FA">
        <w:rPr>
          <w:rFonts w:ascii="Times New Roman" w:eastAsia="Times New Roman" w:hAnsi="Times New Roman" w:cs="Times New Roman"/>
          <w:sz w:val="24"/>
          <w:szCs w:val="24"/>
        </w:rPr>
        <w:t xml:space="preserve"> приоритетите, определени както в националните документи („Националната програма за развитие България 2030“, „Цифрова трансформа</w:t>
      </w:r>
      <w:r w:rsidR="00677932">
        <w:rPr>
          <w:rFonts w:ascii="Times New Roman" w:eastAsia="Times New Roman" w:hAnsi="Times New Roman" w:cs="Times New Roman"/>
          <w:sz w:val="24"/>
          <w:szCs w:val="24"/>
        </w:rPr>
        <w:t xml:space="preserve">ция на България за периода 2020 – </w:t>
      </w:r>
      <w:r w:rsidRPr="007404FA">
        <w:rPr>
          <w:rFonts w:ascii="Times New Roman" w:eastAsia="Times New Roman" w:hAnsi="Times New Roman" w:cs="Times New Roman"/>
          <w:sz w:val="24"/>
          <w:szCs w:val="24"/>
        </w:rPr>
        <w:t>2030</w:t>
      </w:r>
      <w:r w:rsidR="00F06583" w:rsidRPr="007404FA">
        <w:rPr>
          <w:rFonts w:ascii="Times New Roman" w:eastAsia="Times New Roman" w:hAnsi="Times New Roman" w:cs="Times New Roman"/>
          <w:sz w:val="24"/>
          <w:szCs w:val="24"/>
        </w:rPr>
        <w:t> г.</w:t>
      </w:r>
      <w:r w:rsidRPr="007404FA">
        <w:rPr>
          <w:rFonts w:ascii="Times New Roman" w:eastAsia="Times New Roman" w:hAnsi="Times New Roman" w:cs="Times New Roman"/>
          <w:sz w:val="24"/>
          <w:szCs w:val="24"/>
        </w:rPr>
        <w:t>“), така и в тези на Европейската комисия („Цифров компас до 2030</w:t>
      </w:r>
      <w:r w:rsidR="00677932">
        <w:rPr>
          <w:rFonts w:ascii="Times New Roman" w:eastAsia="Times New Roman" w:hAnsi="Times New Roman" w:cs="Times New Roman"/>
          <w:sz w:val="24"/>
          <w:szCs w:val="24"/>
        </w:rPr>
        <w:t xml:space="preserve"> г.</w:t>
      </w:r>
      <w:r w:rsidRPr="007404FA">
        <w:rPr>
          <w:rFonts w:ascii="Times New Roman" w:eastAsia="Times New Roman" w:hAnsi="Times New Roman" w:cs="Times New Roman"/>
          <w:sz w:val="24"/>
          <w:szCs w:val="24"/>
        </w:rPr>
        <w:t>: Европейският път за цифровото десетилетие“, „Европейска декларация относно цифровите права и принци</w:t>
      </w:r>
      <w:r w:rsidR="0056260A" w:rsidRPr="007404FA">
        <w:rPr>
          <w:rFonts w:ascii="Times New Roman" w:eastAsia="Times New Roman" w:hAnsi="Times New Roman" w:cs="Times New Roman"/>
          <w:sz w:val="24"/>
          <w:szCs w:val="24"/>
        </w:rPr>
        <w:t xml:space="preserve">пи за цифровото десетилетие“). </w:t>
      </w:r>
      <w:r w:rsidRPr="007404FA">
        <w:rPr>
          <w:rFonts w:ascii="Times New Roman" w:eastAsia="Times New Roman" w:hAnsi="Times New Roman" w:cs="Times New Roman"/>
          <w:sz w:val="24"/>
          <w:szCs w:val="24"/>
        </w:rPr>
        <w:t>„</w:t>
      </w:r>
      <w:r w:rsidR="000D12CD" w:rsidRPr="007404FA">
        <w:rPr>
          <w:rFonts w:ascii="Times New Roman" w:eastAsia="Times New Roman" w:hAnsi="Times New Roman" w:cs="Times New Roman"/>
          <w:sz w:val="24"/>
          <w:szCs w:val="24"/>
        </w:rPr>
        <w:t>Стратегията на КЗЛД </w:t>
      </w:r>
      <w:r w:rsidR="00677932">
        <w:rPr>
          <w:rFonts w:ascii="Times New Roman" w:eastAsia="Times New Roman" w:hAnsi="Times New Roman" w:cs="Times New Roman"/>
          <w:sz w:val="24"/>
          <w:szCs w:val="24"/>
        </w:rPr>
        <w:t>–</w:t>
      </w:r>
      <w:r w:rsidR="000D12CD" w:rsidRPr="007404FA">
        <w:rPr>
          <w:rFonts w:ascii="Times New Roman" w:eastAsia="Times New Roman" w:hAnsi="Times New Roman" w:cs="Times New Roman"/>
          <w:sz w:val="24"/>
          <w:szCs w:val="24"/>
        </w:rPr>
        <w:t xml:space="preserve"> Хоризонт 2028</w:t>
      </w:r>
      <w:r w:rsidRPr="007404FA">
        <w:rPr>
          <w:rFonts w:ascii="Times New Roman" w:eastAsia="Times New Roman" w:hAnsi="Times New Roman" w:cs="Times New Roman"/>
          <w:sz w:val="24"/>
          <w:szCs w:val="24"/>
        </w:rPr>
        <w:t xml:space="preserve">“ предстои да бъде окончателно </w:t>
      </w:r>
      <w:r w:rsidR="0056260A" w:rsidRPr="007404FA">
        <w:rPr>
          <w:rFonts w:ascii="Times New Roman" w:eastAsia="Times New Roman" w:hAnsi="Times New Roman" w:cs="Times New Roman"/>
          <w:sz w:val="24"/>
          <w:szCs w:val="24"/>
        </w:rPr>
        <w:t>приета</w:t>
      </w:r>
      <w:r w:rsidR="00677932">
        <w:rPr>
          <w:rFonts w:ascii="Times New Roman" w:eastAsia="Times New Roman" w:hAnsi="Times New Roman" w:cs="Times New Roman"/>
          <w:sz w:val="24"/>
          <w:szCs w:val="24"/>
        </w:rPr>
        <w:t xml:space="preserve"> от К</w:t>
      </w:r>
      <w:r w:rsidRPr="007404FA">
        <w:rPr>
          <w:rFonts w:ascii="Times New Roman" w:eastAsia="Times New Roman" w:hAnsi="Times New Roman" w:cs="Times New Roman"/>
          <w:sz w:val="24"/>
          <w:szCs w:val="24"/>
        </w:rPr>
        <w:t>омисията</w:t>
      </w:r>
      <w:r w:rsidR="00A41A27" w:rsidRPr="007404FA">
        <w:rPr>
          <w:rFonts w:ascii="Times New Roman" w:eastAsia="Times New Roman" w:hAnsi="Times New Roman" w:cs="Times New Roman"/>
          <w:sz w:val="24"/>
          <w:szCs w:val="24"/>
        </w:rPr>
        <w:t xml:space="preserve"> през следващия отчетен период</w:t>
      </w:r>
      <w:r w:rsidR="0056260A" w:rsidRPr="007404FA">
        <w:rPr>
          <w:rFonts w:ascii="Times New Roman" w:eastAsia="Times New Roman" w:hAnsi="Times New Roman" w:cs="Times New Roman"/>
          <w:sz w:val="24"/>
          <w:szCs w:val="24"/>
        </w:rPr>
        <w:t xml:space="preserve"> с цел отчитане и на възникналите в началото на 2023</w:t>
      </w:r>
      <w:r w:rsidR="00F06583" w:rsidRPr="007404FA">
        <w:rPr>
          <w:rFonts w:ascii="Times New Roman" w:eastAsia="Times New Roman" w:hAnsi="Times New Roman" w:cs="Times New Roman"/>
          <w:sz w:val="24"/>
          <w:szCs w:val="24"/>
        </w:rPr>
        <w:t> г.</w:t>
      </w:r>
      <w:r w:rsidR="0056260A" w:rsidRPr="007404FA">
        <w:rPr>
          <w:rFonts w:ascii="Times New Roman" w:eastAsia="Times New Roman" w:hAnsi="Times New Roman" w:cs="Times New Roman"/>
          <w:sz w:val="24"/>
          <w:szCs w:val="24"/>
        </w:rPr>
        <w:t xml:space="preserve"> отговорности на Комисията по Закона</w:t>
      </w:r>
      <w:r w:rsidR="005332D4" w:rsidRPr="007404FA">
        <w:rPr>
          <w:rFonts w:ascii="Times New Roman" w:eastAsia="Times New Roman" w:hAnsi="Times New Roman" w:cs="Times New Roman"/>
          <w:sz w:val="24"/>
          <w:szCs w:val="24"/>
        </w:rPr>
        <w:t xml:space="preserve"> за защита на лицата, подаващи сигнали или публично оповестяващи информация за нарушения </w:t>
      </w:r>
      <w:r w:rsidR="00B85223" w:rsidRPr="007404FA">
        <w:rPr>
          <w:rFonts w:ascii="Times New Roman" w:eastAsia="Times New Roman" w:hAnsi="Times New Roman" w:cs="Times New Roman"/>
          <w:sz w:val="24"/>
          <w:szCs w:val="24"/>
        </w:rPr>
        <w:t xml:space="preserve">(ЗЗЛПСОПИН) </w:t>
      </w:r>
      <w:r w:rsidR="005332D4" w:rsidRPr="007404FA">
        <w:rPr>
          <w:rFonts w:ascii="Times New Roman" w:eastAsia="Times New Roman" w:hAnsi="Times New Roman" w:cs="Times New Roman"/>
          <w:sz w:val="24"/>
          <w:szCs w:val="24"/>
        </w:rPr>
        <w:t>(обн. ДВ,</w:t>
      </w:r>
      <w:r w:rsidR="00D1189D" w:rsidRPr="007404FA">
        <w:rPr>
          <w:rFonts w:ascii="Times New Roman" w:eastAsia="Times New Roman" w:hAnsi="Times New Roman" w:cs="Times New Roman"/>
          <w:sz w:val="24"/>
          <w:szCs w:val="24"/>
        </w:rPr>
        <w:t> бр.</w:t>
      </w:r>
      <w:r w:rsidR="005332D4" w:rsidRPr="007404FA">
        <w:rPr>
          <w:rFonts w:ascii="Times New Roman" w:eastAsia="Times New Roman" w:hAnsi="Times New Roman" w:cs="Times New Roman"/>
          <w:sz w:val="24"/>
          <w:szCs w:val="24"/>
        </w:rPr>
        <w:t xml:space="preserve"> 11/2023</w:t>
      </w:r>
      <w:r w:rsidR="00F06583" w:rsidRPr="007404FA">
        <w:rPr>
          <w:rFonts w:ascii="Times New Roman" w:eastAsia="Times New Roman" w:hAnsi="Times New Roman" w:cs="Times New Roman"/>
          <w:sz w:val="24"/>
          <w:szCs w:val="24"/>
        </w:rPr>
        <w:t> г.</w:t>
      </w:r>
      <w:r w:rsidR="005332D4" w:rsidRPr="007404FA">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xml:space="preserve">. </w:t>
      </w:r>
    </w:p>
    <w:p w:rsidR="00E42714" w:rsidRPr="007404FA" w:rsidRDefault="00E42714" w:rsidP="00DB6B05">
      <w:pPr>
        <w:spacing w:line="360" w:lineRule="auto"/>
        <w:ind w:firstLine="709"/>
        <w:jc w:val="both"/>
        <w:rPr>
          <w:rFonts w:ascii="Times New Roman" w:hAnsi="Times New Roman" w:cs="Times New Roman"/>
          <w:b/>
          <w:sz w:val="24"/>
          <w:szCs w:val="24"/>
        </w:rPr>
      </w:pPr>
    </w:p>
    <w:p w:rsidR="00E42714" w:rsidRPr="007404FA" w:rsidRDefault="00E42714" w:rsidP="00DB6B05">
      <w:pPr>
        <w:spacing w:line="360" w:lineRule="auto"/>
        <w:ind w:firstLine="709"/>
        <w:contextualSpacing/>
        <w:jc w:val="both"/>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lastRenderedPageBreak/>
        <w:t>3. Финализиране на подзаконовата правна уредба в областта на защитата на личните данни и изпълнение на правомощия, произтичащи от националното законодателство.</w:t>
      </w:r>
    </w:p>
    <w:p w:rsidR="00A81F05" w:rsidRPr="007404FA" w:rsidRDefault="006D768D"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В началото на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w:t>
      </w:r>
      <w:r w:rsidR="00E42714" w:rsidRPr="007404FA">
        <w:rPr>
          <w:rFonts w:ascii="Times New Roman" w:hAnsi="Times New Roman" w:cs="Times New Roman"/>
          <w:sz w:val="24"/>
          <w:szCs w:val="24"/>
        </w:rPr>
        <w:t>в съответствие с посочения в</w:t>
      </w:r>
      <w:r w:rsidR="00F06583" w:rsidRPr="007404FA">
        <w:rPr>
          <w:rFonts w:ascii="Times New Roman" w:hAnsi="Times New Roman" w:cs="Times New Roman"/>
          <w:sz w:val="24"/>
          <w:szCs w:val="24"/>
        </w:rPr>
        <w:t xml:space="preserve"> чл. </w:t>
      </w:r>
      <w:r w:rsidR="00E42714" w:rsidRPr="007404FA">
        <w:rPr>
          <w:rFonts w:ascii="Times New Roman" w:hAnsi="Times New Roman" w:cs="Times New Roman"/>
          <w:sz w:val="24"/>
          <w:szCs w:val="24"/>
        </w:rPr>
        <w:t xml:space="preserve">63 от </w:t>
      </w:r>
      <w:r w:rsidR="003E373B" w:rsidRPr="007404FA">
        <w:rPr>
          <w:rFonts w:ascii="Times New Roman" w:hAnsi="Times New Roman" w:cs="Times New Roman"/>
          <w:sz w:val="24"/>
          <w:szCs w:val="24"/>
        </w:rPr>
        <w:t>ОРЗД</w:t>
      </w:r>
      <w:r w:rsidR="00E42714" w:rsidRPr="007404FA">
        <w:rPr>
          <w:rFonts w:ascii="Times New Roman" w:hAnsi="Times New Roman" w:cs="Times New Roman"/>
          <w:sz w:val="24"/>
          <w:szCs w:val="24"/>
        </w:rPr>
        <w:t xml:space="preserve"> механизъм за съгласуваност </w:t>
      </w:r>
      <w:r w:rsidR="00157B49" w:rsidRPr="007404FA">
        <w:rPr>
          <w:rFonts w:ascii="Times New Roman" w:hAnsi="Times New Roman" w:cs="Times New Roman"/>
          <w:sz w:val="24"/>
          <w:szCs w:val="24"/>
        </w:rPr>
        <w:t>проектоизискванията</w:t>
      </w:r>
      <w:r w:rsidR="00E42714" w:rsidRPr="007404FA">
        <w:rPr>
          <w:rFonts w:ascii="Times New Roman" w:hAnsi="Times New Roman" w:cs="Times New Roman"/>
          <w:sz w:val="24"/>
          <w:szCs w:val="24"/>
        </w:rPr>
        <w:t xml:space="preserve"> </w:t>
      </w:r>
      <w:r w:rsidR="007A49EB" w:rsidRPr="007404FA">
        <w:rPr>
          <w:rFonts w:ascii="Times New Roman" w:hAnsi="Times New Roman" w:cs="Times New Roman"/>
          <w:sz w:val="24"/>
          <w:szCs w:val="24"/>
        </w:rPr>
        <w:t xml:space="preserve">за </w:t>
      </w:r>
      <w:r w:rsidR="00E42714" w:rsidRPr="007404FA">
        <w:rPr>
          <w:rFonts w:ascii="Times New Roman" w:hAnsi="Times New Roman" w:cs="Times New Roman"/>
          <w:sz w:val="24"/>
          <w:szCs w:val="24"/>
        </w:rPr>
        <w:t>акредитация на органите за наблюдение на кодекси за поведение и проект</w:t>
      </w:r>
      <w:r w:rsidR="00157B49">
        <w:rPr>
          <w:rFonts w:ascii="Times New Roman" w:hAnsi="Times New Roman" w:cs="Times New Roman"/>
          <w:sz w:val="24"/>
          <w:szCs w:val="24"/>
        </w:rPr>
        <w:t>ът</w:t>
      </w:r>
      <w:r w:rsidR="00E42714" w:rsidRPr="007404FA">
        <w:rPr>
          <w:rFonts w:ascii="Times New Roman" w:hAnsi="Times New Roman" w:cs="Times New Roman"/>
          <w:sz w:val="24"/>
          <w:szCs w:val="24"/>
        </w:rPr>
        <w:t xml:space="preserve"> на критерии за акредитиране на сертифициращи органи </w:t>
      </w:r>
      <w:r w:rsidR="007A49EB" w:rsidRPr="007404FA">
        <w:rPr>
          <w:rFonts w:ascii="Times New Roman" w:hAnsi="Times New Roman" w:cs="Times New Roman"/>
          <w:sz w:val="24"/>
          <w:szCs w:val="24"/>
        </w:rPr>
        <w:t>са</w:t>
      </w:r>
      <w:r w:rsidR="00E42714" w:rsidRPr="007404FA">
        <w:rPr>
          <w:rFonts w:ascii="Times New Roman" w:hAnsi="Times New Roman" w:cs="Times New Roman"/>
          <w:sz w:val="24"/>
          <w:szCs w:val="24"/>
        </w:rPr>
        <w:t xml:space="preserve"> представени на Е</w:t>
      </w:r>
      <w:r w:rsidR="007A49EB" w:rsidRPr="007404FA">
        <w:rPr>
          <w:rFonts w:ascii="Times New Roman" w:hAnsi="Times New Roman" w:cs="Times New Roman"/>
          <w:sz w:val="24"/>
          <w:szCs w:val="24"/>
        </w:rPr>
        <w:t>вропейския комитет по защита на данните</w:t>
      </w:r>
      <w:r w:rsidR="00E42714" w:rsidRPr="007404FA">
        <w:rPr>
          <w:rFonts w:ascii="Times New Roman" w:hAnsi="Times New Roman" w:cs="Times New Roman"/>
          <w:sz w:val="24"/>
          <w:szCs w:val="24"/>
        </w:rPr>
        <w:t xml:space="preserve"> за становище</w:t>
      </w:r>
      <w:r w:rsidR="00B30E56" w:rsidRPr="007404FA">
        <w:rPr>
          <w:rFonts w:ascii="Times New Roman" w:hAnsi="Times New Roman" w:cs="Times New Roman"/>
          <w:sz w:val="24"/>
          <w:szCs w:val="24"/>
        </w:rPr>
        <w:t xml:space="preserve"> (ЕКЗД)</w:t>
      </w:r>
      <w:r w:rsidR="00E42714" w:rsidRPr="007404FA">
        <w:rPr>
          <w:rFonts w:ascii="Times New Roman" w:hAnsi="Times New Roman" w:cs="Times New Roman"/>
          <w:sz w:val="24"/>
          <w:szCs w:val="24"/>
        </w:rPr>
        <w:t xml:space="preserve">. </w:t>
      </w:r>
      <w:r w:rsidR="00157B49">
        <w:rPr>
          <w:rFonts w:ascii="Times New Roman" w:hAnsi="Times New Roman" w:cs="Times New Roman"/>
          <w:sz w:val="24"/>
          <w:szCs w:val="24"/>
        </w:rPr>
        <w:t xml:space="preserve">През </w:t>
      </w:r>
      <w:r w:rsidR="00CB47A5" w:rsidRPr="007404FA">
        <w:rPr>
          <w:rFonts w:ascii="Times New Roman" w:hAnsi="Times New Roman" w:cs="Times New Roman"/>
          <w:sz w:val="24"/>
          <w:szCs w:val="24"/>
        </w:rPr>
        <w:t>юли 2022</w:t>
      </w:r>
      <w:r w:rsidR="00F06583" w:rsidRPr="007404FA">
        <w:rPr>
          <w:rFonts w:ascii="Times New Roman" w:hAnsi="Times New Roman" w:cs="Times New Roman"/>
          <w:sz w:val="24"/>
          <w:szCs w:val="24"/>
        </w:rPr>
        <w:t> г.</w:t>
      </w:r>
      <w:r w:rsidR="00CB47A5" w:rsidRPr="007404FA">
        <w:rPr>
          <w:rFonts w:ascii="Times New Roman" w:hAnsi="Times New Roman" w:cs="Times New Roman"/>
          <w:sz w:val="24"/>
          <w:szCs w:val="24"/>
        </w:rPr>
        <w:t xml:space="preserve"> КЗЛД е отразила бележките и коментарите на Комитета в окончателната редакция на проектоизискванията</w:t>
      </w:r>
      <w:r w:rsidR="006C5188" w:rsidRPr="007404FA">
        <w:rPr>
          <w:rFonts w:ascii="Times New Roman" w:hAnsi="Times New Roman" w:cs="Times New Roman"/>
          <w:sz w:val="24"/>
          <w:szCs w:val="24"/>
        </w:rPr>
        <w:t xml:space="preserve"> и </w:t>
      </w:r>
      <w:r w:rsidR="00976124" w:rsidRPr="007404FA">
        <w:rPr>
          <w:rFonts w:ascii="Times New Roman" w:hAnsi="Times New Roman" w:cs="Times New Roman"/>
          <w:sz w:val="24"/>
          <w:szCs w:val="24"/>
        </w:rPr>
        <w:t xml:space="preserve">на </w:t>
      </w:r>
      <w:r w:rsidR="006C5188" w:rsidRPr="007404FA">
        <w:rPr>
          <w:rFonts w:ascii="Times New Roman" w:hAnsi="Times New Roman" w:cs="Times New Roman"/>
          <w:sz w:val="24"/>
          <w:szCs w:val="24"/>
        </w:rPr>
        <w:t>проекта на критерии</w:t>
      </w:r>
      <w:r w:rsidR="00CB47A5" w:rsidRPr="007404FA">
        <w:rPr>
          <w:rFonts w:ascii="Times New Roman" w:hAnsi="Times New Roman" w:cs="Times New Roman"/>
          <w:sz w:val="24"/>
          <w:szCs w:val="24"/>
        </w:rPr>
        <w:t xml:space="preserve"> и е комуникирала окончателния вариант </w:t>
      </w:r>
      <w:r w:rsidR="00976124" w:rsidRPr="007404FA">
        <w:rPr>
          <w:rFonts w:ascii="Times New Roman" w:hAnsi="Times New Roman" w:cs="Times New Roman"/>
          <w:sz w:val="24"/>
          <w:szCs w:val="24"/>
        </w:rPr>
        <w:t xml:space="preserve">на тези </w:t>
      </w:r>
      <w:r w:rsidR="006C5188" w:rsidRPr="007404FA">
        <w:rPr>
          <w:rFonts w:ascii="Times New Roman" w:hAnsi="Times New Roman" w:cs="Times New Roman"/>
          <w:sz w:val="24"/>
          <w:szCs w:val="24"/>
        </w:rPr>
        <w:t>документи</w:t>
      </w:r>
      <w:r w:rsidR="00CB47A5" w:rsidRPr="007404FA">
        <w:rPr>
          <w:rFonts w:ascii="Times New Roman" w:hAnsi="Times New Roman" w:cs="Times New Roman"/>
          <w:sz w:val="24"/>
          <w:szCs w:val="24"/>
        </w:rPr>
        <w:t xml:space="preserve"> с цел постановяване на окончателно решение на ЕКЗД. </w:t>
      </w:r>
      <w:r w:rsidR="00EE0D2F" w:rsidRPr="007404FA">
        <w:rPr>
          <w:rFonts w:ascii="Times New Roman" w:hAnsi="Times New Roman" w:cs="Times New Roman"/>
          <w:sz w:val="24"/>
          <w:szCs w:val="24"/>
        </w:rPr>
        <w:t>Н</w:t>
      </w:r>
      <w:r w:rsidR="006C5188" w:rsidRPr="007404FA">
        <w:rPr>
          <w:rFonts w:ascii="Times New Roman" w:hAnsi="Times New Roman" w:cs="Times New Roman"/>
          <w:sz w:val="24"/>
          <w:szCs w:val="24"/>
        </w:rPr>
        <w:t xml:space="preserve">аличието на </w:t>
      </w:r>
      <w:r w:rsidR="00EE0D2F" w:rsidRPr="007404FA">
        <w:rPr>
          <w:rFonts w:ascii="Times New Roman" w:hAnsi="Times New Roman" w:cs="Times New Roman"/>
          <w:sz w:val="24"/>
          <w:szCs w:val="24"/>
        </w:rPr>
        <w:t xml:space="preserve">такова </w:t>
      </w:r>
      <w:r w:rsidR="006C5188" w:rsidRPr="007404FA">
        <w:rPr>
          <w:rFonts w:ascii="Times New Roman" w:hAnsi="Times New Roman" w:cs="Times New Roman"/>
          <w:sz w:val="24"/>
          <w:szCs w:val="24"/>
        </w:rPr>
        <w:t>р</w:t>
      </w:r>
      <w:r w:rsidR="00CB47A5" w:rsidRPr="007404FA">
        <w:rPr>
          <w:rFonts w:ascii="Times New Roman" w:hAnsi="Times New Roman" w:cs="Times New Roman"/>
          <w:sz w:val="24"/>
          <w:szCs w:val="24"/>
        </w:rPr>
        <w:t xml:space="preserve">ешение на Комитета е задължителна предпоставка за </w:t>
      </w:r>
      <w:r w:rsidR="00E24A2A" w:rsidRPr="007404FA">
        <w:rPr>
          <w:rFonts w:ascii="Times New Roman" w:hAnsi="Times New Roman" w:cs="Times New Roman"/>
          <w:sz w:val="24"/>
          <w:szCs w:val="24"/>
        </w:rPr>
        <w:t>приемане на</w:t>
      </w:r>
      <w:r w:rsidR="00CB47A5" w:rsidRPr="007404FA">
        <w:rPr>
          <w:rFonts w:ascii="Times New Roman" w:hAnsi="Times New Roman" w:cs="Times New Roman"/>
          <w:sz w:val="24"/>
          <w:szCs w:val="24"/>
        </w:rPr>
        <w:t xml:space="preserve"> подзаконовата уредба на национално ниво. В този смисъл п</w:t>
      </w:r>
      <w:r w:rsidR="00E02DAD" w:rsidRPr="007404FA">
        <w:rPr>
          <w:rFonts w:ascii="Times New Roman" w:hAnsi="Times New Roman" w:cs="Times New Roman"/>
          <w:sz w:val="24"/>
          <w:szCs w:val="24"/>
        </w:rPr>
        <w:t>рез 2023</w:t>
      </w:r>
      <w:r w:rsidR="00F06583" w:rsidRPr="007404FA">
        <w:rPr>
          <w:rFonts w:ascii="Times New Roman" w:hAnsi="Times New Roman" w:cs="Times New Roman"/>
          <w:sz w:val="24"/>
          <w:szCs w:val="24"/>
        </w:rPr>
        <w:t> г.</w:t>
      </w:r>
      <w:r w:rsidR="00E02DAD" w:rsidRPr="007404FA">
        <w:rPr>
          <w:rFonts w:ascii="Times New Roman" w:hAnsi="Times New Roman" w:cs="Times New Roman"/>
          <w:sz w:val="24"/>
          <w:szCs w:val="24"/>
        </w:rPr>
        <w:t xml:space="preserve"> се о</w:t>
      </w:r>
      <w:r w:rsidR="00E42714" w:rsidRPr="007404FA">
        <w:rPr>
          <w:rFonts w:ascii="Times New Roman" w:hAnsi="Times New Roman" w:cs="Times New Roman"/>
          <w:sz w:val="24"/>
          <w:szCs w:val="24"/>
        </w:rPr>
        <w:t xml:space="preserve">чаква </w:t>
      </w:r>
      <w:r w:rsidR="00CB47A5" w:rsidRPr="007404FA">
        <w:rPr>
          <w:rFonts w:ascii="Times New Roman" w:hAnsi="Times New Roman" w:cs="Times New Roman"/>
          <w:sz w:val="24"/>
          <w:szCs w:val="24"/>
        </w:rPr>
        <w:t>работата по</w:t>
      </w:r>
      <w:r w:rsidR="00E42714" w:rsidRPr="007404FA">
        <w:rPr>
          <w:rFonts w:ascii="Times New Roman" w:hAnsi="Times New Roman" w:cs="Times New Roman"/>
          <w:sz w:val="24"/>
          <w:szCs w:val="24"/>
        </w:rPr>
        <w:t xml:space="preserve"> наредб</w:t>
      </w:r>
      <w:r w:rsidR="00442CA6" w:rsidRPr="007404FA">
        <w:rPr>
          <w:rFonts w:ascii="Times New Roman" w:hAnsi="Times New Roman" w:cs="Times New Roman"/>
          <w:sz w:val="24"/>
          <w:szCs w:val="24"/>
        </w:rPr>
        <w:t>и</w:t>
      </w:r>
      <w:r w:rsidR="003A62E6" w:rsidRPr="007404FA">
        <w:rPr>
          <w:rFonts w:ascii="Times New Roman" w:hAnsi="Times New Roman" w:cs="Times New Roman"/>
          <w:sz w:val="24"/>
          <w:szCs w:val="24"/>
        </w:rPr>
        <w:t>те</w:t>
      </w:r>
      <w:r w:rsidR="00E42714" w:rsidRPr="007404FA">
        <w:rPr>
          <w:rFonts w:ascii="Times New Roman" w:hAnsi="Times New Roman" w:cs="Times New Roman"/>
          <w:sz w:val="24"/>
          <w:szCs w:val="24"/>
        </w:rPr>
        <w:t xml:space="preserve"> по</w:t>
      </w:r>
      <w:r w:rsidR="00F06583" w:rsidRPr="007404FA">
        <w:rPr>
          <w:rFonts w:ascii="Times New Roman" w:hAnsi="Times New Roman" w:cs="Times New Roman"/>
          <w:sz w:val="24"/>
          <w:szCs w:val="24"/>
        </w:rPr>
        <w:t xml:space="preserve"> чл. </w:t>
      </w:r>
      <w:r w:rsidR="00E42714" w:rsidRPr="007404FA">
        <w:rPr>
          <w:rFonts w:ascii="Times New Roman" w:hAnsi="Times New Roman" w:cs="Times New Roman"/>
          <w:sz w:val="24"/>
          <w:szCs w:val="24"/>
        </w:rPr>
        <w:t>14,</w:t>
      </w:r>
      <w:r w:rsidR="00F06583" w:rsidRPr="007404FA">
        <w:rPr>
          <w:rFonts w:ascii="Times New Roman" w:hAnsi="Times New Roman" w:cs="Times New Roman"/>
          <w:sz w:val="24"/>
          <w:szCs w:val="24"/>
        </w:rPr>
        <w:t xml:space="preserve"> ал. </w:t>
      </w:r>
      <w:r w:rsidR="00E42714" w:rsidRPr="007404FA">
        <w:rPr>
          <w:rFonts w:ascii="Times New Roman" w:hAnsi="Times New Roman" w:cs="Times New Roman"/>
          <w:sz w:val="24"/>
          <w:szCs w:val="24"/>
        </w:rPr>
        <w:t>5 и</w:t>
      </w:r>
      <w:r w:rsidR="00F06583" w:rsidRPr="007404FA">
        <w:rPr>
          <w:rFonts w:ascii="Times New Roman" w:hAnsi="Times New Roman" w:cs="Times New Roman"/>
          <w:sz w:val="24"/>
          <w:szCs w:val="24"/>
        </w:rPr>
        <w:t xml:space="preserve"> чл. </w:t>
      </w:r>
      <w:r w:rsidR="00E42714" w:rsidRPr="007404FA">
        <w:rPr>
          <w:rFonts w:ascii="Times New Roman" w:hAnsi="Times New Roman" w:cs="Times New Roman"/>
          <w:sz w:val="24"/>
          <w:szCs w:val="24"/>
        </w:rPr>
        <w:t>14а,</w:t>
      </w:r>
      <w:r w:rsidR="00F06583" w:rsidRPr="007404FA">
        <w:rPr>
          <w:rFonts w:ascii="Times New Roman" w:hAnsi="Times New Roman" w:cs="Times New Roman"/>
          <w:sz w:val="24"/>
          <w:szCs w:val="24"/>
        </w:rPr>
        <w:t xml:space="preserve"> ал. </w:t>
      </w:r>
      <w:r w:rsidR="00E42714" w:rsidRPr="007404FA">
        <w:rPr>
          <w:rFonts w:ascii="Times New Roman" w:hAnsi="Times New Roman" w:cs="Times New Roman"/>
          <w:sz w:val="24"/>
          <w:szCs w:val="24"/>
        </w:rPr>
        <w:t xml:space="preserve">3 от ЗЗЛД, които следва да уредят процедурите по </w:t>
      </w:r>
      <w:r w:rsidR="00CB47A5" w:rsidRPr="007404FA">
        <w:rPr>
          <w:rFonts w:ascii="Times New Roman" w:hAnsi="Times New Roman" w:cs="Times New Roman"/>
          <w:sz w:val="24"/>
          <w:szCs w:val="24"/>
        </w:rPr>
        <w:t xml:space="preserve">акредитиране в национален план, да бъде финализирана. </w:t>
      </w:r>
    </w:p>
    <w:p w:rsidR="00A81F05" w:rsidRPr="007404FA" w:rsidRDefault="00A81F05"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Все още нереал</w:t>
      </w:r>
      <w:r w:rsidR="00157B49">
        <w:rPr>
          <w:rFonts w:ascii="Times New Roman" w:hAnsi="Times New Roman" w:cs="Times New Roman"/>
          <w:sz w:val="24"/>
          <w:szCs w:val="24"/>
        </w:rPr>
        <w:t>изирано остава правомощието на К</w:t>
      </w:r>
      <w:r w:rsidRPr="007404FA">
        <w:rPr>
          <w:rFonts w:ascii="Times New Roman" w:hAnsi="Times New Roman" w:cs="Times New Roman"/>
          <w:sz w:val="24"/>
          <w:szCs w:val="24"/>
        </w:rPr>
        <w:t xml:space="preserve">омисията за провеждане на сертифицирани обучения в изпълнение на чл. 16 от Закона за защита на личните данни. Въпреки силния интерес от страна на администратори и обработващи липсата на целево финансиране за изграждане на обучителен център на КЗЛД остава обективна пречка за изпълнението на този приоритет на Комисията и през изминалия отчетен период. Затова през декември 2022 г. КЗЛД решава да предприеме действия за засилено сътрудничество и партньорство с Института по публична администрация за провеждане на обучения в областта на защитата на личните данни. Подготовката и практическата реализация на тази инициатива остават за следващия отчетен период. </w:t>
      </w:r>
    </w:p>
    <w:p w:rsidR="00E42714" w:rsidRPr="007404FA" w:rsidRDefault="00E42714" w:rsidP="00DB6B05">
      <w:pPr>
        <w:spacing w:line="360" w:lineRule="auto"/>
        <w:ind w:firstLine="709"/>
        <w:jc w:val="both"/>
        <w:rPr>
          <w:rFonts w:ascii="Times New Roman" w:hAnsi="Times New Roman" w:cs="Times New Roman"/>
          <w:b/>
          <w:color w:val="FF0000"/>
          <w:sz w:val="24"/>
          <w:szCs w:val="24"/>
        </w:rPr>
      </w:pPr>
    </w:p>
    <w:p w:rsidR="00E42714" w:rsidRPr="007404FA" w:rsidRDefault="00E42714" w:rsidP="00DB6B05">
      <w:pPr>
        <w:spacing w:line="360" w:lineRule="auto"/>
        <w:ind w:firstLine="709"/>
        <w:jc w:val="both"/>
        <w:rPr>
          <w:rFonts w:ascii="Times New Roman" w:hAnsi="Times New Roman" w:cs="Times New Roman"/>
          <w:b/>
          <w:sz w:val="24"/>
          <w:szCs w:val="24"/>
        </w:rPr>
      </w:pPr>
      <w:r w:rsidRPr="007404FA">
        <w:rPr>
          <w:rFonts w:ascii="Times New Roman" w:hAnsi="Times New Roman" w:cs="Times New Roman"/>
          <w:b/>
          <w:sz w:val="24"/>
          <w:szCs w:val="24"/>
        </w:rPr>
        <w:t>4. Изводи от анализите на съвременните заплахи и предизвикателства.</w:t>
      </w:r>
    </w:p>
    <w:p w:rsidR="00583CF6" w:rsidRPr="007404FA" w:rsidRDefault="00C00358" w:rsidP="00DB6B05">
      <w:pPr>
        <w:spacing w:line="360" w:lineRule="auto"/>
        <w:ind w:firstLine="709"/>
        <w:jc w:val="both"/>
        <w:rPr>
          <w:rFonts w:ascii="Times New Roman" w:hAnsi="Times New Roman" w:cs="Times New Roman"/>
          <w:sz w:val="24"/>
          <w:szCs w:val="24"/>
          <w:shd w:val="clear" w:color="auto" w:fill="FFFFFF"/>
        </w:rPr>
      </w:pPr>
      <w:r w:rsidRPr="007404FA">
        <w:rPr>
          <w:rFonts w:ascii="Times New Roman" w:hAnsi="Times New Roman" w:cs="Times New Roman"/>
          <w:sz w:val="24"/>
          <w:szCs w:val="24"/>
        </w:rPr>
        <w:t>В продължение на инициатива</w:t>
      </w:r>
      <w:r w:rsidR="00157B49">
        <w:rPr>
          <w:rFonts w:ascii="Times New Roman" w:hAnsi="Times New Roman" w:cs="Times New Roman"/>
          <w:sz w:val="24"/>
          <w:szCs w:val="24"/>
        </w:rPr>
        <w:t>та от предходния отчетен период</w:t>
      </w:r>
      <w:r w:rsidRPr="007404FA">
        <w:rPr>
          <w:rFonts w:ascii="Times New Roman" w:hAnsi="Times New Roman" w:cs="Times New Roman"/>
          <w:sz w:val="24"/>
          <w:szCs w:val="24"/>
        </w:rPr>
        <w:t xml:space="preserve"> </w:t>
      </w:r>
      <w:r w:rsidR="00E60E63" w:rsidRPr="007404FA">
        <w:rPr>
          <w:rFonts w:ascii="Times New Roman" w:hAnsi="Times New Roman" w:cs="Times New Roman"/>
          <w:sz w:val="24"/>
          <w:szCs w:val="24"/>
        </w:rPr>
        <w:t>през 2022</w:t>
      </w:r>
      <w:r w:rsidR="00F06583" w:rsidRPr="007404FA">
        <w:rPr>
          <w:rFonts w:ascii="Times New Roman" w:hAnsi="Times New Roman" w:cs="Times New Roman"/>
          <w:sz w:val="24"/>
          <w:szCs w:val="24"/>
        </w:rPr>
        <w:t> г.</w:t>
      </w:r>
      <w:r w:rsidR="00E60E63" w:rsidRPr="007404FA">
        <w:rPr>
          <w:rFonts w:ascii="Times New Roman" w:hAnsi="Times New Roman" w:cs="Times New Roman"/>
          <w:sz w:val="24"/>
          <w:szCs w:val="24"/>
        </w:rPr>
        <w:t xml:space="preserve"> </w:t>
      </w:r>
      <w:r w:rsidRPr="007404FA">
        <w:rPr>
          <w:rFonts w:ascii="Times New Roman" w:hAnsi="Times New Roman" w:cs="Times New Roman"/>
          <w:sz w:val="24"/>
          <w:szCs w:val="24"/>
        </w:rPr>
        <w:t xml:space="preserve">КЗЛД следи </w:t>
      </w:r>
      <w:r w:rsidR="00E60E63" w:rsidRPr="007404FA">
        <w:rPr>
          <w:rFonts w:ascii="Times New Roman" w:hAnsi="Times New Roman" w:cs="Times New Roman"/>
          <w:sz w:val="24"/>
          <w:szCs w:val="24"/>
        </w:rPr>
        <w:t xml:space="preserve">отблизо </w:t>
      </w:r>
      <w:r w:rsidRPr="007404FA">
        <w:rPr>
          <w:rFonts w:ascii="Times New Roman" w:hAnsi="Times New Roman" w:cs="Times New Roman"/>
          <w:sz w:val="24"/>
          <w:szCs w:val="24"/>
        </w:rPr>
        <w:t xml:space="preserve">актуалните развития на съвременните заплахи и предизвикателства. </w:t>
      </w:r>
      <w:r w:rsidR="00157B49" w:rsidRPr="007404FA">
        <w:rPr>
          <w:rFonts w:ascii="Times New Roman" w:hAnsi="Times New Roman" w:cs="Times New Roman"/>
          <w:sz w:val="24"/>
          <w:szCs w:val="24"/>
          <w:shd w:val="clear" w:color="auto" w:fill="FFFFFF"/>
        </w:rPr>
        <w:t>Обработката</w:t>
      </w:r>
      <w:r w:rsidR="00583CF6" w:rsidRPr="007404FA">
        <w:rPr>
          <w:rFonts w:ascii="Times New Roman" w:hAnsi="Times New Roman" w:cs="Times New Roman"/>
          <w:sz w:val="24"/>
          <w:szCs w:val="24"/>
          <w:shd w:val="clear" w:color="auto" w:fill="FFFFFF"/>
        </w:rPr>
        <w:t xml:space="preserve"> на големи масиви от данн</w:t>
      </w:r>
      <w:r w:rsidR="00157B49">
        <w:rPr>
          <w:rFonts w:ascii="Times New Roman" w:hAnsi="Times New Roman" w:cs="Times New Roman"/>
          <w:sz w:val="24"/>
          <w:szCs w:val="24"/>
          <w:shd w:val="clear" w:color="auto" w:fill="FFFFFF"/>
        </w:rPr>
        <w:t>и, и</w:t>
      </w:r>
      <w:r w:rsidR="00583CF6" w:rsidRPr="007404FA">
        <w:rPr>
          <w:rFonts w:ascii="Times New Roman" w:hAnsi="Times New Roman" w:cs="Times New Roman"/>
          <w:sz w:val="24"/>
          <w:szCs w:val="24"/>
          <w:shd w:val="clear" w:color="auto" w:fill="FFFFFF"/>
        </w:rPr>
        <w:t>нтернет свързаните устройства (интернет на вещите), изкуственият интелект са основните елементи, характеризиращи съвременното информационно общество. Те позволяват оптимизация на процесите, подобрения на производителността, ограничаване на разходите и подобрен достъп до услуги.</w:t>
      </w:r>
    </w:p>
    <w:p w:rsidR="00583CF6" w:rsidRPr="007404FA" w:rsidRDefault="00583CF6"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 xml:space="preserve">Big Data (Големите данни) са набори от информация, с много големи обеми, неагрегирани, в различни формати, сложни и разнообразни. Тези данни могат да идват от много различни източници и да са в различни формати. Това е извън обсега на традиционните методи и софтуер за събиране, обработка и използване на данните. </w:t>
      </w:r>
    </w:p>
    <w:p w:rsidR="00583CF6" w:rsidRPr="007404FA" w:rsidRDefault="00583CF6"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lastRenderedPageBreak/>
        <w:t>Когато става въпрос за Big Data, има много предизвикателства. Тъй като идва от толкова много различни източници, обработването на тази информация не е лесна задача. Всички събрани данни трябва да се съхранят в различни хранилища, те трябва да бъдат анализирани, за да бъдат достъпни и годни за последващо използване, с лесен начин за търсене на информация в тях, с възможност за актуализация, модифициране, прехвърляни и споделяни. За да бъдат използваеми, Big Data следва да бъдат анализирани. Анализът включва четири основни стъпки: събиране, обработка, почистване и анализ.</w:t>
      </w:r>
    </w:p>
    <w:p w:rsidR="00583CF6" w:rsidRPr="007404FA" w:rsidRDefault="00583CF6"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Съвременното общество генерира огромно количество информация, управлявана от постоянно променящите се приложения, от структурирани, полуструктурирани и неструктурирани данни. Конвенционалната ИТ инфраструктура не е изградена, за да се справи с разнообразието, скоростта и обема на данните, произведени от социалните мрежи, мобилни</w:t>
      </w:r>
      <w:r w:rsidR="00157B49">
        <w:rPr>
          <w:rFonts w:ascii="Times New Roman" w:eastAsia="Times New Roman" w:hAnsi="Times New Roman" w:cs="Times New Roman"/>
          <w:sz w:val="24"/>
          <w:szCs w:val="24"/>
        </w:rPr>
        <w:t>те</w:t>
      </w:r>
      <w:r w:rsidRPr="007404FA">
        <w:rPr>
          <w:rFonts w:ascii="Times New Roman" w:eastAsia="Times New Roman" w:hAnsi="Times New Roman" w:cs="Times New Roman"/>
          <w:sz w:val="24"/>
          <w:szCs w:val="24"/>
        </w:rPr>
        <w:t xml:space="preserve"> приложения, научните изследвания и</w:t>
      </w:r>
      <w:r w:rsidR="00157B49">
        <w:rPr>
          <w:rFonts w:ascii="Times New Roman" w:eastAsia="Times New Roman" w:hAnsi="Times New Roman" w:cs="Times New Roman"/>
          <w:sz w:val="24"/>
          <w:szCs w:val="24"/>
        </w:rPr>
        <w:t xml:space="preserve"> т.</w:t>
      </w:r>
      <w:r w:rsidRPr="007404FA">
        <w:rPr>
          <w:rFonts w:ascii="Times New Roman" w:eastAsia="Times New Roman" w:hAnsi="Times New Roman" w:cs="Times New Roman"/>
          <w:sz w:val="24"/>
          <w:szCs w:val="24"/>
        </w:rPr>
        <w:t>н., като това води до иновации в технологиите.</w:t>
      </w:r>
    </w:p>
    <w:p w:rsidR="00583CF6" w:rsidRPr="007404FA" w:rsidRDefault="00583CF6" w:rsidP="00DB6B05">
      <w:pPr>
        <w:pStyle w:val="ep-wysiwigparagraph"/>
        <w:shd w:val="clear" w:color="auto" w:fill="FFFFFF"/>
        <w:spacing w:before="0" w:beforeAutospacing="0" w:after="0" w:afterAutospacing="0" w:line="360" w:lineRule="auto"/>
        <w:ind w:firstLine="709"/>
        <w:jc w:val="both"/>
        <w:textAlignment w:val="center"/>
        <w:rPr>
          <w:lang w:val="bg-BG"/>
        </w:rPr>
      </w:pPr>
      <w:r w:rsidRPr="007404FA">
        <w:rPr>
          <w:lang w:val="bg-BG"/>
        </w:rPr>
        <w:t>Към момента големите масиви от данни са притежание основно на големи компании в цифровия бизнес. Законодателството на ЕС има за цел насърчаване на появата на алтернативи</w:t>
      </w:r>
      <w:r w:rsidR="00157B49">
        <w:rPr>
          <w:lang w:val="bg-BG"/>
        </w:rPr>
        <w:t>,</w:t>
      </w:r>
      <w:r w:rsidRPr="007404FA">
        <w:rPr>
          <w:lang w:val="bg-BG"/>
        </w:rPr>
        <w:t xml:space="preserve"> като </w:t>
      </w:r>
      <w:r w:rsidRPr="007404FA">
        <w:rPr>
          <w:bCs/>
          <w:lang w:val="bg-BG"/>
        </w:rPr>
        <w:t xml:space="preserve">спомогне за развитието на бизнес модели, основани на масиви от данни, и стимулира цифровата икономика. </w:t>
      </w:r>
      <w:r w:rsidRPr="007404FA">
        <w:rPr>
          <w:lang w:val="bg-BG"/>
        </w:rPr>
        <w:t>На 6 април 2022</w:t>
      </w:r>
      <w:r w:rsidR="00F06583" w:rsidRPr="007404FA">
        <w:rPr>
          <w:lang w:val="bg-BG"/>
        </w:rPr>
        <w:t> г.</w:t>
      </w:r>
      <w:r w:rsidRPr="007404FA">
        <w:rPr>
          <w:lang w:val="bg-BG"/>
        </w:rPr>
        <w:t xml:space="preserve"> Европейският парламент приема законодателния акт за управлението на данните (The Data Governance Act</w:t>
      </w:r>
      <w:r w:rsidR="00553661" w:rsidRPr="007404FA">
        <w:rPr>
          <w:lang w:val="bg-BG"/>
        </w:rPr>
        <w:t xml:space="preserve"> – </w:t>
      </w:r>
      <w:r w:rsidRPr="007404FA">
        <w:rPr>
          <w:lang w:val="bg-BG"/>
        </w:rPr>
        <w:t>DGA). Той цели да намали разходите на компаниите за набавяне на данни, както и пречките за навлизане на пазара на цифрови услуги.</w:t>
      </w:r>
    </w:p>
    <w:p w:rsidR="00583CF6" w:rsidRPr="007404FA" w:rsidRDefault="00157B49" w:rsidP="00DB6B05">
      <w:pPr>
        <w:pStyle w:val="ep-wysiwigparagraph"/>
        <w:shd w:val="clear" w:color="auto" w:fill="FFFFFF"/>
        <w:spacing w:before="0" w:beforeAutospacing="0" w:after="0" w:afterAutospacing="0" w:line="360" w:lineRule="auto"/>
        <w:ind w:firstLine="709"/>
        <w:jc w:val="both"/>
        <w:textAlignment w:val="center"/>
        <w:rPr>
          <w:lang w:val="bg-BG"/>
        </w:rPr>
      </w:pPr>
      <w:r w:rsidRPr="007404FA">
        <w:rPr>
          <w:lang w:val="bg-BG"/>
        </w:rPr>
        <w:t>Основен</w:t>
      </w:r>
      <w:r w:rsidR="00583CF6" w:rsidRPr="007404FA">
        <w:rPr>
          <w:lang w:val="bg-BG"/>
        </w:rPr>
        <w:t xml:space="preserve"> стълб на европейската стратегия за данните e предложеният Регламент относно хармонизирани правила за справедлив достъп и използване на данни, известен също като Закон за данните (The Data Act), приет от Европе</w:t>
      </w:r>
      <w:r w:rsidR="00A44F63" w:rsidRPr="007404FA">
        <w:rPr>
          <w:lang w:val="bg-BG"/>
        </w:rPr>
        <w:t>йската комисия на 23 </w:t>
      </w:r>
      <w:r w:rsidR="00583CF6" w:rsidRPr="007404FA">
        <w:rPr>
          <w:lang w:val="bg-BG"/>
        </w:rPr>
        <w:t>февруари 2022</w:t>
      </w:r>
      <w:r w:rsidR="00F06583" w:rsidRPr="007404FA">
        <w:rPr>
          <w:lang w:val="bg-BG"/>
        </w:rPr>
        <w:t> г.</w:t>
      </w:r>
      <w:r w:rsidR="00583CF6" w:rsidRPr="007404FA">
        <w:rPr>
          <w:lang w:val="bg-BG"/>
        </w:rPr>
        <w:t xml:space="preserve"> Той е ключова мярка за предоставяне на повече данни за използване в съответствие с правилата и ценностите на ЕС.</w:t>
      </w:r>
    </w:p>
    <w:p w:rsidR="00583CF6" w:rsidRPr="007404FA" w:rsidRDefault="00583CF6" w:rsidP="00DB6B05">
      <w:pPr>
        <w:pStyle w:val="ep-wysiwigparagraph"/>
        <w:shd w:val="clear" w:color="auto" w:fill="FFFFFF"/>
        <w:spacing w:before="0" w:beforeAutospacing="0" w:after="0" w:afterAutospacing="0" w:line="360" w:lineRule="auto"/>
        <w:ind w:firstLine="709"/>
        <w:jc w:val="both"/>
        <w:textAlignment w:val="center"/>
        <w:rPr>
          <w:lang w:val="bg-BG"/>
        </w:rPr>
      </w:pPr>
      <w:r w:rsidRPr="007404FA">
        <w:rPr>
          <w:lang w:val="bg-BG"/>
        </w:rPr>
        <w:t>Новите мерки допълват Регламента относно управлението на данните (Data Governance Regulation), предложен през ноември 2020</w:t>
      </w:r>
      <w:r w:rsidR="00F06583" w:rsidRPr="007404FA">
        <w:rPr>
          <w:lang w:val="bg-BG"/>
        </w:rPr>
        <w:t> г.</w:t>
      </w:r>
      <w:r w:rsidR="00157B49">
        <w:rPr>
          <w:lang w:val="bg-BG"/>
        </w:rPr>
        <w:t>, първия</w:t>
      </w:r>
      <w:r w:rsidRPr="007404FA">
        <w:rPr>
          <w:lang w:val="bg-BG"/>
        </w:rPr>
        <w:t xml:space="preserve"> резултат от Европейската стратегия за данните (European strategy for data). Докато Регламентът относно управлението на данните създава процеси и структури за улесняване на данните, Законът за данните изяснява кой може да създава стойност от данните и при какви условия.</w:t>
      </w:r>
      <w:r w:rsidR="00A44F63" w:rsidRPr="007404FA">
        <w:rPr>
          <w:lang w:val="bg-BG"/>
        </w:rPr>
        <w:t xml:space="preserve"> </w:t>
      </w:r>
      <w:r w:rsidRPr="007404FA">
        <w:rPr>
          <w:lang w:val="bg-BG"/>
        </w:rPr>
        <w:t>Той ще гарантира справедливост чрез установяване на правила относно използването на данни, генерирани от устройствата „интернет на вещите“ (IoT).</w:t>
      </w:r>
    </w:p>
    <w:p w:rsidR="00583CF6" w:rsidRPr="007404FA" w:rsidRDefault="00583CF6" w:rsidP="00DB6B05">
      <w:pPr>
        <w:pStyle w:val="ep-wysiwigparagraph"/>
        <w:shd w:val="clear" w:color="auto" w:fill="FFFFFF"/>
        <w:spacing w:before="0" w:beforeAutospacing="0" w:after="0" w:afterAutospacing="0" w:line="360" w:lineRule="auto"/>
        <w:ind w:firstLine="709"/>
        <w:jc w:val="both"/>
        <w:textAlignment w:val="center"/>
        <w:rPr>
          <w:lang w:val="bg-BG"/>
        </w:rPr>
      </w:pPr>
      <w:r w:rsidRPr="007404FA">
        <w:rPr>
          <w:lang w:val="bg-BG"/>
        </w:rPr>
        <w:t xml:space="preserve">Big Data са неизменна част от технологичния свят и ще стават все по-популярни в бъдеще. Обемът им нараства, различни данни могат да се събират от всевъзможни източници и за разнообразни бизнес нужди. В днешно време е необходимост да се </w:t>
      </w:r>
      <w:r w:rsidRPr="007404FA">
        <w:rPr>
          <w:lang w:val="bg-BG"/>
        </w:rPr>
        <w:lastRenderedPageBreak/>
        <w:t>извършва</w:t>
      </w:r>
      <w:r w:rsidR="00157B49">
        <w:rPr>
          <w:lang w:val="bg-BG"/>
        </w:rPr>
        <w:t>т</w:t>
      </w:r>
      <w:r w:rsidRPr="007404FA">
        <w:rPr>
          <w:lang w:val="bg-BG"/>
        </w:rPr>
        <w:t xml:space="preserve"> лесен и своевременен анализ и обработване на данните, за да се вземат правилни бизнес решения по-бързо от</w:t>
      </w:r>
      <w:r w:rsidR="00157B49">
        <w:rPr>
          <w:lang w:val="bg-BG"/>
        </w:rPr>
        <w:t xml:space="preserve"> </w:t>
      </w:r>
      <w:r w:rsidRPr="007404FA">
        <w:rPr>
          <w:lang w:val="bg-BG"/>
        </w:rPr>
        <w:t>преди, както и да се разбират по-добре бизнес процесите във всяка една сфера на дейност.</w:t>
      </w:r>
    </w:p>
    <w:p w:rsidR="00583CF6" w:rsidRPr="007404FA" w:rsidRDefault="00583CF6" w:rsidP="00DB6B05">
      <w:pPr>
        <w:pStyle w:val="ep-wysiwigparagraph"/>
        <w:shd w:val="clear" w:color="auto" w:fill="FFFFFF"/>
        <w:spacing w:before="0" w:beforeAutospacing="0" w:after="0" w:afterAutospacing="0" w:line="360" w:lineRule="auto"/>
        <w:ind w:firstLine="709"/>
        <w:jc w:val="both"/>
        <w:textAlignment w:val="center"/>
        <w:rPr>
          <w:lang w:val="bg-BG"/>
        </w:rPr>
      </w:pPr>
      <w:r w:rsidRPr="007404FA">
        <w:rPr>
          <w:lang w:val="bg-BG"/>
        </w:rPr>
        <w:t>Съвременните предизвикателства по отношение на Big Data включват изграждане на сигурни и достъпни цифрови инфраструктури и инфраструктури за данни, които са в състояние ефективно да съхраняват, предават и обработват огромни обеми данни, с високи стандарти за сигурност и неприкосновеност на личния живот и в съответствие с правилата за защита на личните данни.</w:t>
      </w:r>
    </w:p>
    <w:p w:rsidR="00E42714" w:rsidRPr="007404FA" w:rsidRDefault="00C824AC"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През отчетния период</w:t>
      </w:r>
      <w:r w:rsidR="00E42714" w:rsidRPr="007404FA">
        <w:rPr>
          <w:rFonts w:ascii="Times New Roman" w:hAnsi="Times New Roman" w:cs="Times New Roman"/>
          <w:sz w:val="24"/>
          <w:szCs w:val="24"/>
        </w:rPr>
        <w:t xml:space="preserve"> </w:t>
      </w:r>
      <w:r w:rsidR="00F27A9F" w:rsidRPr="007404FA">
        <w:rPr>
          <w:rFonts w:ascii="Times New Roman" w:hAnsi="Times New Roman" w:cs="Times New Roman"/>
          <w:sz w:val="24"/>
          <w:szCs w:val="24"/>
        </w:rPr>
        <w:t xml:space="preserve">Комисията </w:t>
      </w:r>
      <w:r w:rsidRPr="007404FA">
        <w:rPr>
          <w:rFonts w:ascii="Times New Roman" w:hAnsi="Times New Roman" w:cs="Times New Roman"/>
          <w:sz w:val="24"/>
          <w:szCs w:val="24"/>
        </w:rPr>
        <w:t>следи и с</w:t>
      </w:r>
      <w:r w:rsidR="00E42714" w:rsidRPr="007404FA">
        <w:rPr>
          <w:rFonts w:ascii="Times New Roman" w:hAnsi="Times New Roman" w:cs="Times New Roman"/>
          <w:sz w:val="24"/>
          <w:szCs w:val="24"/>
        </w:rPr>
        <w:t>ъвременни</w:t>
      </w:r>
      <w:r w:rsidRPr="007404FA">
        <w:rPr>
          <w:rFonts w:ascii="Times New Roman" w:hAnsi="Times New Roman" w:cs="Times New Roman"/>
          <w:sz w:val="24"/>
          <w:szCs w:val="24"/>
        </w:rPr>
        <w:t>те</w:t>
      </w:r>
      <w:r w:rsidR="00E42714" w:rsidRPr="007404FA">
        <w:rPr>
          <w:rFonts w:ascii="Times New Roman" w:hAnsi="Times New Roman" w:cs="Times New Roman"/>
          <w:sz w:val="24"/>
          <w:szCs w:val="24"/>
        </w:rPr>
        <w:t xml:space="preserve"> заплахи и предизвикателства пред защитата на личните данни в контекста на тенденциите в развитието на </w:t>
      </w:r>
      <w:r w:rsidRPr="007404FA">
        <w:rPr>
          <w:rFonts w:ascii="Times New Roman" w:hAnsi="Times New Roman" w:cs="Times New Roman"/>
          <w:sz w:val="24"/>
          <w:szCs w:val="24"/>
        </w:rPr>
        <w:t xml:space="preserve">блоковата технология (блокчейн). </w:t>
      </w:r>
      <w:r w:rsidR="00E42714" w:rsidRPr="007404FA">
        <w:rPr>
          <w:rFonts w:ascii="Times New Roman" w:hAnsi="Times New Roman" w:cs="Times New Roman"/>
          <w:sz w:val="24"/>
          <w:szCs w:val="24"/>
        </w:rPr>
        <w:t xml:space="preserve">От извършения </w:t>
      </w:r>
      <w:r w:rsidR="002A3567" w:rsidRPr="007404FA">
        <w:rPr>
          <w:rFonts w:ascii="Times New Roman" w:hAnsi="Times New Roman" w:cs="Times New Roman"/>
          <w:sz w:val="24"/>
          <w:szCs w:val="24"/>
        </w:rPr>
        <w:t xml:space="preserve">от надзорния орган </w:t>
      </w:r>
      <w:r w:rsidR="00E42714" w:rsidRPr="007404FA">
        <w:rPr>
          <w:rFonts w:ascii="Times New Roman" w:hAnsi="Times New Roman" w:cs="Times New Roman"/>
          <w:sz w:val="24"/>
          <w:szCs w:val="24"/>
        </w:rPr>
        <w:t xml:space="preserve">анализ </w:t>
      </w:r>
      <w:r w:rsidR="00D36D96" w:rsidRPr="007404FA">
        <w:rPr>
          <w:rFonts w:ascii="Times New Roman" w:hAnsi="Times New Roman" w:cs="Times New Roman"/>
          <w:sz w:val="24"/>
          <w:szCs w:val="24"/>
        </w:rPr>
        <w:t>са</w:t>
      </w:r>
      <w:r w:rsidR="00E42714" w:rsidRPr="007404FA">
        <w:rPr>
          <w:rFonts w:ascii="Times New Roman" w:hAnsi="Times New Roman" w:cs="Times New Roman"/>
          <w:sz w:val="24"/>
          <w:szCs w:val="24"/>
        </w:rPr>
        <w:t xml:space="preserve"> </w:t>
      </w:r>
      <w:r w:rsidR="00DD3355" w:rsidRPr="007404FA">
        <w:rPr>
          <w:rFonts w:ascii="Times New Roman" w:hAnsi="Times New Roman" w:cs="Times New Roman"/>
          <w:sz w:val="24"/>
          <w:szCs w:val="24"/>
        </w:rPr>
        <w:t>изведени</w:t>
      </w:r>
      <w:r w:rsidR="00E42714" w:rsidRPr="007404FA">
        <w:rPr>
          <w:rFonts w:ascii="Times New Roman" w:hAnsi="Times New Roman" w:cs="Times New Roman"/>
          <w:sz w:val="24"/>
          <w:szCs w:val="24"/>
        </w:rPr>
        <w:t xml:space="preserve"> </w:t>
      </w:r>
      <w:r w:rsidR="00EA502A" w:rsidRPr="007404FA">
        <w:rPr>
          <w:rFonts w:ascii="Times New Roman" w:hAnsi="Times New Roman" w:cs="Times New Roman"/>
          <w:sz w:val="24"/>
          <w:szCs w:val="24"/>
        </w:rPr>
        <w:t>три</w:t>
      </w:r>
      <w:r w:rsidR="0058186C" w:rsidRPr="007404FA">
        <w:rPr>
          <w:rFonts w:ascii="Times New Roman" w:hAnsi="Times New Roman" w:cs="Times New Roman"/>
          <w:sz w:val="24"/>
          <w:szCs w:val="24"/>
        </w:rPr>
        <w:t xml:space="preserve"> </w:t>
      </w:r>
      <w:r w:rsidR="00E42714" w:rsidRPr="007404FA">
        <w:rPr>
          <w:rFonts w:ascii="Times New Roman" w:hAnsi="Times New Roman" w:cs="Times New Roman"/>
          <w:sz w:val="24"/>
          <w:szCs w:val="24"/>
        </w:rPr>
        <w:t>основни предизвикателства, създаващи затруднение за прилагането на блоковите</w:t>
      </w:r>
      <w:r w:rsidR="0058186C" w:rsidRPr="007404FA">
        <w:rPr>
          <w:rFonts w:ascii="Times New Roman" w:hAnsi="Times New Roman" w:cs="Times New Roman"/>
          <w:sz w:val="24"/>
          <w:szCs w:val="24"/>
        </w:rPr>
        <w:t xml:space="preserve"> технологии в контекста на ОРЗД: </w:t>
      </w:r>
    </w:p>
    <w:p w:rsidR="00E42714" w:rsidRPr="007404FA" w:rsidRDefault="00E42714"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На първо място</w:t>
      </w:r>
      <w:r w:rsidR="00157B49">
        <w:rPr>
          <w:rFonts w:ascii="Times New Roman" w:hAnsi="Times New Roman" w:cs="Times New Roman"/>
          <w:sz w:val="24"/>
          <w:szCs w:val="24"/>
        </w:rPr>
        <w:t>,</w:t>
      </w:r>
      <w:r w:rsidRPr="007404FA">
        <w:rPr>
          <w:rFonts w:ascii="Times New Roman" w:hAnsi="Times New Roman" w:cs="Times New Roman"/>
          <w:sz w:val="24"/>
          <w:szCs w:val="24"/>
        </w:rPr>
        <w:t xml:space="preserve"> Регламент (ЕС) 2016/679 се прилага спрямо конкретни </w:t>
      </w:r>
      <w:r w:rsidR="00FA5FF7" w:rsidRPr="007404FA">
        <w:rPr>
          <w:rFonts w:ascii="Times New Roman" w:hAnsi="Times New Roman" w:cs="Times New Roman"/>
          <w:sz w:val="24"/>
          <w:szCs w:val="24"/>
        </w:rPr>
        <w:t>структури/</w:t>
      </w:r>
      <w:r w:rsidR="000B61AE" w:rsidRPr="007404FA">
        <w:rPr>
          <w:rFonts w:ascii="Times New Roman" w:hAnsi="Times New Roman" w:cs="Times New Roman"/>
          <w:sz w:val="24"/>
          <w:szCs w:val="24"/>
        </w:rPr>
        <w:t>лица (</w:t>
      </w:r>
      <w:r w:rsidRPr="007404FA">
        <w:rPr>
          <w:rFonts w:ascii="Times New Roman" w:hAnsi="Times New Roman" w:cs="Times New Roman"/>
          <w:sz w:val="24"/>
          <w:szCs w:val="24"/>
        </w:rPr>
        <w:t>физически или юридически</w:t>
      </w:r>
      <w:r w:rsidR="000B61AE" w:rsidRPr="007404FA">
        <w:rPr>
          <w:rFonts w:ascii="Times New Roman" w:hAnsi="Times New Roman" w:cs="Times New Roman"/>
          <w:sz w:val="24"/>
          <w:szCs w:val="24"/>
        </w:rPr>
        <w:t>)</w:t>
      </w:r>
      <w:r w:rsidRPr="007404FA">
        <w:rPr>
          <w:rFonts w:ascii="Times New Roman" w:hAnsi="Times New Roman" w:cs="Times New Roman"/>
          <w:sz w:val="24"/>
          <w:szCs w:val="24"/>
        </w:rPr>
        <w:t xml:space="preserve"> в качеството им на администратор или обработващ лични данни. Основният </w:t>
      </w:r>
      <w:r w:rsidR="00A05122" w:rsidRPr="007404FA">
        <w:rPr>
          <w:rFonts w:ascii="Times New Roman" w:hAnsi="Times New Roman" w:cs="Times New Roman"/>
          <w:sz w:val="24"/>
          <w:szCs w:val="24"/>
        </w:rPr>
        <w:t>подход</w:t>
      </w:r>
      <w:r w:rsidRPr="007404FA">
        <w:rPr>
          <w:rFonts w:ascii="Times New Roman" w:hAnsi="Times New Roman" w:cs="Times New Roman"/>
          <w:sz w:val="24"/>
          <w:szCs w:val="24"/>
        </w:rPr>
        <w:t xml:space="preserve"> при упражняване пр</w:t>
      </w:r>
      <w:r w:rsidR="0072000F" w:rsidRPr="007404FA">
        <w:rPr>
          <w:rFonts w:ascii="Times New Roman" w:hAnsi="Times New Roman" w:cs="Times New Roman"/>
          <w:sz w:val="24"/>
          <w:szCs w:val="24"/>
        </w:rPr>
        <w:t xml:space="preserve">авата на субектите на данни, респ. на </w:t>
      </w:r>
      <w:r w:rsidRPr="007404FA">
        <w:rPr>
          <w:rFonts w:ascii="Times New Roman" w:hAnsi="Times New Roman" w:cs="Times New Roman"/>
          <w:sz w:val="24"/>
          <w:szCs w:val="24"/>
        </w:rPr>
        <w:t>задължения</w:t>
      </w:r>
      <w:r w:rsidR="00571333" w:rsidRPr="007404FA">
        <w:rPr>
          <w:rFonts w:ascii="Times New Roman" w:hAnsi="Times New Roman" w:cs="Times New Roman"/>
          <w:sz w:val="24"/>
          <w:szCs w:val="24"/>
        </w:rPr>
        <w:t>та</w:t>
      </w:r>
      <w:r w:rsidRPr="007404FA">
        <w:rPr>
          <w:rFonts w:ascii="Times New Roman" w:hAnsi="Times New Roman" w:cs="Times New Roman"/>
          <w:sz w:val="24"/>
          <w:szCs w:val="24"/>
        </w:rPr>
        <w:t xml:space="preserve"> на администратор или обработващ</w:t>
      </w:r>
      <w:r w:rsidR="00C57AB2" w:rsidRPr="007404FA">
        <w:rPr>
          <w:rFonts w:ascii="Times New Roman" w:hAnsi="Times New Roman" w:cs="Times New Roman"/>
          <w:sz w:val="24"/>
          <w:szCs w:val="24"/>
        </w:rPr>
        <w:t xml:space="preserve"> лични данни</w:t>
      </w:r>
      <w:r w:rsidR="00157B49">
        <w:rPr>
          <w:rFonts w:ascii="Times New Roman" w:hAnsi="Times New Roman" w:cs="Times New Roman"/>
          <w:sz w:val="24"/>
          <w:szCs w:val="24"/>
        </w:rPr>
        <w:t>,</w:t>
      </w:r>
      <w:r w:rsidR="00C57AB2" w:rsidRPr="007404FA">
        <w:rPr>
          <w:rFonts w:ascii="Times New Roman" w:hAnsi="Times New Roman" w:cs="Times New Roman"/>
          <w:sz w:val="24"/>
          <w:szCs w:val="24"/>
        </w:rPr>
        <w:t xml:space="preserve"> е, че има конкретна структура/</w:t>
      </w:r>
      <w:r w:rsidRPr="007404FA">
        <w:rPr>
          <w:rFonts w:ascii="Times New Roman" w:hAnsi="Times New Roman" w:cs="Times New Roman"/>
          <w:sz w:val="24"/>
          <w:szCs w:val="24"/>
        </w:rPr>
        <w:t>лице, към което субектите на данни следва да се обърнат, а именно администратора</w:t>
      </w:r>
      <w:r w:rsidR="0058798F" w:rsidRPr="007404FA">
        <w:rPr>
          <w:rFonts w:ascii="Times New Roman" w:hAnsi="Times New Roman" w:cs="Times New Roman"/>
          <w:sz w:val="24"/>
          <w:szCs w:val="24"/>
        </w:rPr>
        <w:t xml:space="preserve">. Това </w:t>
      </w:r>
      <w:r w:rsidRPr="007404FA">
        <w:rPr>
          <w:rFonts w:ascii="Times New Roman" w:hAnsi="Times New Roman" w:cs="Times New Roman"/>
          <w:sz w:val="24"/>
          <w:szCs w:val="24"/>
        </w:rPr>
        <w:t xml:space="preserve">предполага централизиран модел на обработване на лични данни. Блоковата технология </w:t>
      </w:r>
      <w:r w:rsidR="004C222B" w:rsidRPr="007404FA">
        <w:rPr>
          <w:rFonts w:ascii="Times New Roman" w:hAnsi="Times New Roman" w:cs="Times New Roman"/>
          <w:sz w:val="24"/>
          <w:szCs w:val="24"/>
        </w:rPr>
        <w:t xml:space="preserve">обаче </w:t>
      </w:r>
      <w:r w:rsidRPr="007404FA">
        <w:rPr>
          <w:rFonts w:ascii="Times New Roman" w:hAnsi="Times New Roman" w:cs="Times New Roman"/>
          <w:sz w:val="24"/>
          <w:szCs w:val="24"/>
        </w:rPr>
        <w:t xml:space="preserve">се стреми </w:t>
      </w:r>
      <w:r w:rsidR="004C222B" w:rsidRPr="007404FA">
        <w:rPr>
          <w:rFonts w:ascii="Times New Roman" w:hAnsi="Times New Roman" w:cs="Times New Roman"/>
          <w:sz w:val="24"/>
          <w:szCs w:val="24"/>
        </w:rPr>
        <w:t>към изцяло</w:t>
      </w:r>
      <w:r w:rsidRPr="007404FA">
        <w:rPr>
          <w:rFonts w:ascii="Times New Roman" w:hAnsi="Times New Roman" w:cs="Times New Roman"/>
          <w:sz w:val="24"/>
          <w:szCs w:val="24"/>
        </w:rPr>
        <w:t xml:space="preserve"> противоположен ефект. Нейната основа се базира на и се стреми към децентрализиран модел, ко</w:t>
      </w:r>
      <w:r w:rsidR="00157B49">
        <w:rPr>
          <w:rFonts w:ascii="Times New Roman" w:hAnsi="Times New Roman" w:cs="Times New Roman"/>
          <w:sz w:val="24"/>
          <w:szCs w:val="24"/>
        </w:rPr>
        <w:t>й</w:t>
      </w:r>
      <w:r w:rsidRPr="007404FA">
        <w:rPr>
          <w:rFonts w:ascii="Times New Roman" w:hAnsi="Times New Roman" w:cs="Times New Roman"/>
          <w:sz w:val="24"/>
          <w:szCs w:val="24"/>
        </w:rPr>
        <w:t>то се уповава на множество различни участници, тоест няма конкретно лице</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администратор на лични данни</w:t>
      </w:r>
      <w:r w:rsidR="00157B49">
        <w:rPr>
          <w:rFonts w:ascii="Times New Roman" w:hAnsi="Times New Roman" w:cs="Times New Roman"/>
          <w:sz w:val="24"/>
          <w:szCs w:val="24"/>
        </w:rPr>
        <w:t>,</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 xml:space="preserve">към което следва да се обърнат </w:t>
      </w:r>
      <w:r w:rsidR="000960B8" w:rsidRPr="007404FA">
        <w:rPr>
          <w:rFonts w:ascii="Times New Roman" w:hAnsi="Times New Roman" w:cs="Times New Roman"/>
          <w:sz w:val="24"/>
          <w:szCs w:val="24"/>
        </w:rPr>
        <w:t xml:space="preserve">субектите на данни. Това </w:t>
      </w:r>
      <w:r w:rsidRPr="007404FA">
        <w:rPr>
          <w:rFonts w:ascii="Times New Roman" w:hAnsi="Times New Roman" w:cs="Times New Roman"/>
          <w:sz w:val="24"/>
          <w:szCs w:val="24"/>
        </w:rPr>
        <w:t>затруднява разпределението на отговорност</w:t>
      </w:r>
      <w:r w:rsidR="000960B8" w:rsidRPr="007404FA">
        <w:rPr>
          <w:rFonts w:ascii="Times New Roman" w:hAnsi="Times New Roman" w:cs="Times New Roman"/>
          <w:sz w:val="24"/>
          <w:szCs w:val="24"/>
        </w:rPr>
        <w:t>та</w:t>
      </w:r>
      <w:r w:rsidRPr="007404FA">
        <w:rPr>
          <w:rFonts w:ascii="Times New Roman" w:hAnsi="Times New Roman" w:cs="Times New Roman"/>
          <w:sz w:val="24"/>
          <w:szCs w:val="24"/>
        </w:rPr>
        <w:t xml:space="preserve"> и отчетност</w:t>
      </w:r>
      <w:r w:rsidR="000960B8" w:rsidRPr="007404FA">
        <w:rPr>
          <w:rFonts w:ascii="Times New Roman" w:hAnsi="Times New Roman" w:cs="Times New Roman"/>
          <w:sz w:val="24"/>
          <w:szCs w:val="24"/>
        </w:rPr>
        <w:t>та</w:t>
      </w:r>
      <w:r w:rsidRPr="007404FA">
        <w:rPr>
          <w:rFonts w:ascii="Times New Roman" w:hAnsi="Times New Roman" w:cs="Times New Roman"/>
          <w:sz w:val="24"/>
          <w:szCs w:val="24"/>
        </w:rPr>
        <w:t xml:space="preserve">, особено </w:t>
      </w:r>
      <w:r w:rsidR="00FC4F57" w:rsidRPr="007404FA">
        <w:rPr>
          <w:rFonts w:ascii="Times New Roman" w:hAnsi="Times New Roman" w:cs="Times New Roman"/>
          <w:sz w:val="24"/>
          <w:szCs w:val="24"/>
        </w:rPr>
        <w:t>от гл.</w:t>
      </w:r>
      <w:r w:rsidR="00F06583" w:rsidRPr="007404FA">
        <w:rPr>
          <w:rFonts w:ascii="Times New Roman" w:hAnsi="Times New Roman" w:cs="Times New Roman"/>
          <w:sz w:val="24"/>
          <w:szCs w:val="24"/>
        </w:rPr>
        <w:t xml:space="preserve"> т. </w:t>
      </w:r>
      <w:r w:rsidRPr="007404FA">
        <w:rPr>
          <w:rFonts w:ascii="Times New Roman" w:hAnsi="Times New Roman" w:cs="Times New Roman"/>
          <w:sz w:val="24"/>
          <w:szCs w:val="24"/>
        </w:rPr>
        <w:t>на съвместния контрол (качество</w:t>
      </w:r>
      <w:r w:rsidR="00BA23F8" w:rsidRPr="007404FA">
        <w:rPr>
          <w:rFonts w:ascii="Times New Roman" w:hAnsi="Times New Roman" w:cs="Times New Roman"/>
          <w:sz w:val="24"/>
          <w:szCs w:val="24"/>
        </w:rPr>
        <w:t>то</w:t>
      </w:r>
      <w:r w:rsidRPr="007404FA">
        <w:rPr>
          <w:rFonts w:ascii="Times New Roman" w:hAnsi="Times New Roman" w:cs="Times New Roman"/>
          <w:sz w:val="24"/>
          <w:szCs w:val="24"/>
        </w:rPr>
        <w:t xml:space="preserve"> на съвместни администратори по смисъла на ОРЗД</w:t>
      </w:r>
      <w:r w:rsidR="00FC4F57" w:rsidRPr="007404FA">
        <w:rPr>
          <w:rFonts w:ascii="Times New Roman" w:hAnsi="Times New Roman" w:cs="Times New Roman"/>
          <w:sz w:val="24"/>
          <w:szCs w:val="24"/>
        </w:rPr>
        <w:t xml:space="preserve"> се придобива само в определени случаи</w:t>
      </w:r>
      <w:r w:rsidRPr="007404FA">
        <w:rPr>
          <w:rFonts w:ascii="Times New Roman" w:hAnsi="Times New Roman" w:cs="Times New Roman"/>
          <w:sz w:val="24"/>
          <w:szCs w:val="24"/>
        </w:rPr>
        <w:t xml:space="preserve">). </w:t>
      </w:r>
    </w:p>
    <w:p w:rsidR="00F94E69" w:rsidRPr="007404FA" w:rsidRDefault="00E42714"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Второ, Общият регламент относно защитата на данните се основава на идеята, че данните могат да бъдат изтрити, изменени (допълнени или коригирани), могат лесно да бъда</w:t>
      </w:r>
      <w:r w:rsidR="0067739F" w:rsidRPr="007404FA">
        <w:rPr>
          <w:rFonts w:ascii="Times New Roman" w:hAnsi="Times New Roman" w:cs="Times New Roman"/>
          <w:sz w:val="24"/>
          <w:szCs w:val="24"/>
        </w:rPr>
        <w:t>т извлечени за дадена цел и др.</w:t>
      </w:r>
      <w:r w:rsidRPr="007404FA">
        <w:rPr>
          <w:rFonts w:ascii="Times New Roman" w:hAnsi="Times New Roman" w:cs="Times New Roman"/>
          <w:sz w:val="24"/>
          <w:szCs w:val="24"/>
        </w:rPr>
        <w:t xml:space="preserve"> за </w:t>
      </w:r>
      <w:r w:rsidR="00FC792F" w:rsidRPr="007404FA">
        <w:rPr>
          <w:rFonts w:ascii="Times New Roman" w:hAnsi="Times New Roman" w:cs="Times New Roman"/>
          <w:sz w:val="24"/>
          <w:szCs w:val="24"/>
        </w:rPr>
        <w:t>изпълнение на изискванията</w:t>
      </w:r>
      <w:r w:rsidRPr="007404FA">
        <w:rPr>
          <w:rFonts w:ascii="Times New Roman" w:hAnsi="Times New Roman" w:cs="Times New Roman"/>
          <w:sz w:val="24"/>
          <w:szCs w:val="24"/>
        </w:rPr>
        <w:t xml:space="preserve"> на</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15</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 xml:space="preserve">22 от ОРЗД. </w:t>
      </w:r>
      <w:r w:rsidR="00FC792F" w:rsidRPr="007404FA">
        <w:rPr>
          <w:rFonts w:ascii="Times New Roman" w:hAnsi="Times New Roman" w:cs="Times New Roman"/>
          <w:sz w:val="24"/>
          <w:szCs w:val="24"/>
        </w:rPr>
        <w:t>В</w:t>
      </w:r>
      <w:r w:rsidRPr="007404FA">
        <w:rPr>
          <w:rFonts w:ascii="Times New Roman" w:hAnsi="Times New Roman" w:cs="Times New Roman"/>
          <w:sz w:val="24"/>
          <w:szCs w:val="24"/>
        </w:rPr>
        <w:t xml:space="preserve"> блокчейн </w:t>
      </w:r>
      <w:r w:rsidR="00FC792F" w:rsidRPr="007404FA">
        <w:rPr>
          <w:rFonts w:ascii="Times New Roman" w:hAnsi="Times New Roman" w:cs="Times New Roman"/>
          <w:sz w:val="24"/>
          <w:szCs w:val="24"/>
        </w:rPr>
        <w:t xml:space="preserve">технологията </w:t>
      </w:r>
      <w:r w:rsidRPr="007404FA">
        <w:rPr>
          <w:rFonts w:ascii="Times New Roman" w:hAnsi="Times New Roman" w:cs="Times New Roman"/>
          <w:sz w:val="24"/>
          <w:szCs w:val="24"/>
        </w:rPr>
        <w:t>извършването на подобен вид об</w:t>
      </w:r>
      <w:r w:rsidR="00157B49">
        <w:rPr>
          <w:rFonts w:ascii="Times New Roman" w:hAnsi="Times New Roman" w:cs="Times New Roman"/>
          <w:sz w:val="24"/>
          <w:szCs w:val="24"/>
        </w:rPr>
        <w:t>работване е значително усложнено</w:t>
      </w:r>
      <w:r w:rsidRPr="007404FA">
        <w:rPr>
          <w:rFonts w:ascii="Times New Roman" w:hAnsi="Times New Roman" w:cs="Times New Roman"/>
          <w:sz w:val="24"/>
          <w:szCs w:val="24"/>
        </w:rPr>
        <w:t xml:space="preserve"> </w:t>
      </w:r>
      <w:r w:rsidR="004F13B3" w:rsidRPr="007404FA">
        <w:rPr>
          <w:rFonts w:ascii="Times New Roman" w:hAnsi="Times New Roman" w:cs="Times New Roman"/>
          <w:sz w:val="24"/>
          <w:szCs w:val="24"/>
        </w:rPr>
        <w:t xml:space="preserve">предвид </w:t>
      </w:r>
      <w:r w:rsidR="00F6010A" w:rsidRPr="007404FA">
        <w:rPr>
          <w:rFonts w:ascii="Times New Roman" w:hAnsi="Times New Roman" w:cs="Times New Roman"/>
          <w:sz w:val="24"/>
          <w:szCs w:val="24"/>
        </w:rPr>
        <w:t>целите на тази технология: да</w:t>
      </w:r>
      <w:r w:rsidRPr="007404FA">
        <w:rPr>
          <w:rFonts w:ascii="Times New Roman" w:hAnsi="Times New Roman" w:cs="Times New Roman"/>
          <w:sz w:val="24"/>
          <w:szCs w:val="24"/>
        </w:rPr>
        <w:t xml:space="preserve"> се постигне по-добра защита на данните и да се гарантира по-високо доверие във веригата. </w:t>
      </w:r>
      <w:r w:rsidR="00157B49">
        <w:rPr>
          <w:rFonts w:ascii="Times New Roman" w:hAnsi="Times New Roman" w:cs="Times New Roman"/>
          <w:sz w:val="24"/>
          <w:szCs w:val="24"/>
        </w:rPr>
        <w:t>Технологията остава проблемна и</w:t>
      </w:r>
      <w:r w:rsidR="00F94E69" w:rsidRPr="007404FA">
        <w:rPr>
          <w:rFonts w:ascii="Times New Roman" w:hAnsi="Times New Roman" w:cs="Times New Roman"/>
          <w:sz w:val="24"/>
          <w:szCs w:val="24"/>
        </w:rPr>
        <w:t xml:space="preserve"> </w:t>
      </w:r>
      <w:r w:rsidR="009A52D5" w:rsidRPr="007404FA">
        <w:rPr>
          <w:rFonts w:ascii="Times New Roman" w:hAnsi="Times New Roman" w:cs="Times New Roman"/>
          <w:sz w:val="24"/>
          <w:szCs w:val="24"/>
        </w:rPr>
        <w:t xml:space="preserve">поради това, че </w:t>
      </w:r>
      <w:r w:rsidR="00066764" w:rsidRPr="007404FA">
        <w:rPr>
          <w:rFonts w:ascii="Times New Roman" w:hAnsi="Times New Roman" w:cs="Times New Roman"/>
          <w:sz w:val="24"/>
          <w:szCs w:val="24"/>
        </w:rPr>
        <w:t>при нея</w:t>
      </w:r>
      <w:r w:rsidR="00F94E69" w:rsidRPr="007404FA">
        <w:rPr>
          <w:rFonts w:ascii="Times New Roman" w:hAnsi="Times New Roman" w:cs="Times New Roman"/>
          <w:sz w:val="24"/>
          <w:szCs w:val="24"/>
        </w:rPr>
        <w:t xml:space="preserve"> няма възм</w:t>
      </w:r>
      <w:r w:rsidR="00157B49">
        <w:rPr>
          <w:rFonts w:ascii="Times New Roman" w:hAnsi="Times New Roman" w:cs="Times New Roman"/>
          <w:sz w:val="24"/>
          <w:szCs w:val="24"/>
        </w:rPr>
        <w:t>ожност да бъде ограничен достъпът</w:t>
      </w:r>
      <w:r w:rsidR="00F94E69" w:rsidRPr="007404FA">
        <w:rPr>
          <w:rFonts w:ascii="Times New Roman" w:hAnsi="Times New Roman" w:cs="Times New Roman"/>
          <w:sz w:val="24"/>
          <w:szCs w:val="24"/>
        </w:rPr>
        <w:t xml:space="preserve"> до </w:t>
      </w:r>
      <w:r w:rsidR="00066764" w:rsidRPr="007404FA">
        <w:rPr>
          <w:rFonts w:ascii="Times New Roman" w:hAnsi="Times New Roman" w:cs="Times New Roman"/>
          <w:sz w:val="24"/>
          <w:szCs w:val="24"/>
        </w:rPr>
        <w:t xml:space="preserve">лични </w:t>
      </w:r>
      <w:r w:rsidR="00F94E69" w:rsidRPr="007404FA">
        <w:rPr>
          <w:rFonts w:ascii="Times New Roman" w:hAnsi="Times New Roman" w:cs="Times New Roman"/>
          <w:sz w:val="24"/>
          <w:szCs w:val="24"/>
        </w:rPr>
        <w:t>данни, вместо това всеки валидатор в блоковата верига винаги има достъп до тях.</w:t>
      </w:r>
    </w:p>
    <w:p w:rsidR="00EA502A" w:rsidRPr="007404FA" w:rsidRDefault="00EA502A"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lastRenderedPageBreak/>
        <w:t xml:space="preserve">На трето място, всеки блок съдържа информацията от предходния, създавайки верига от бързо нарастващ обем от данни, което затруднява приложението на технологията за обработването на големи масиви от данни. </w:t>
      </w:r>
    </w:p>
    <w:p w:rsidR="00E42714" w:rsidRPr="007404FA" w:rsidRDefault="00157B49" w:rsidP="00DB6B0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Предвид горното</w:t>
      </w:r>
      <w:r w:rsidR="00B72916" w:rsidRPr="007404FA">
        <w:rPr>
          <w:rFonts w:ascii="Times New Roman" w:hAnsi="Times New Roman" w:cs="Times New Roman"/>
          <w:sz w:val="24"/>
          <w:szCs w:val="24"/>
        </w:rPr>
        <w:t xml:space="preserve"> в</w:t>
      </w:r>
      <w:r w:rsidR="00E42714" w:rsidRPr="007404FA">
        <w:rPr>
          <w:rFonts w:ascii="Times New Roman" w:hAnsi="Times New Roman" w:cs="Times New Roman"/>
          <w:sz w:val="24"/>
          <w:szCs w:val="24"/>
        </w:rPr>
        <w:t>ъз</w:t>
      </w:r>
      <w:r w:rsidR="008F6D49" w:rsidRPr="007404FA">
        <w:rPr>
          <w:rFonts w:ascii="Times New Roman" w:hAnsi="Times New Roman" w:cs="Times New Roman"/>
          <w:sz w:val="24"/>
          <w:szCs w:val="24"/>
        </w:rPr>
        <w:t xml:space="preserve">можността блоковата технология </w:t>
      </w:r>
      <w:r w:rsidR="00E42714" w:rsidRPr="007404FA">
        <w:rPr>
          <w:rFonts w:ascii="Times New Roman" w:hAnsi="Times New Roman" w:cs="Times New Roman"/>
          <w:sz w:val="24"/>
          <w:szCs w:val="24"/>
        </w:rPr>
        <w:t xml:space="preserve">да се приведе в </w:t>
      </w:r>
      <w:r w:rsidR="00F31608" w:rsidRPr="007404FA">
        <w:rPr>
          <w:rFonts w:ascii="Times New Roman" w:hAnsi="Times New Roman" w:cs="Times New Roman"/>
          <w:sz w:val="24"/>
          <w:szCs w:val="24"/>
        </w:rPr>
        <w:t xml:space="preserve">принципно </w:t>
      </w:r>
      <w:r w:rsidR="00E42714" w:rsidRPr="007404FA">
        <w:rPr>
          <w:rFonts w:ascii="Times New Roman" w:hAnsi="Times New Roman" w:cs="Times New Roman"/>
          <w:sz w:val="24"/>
          <w:szCs w:val="24"/>
        </w:rPr>
        <w:t xml:space="preserve">съответствие с Регламента и да се постигне хармонизирано прилагане </w:t>
      </w:r>
      <w:r w:rsidR="00F31608" w:rsidRPr="007404FA">
        <w:rPr>
          <w:rFonts w:ascii="Times New Roman" w:hAnsi="Times New Roman" w:cs="Times New Roman"/>
          <w:sz w:val="24"/>
          <w:szCs w:val="24"/>
        </w:rPr>
        <w:t xml:space="preserve">се подлага на сериозно </w:t>
      </w:r>
      <w:r w:rsidR="00471445" w:rsidRPr="007404FA">
        <w:rPr>
          <w:rFonts w:ascii="Times New Roman" w:hAnsi="Times New Roman" w:cs="Times New Roman"/>
          <w:sz w:val="24"/>
          <w:szCs w:val="24"/>
        </w:rPr>
        <w:t>съмнение. Това обяснява защо</w:t>
      </w:r>
      <w:r w:rsidR="00F31608" w:rsidRPr="007404FA">
        <w:rPr>
          <w:rFonts w:ascii="Times New Roman" w:hAnsi="Times New Roman" w:cs="Times New Roman"/>
          <w:sz w:val="24"/>
          <w:szCs w:val="24"/>
        </w:rPr>
        <w:t xml:space="preserve"> към момента</w:t>
      </w:r>
      <w:r w:rsidR="00E42714" w:rsidRPr="007404FA">
        <w:rPr>
          <w:rFonts w:ascii="Times New Roman" w:hAnsi="Times New Roman" w:cs="Times New Roman"/>
          <w:sz w:val="24"/>
          <w:szCs w:val="24"/>
        </w:rPr>
        <w:t xml:space="preserve"> се прилага модел</w:t>
      </w:r>
      <w:r>
        <w:rPr>
          <w:rFonts w:ascii="Times New Roman" w:hAnsi="Times New Roman" w:cs="Times New Roman"/>
          <w:sz w:val="24"/>
          <w:szCs w:val="24"/>
        </w:rPr>
        <w:t>ът</w:t>
      </w:r>
      <w:r w:rsidR="00E42714" w:rsidRPr="007404FA">
        <w:rPr>
          <w:rFonts w:ascii="Times New Roman" w:hAnsi="Times New Roman" w:cs="Times New Roman"/>
          <w:sz w:val="24"/>
          <w:szCs w:val="24"/>
        </w:rPr>
        <w:t xml:space="preserve"> на анализ </w:t>
      </w:r>
      <w:r w:rsidR="00E42714" w:rsidRPr="00B15AB4">
        <w:rPr>
          <w:rFonts w:ascii="Times New Roman" w:hAnsi="Times New Roman" w:cs="Times New Roman"/>
          <w:sz w:val="24"/>
          <w:szCs w:val="24"/>
        </w:rPr>
        <w:t>„казус</w:t>
      </w:r>
      <w:r w:rsidR="00553661" w:rsidRPr="00B15AB4">
        <w:rPr>
          <w:rFonts w:ascii="Times New Roman" w:hAnsi="Times New Roman" w:cs="Times New Roman"/>
          <w:sz w:val="24"/>
          <w:szCs w:val="24"/>
        </w:rPr>
        <w:t> </w:t>
      </w:r>
      <w:r w:rsidR="00E42714" w:rsidRPr="00B15AB4">
        <w:rPr>
          <w:rFonts w:ascii="Times New Roman" w:hAnsi="Times New Roman" w:cs="Times New Roman"/>
          <w:sz w:val="24"/>
          <w:szCs w:val="24"/>
        </w:rPr>
        <w:t>по</w:t>
      </w:r>
      <w:r w:rsidR="00553661" w:rsidRPr="00B15AB4">
        <w:rPr>
          <w:rFonts w:ascii="Times New Roman" w:hAnsi="Times New Roman" w:cs="Times New Roman"/>
          <w:sz w:val="24"/>
          <w:szCs w:val="24"/>
        </w:rPr>
        <w:t xml:space="preserve"> </w:t>
      </w:r>
      <w:r w:rsidR="00E42714" w:rsidRPr="00B15AB4">
        <w:rPr>
          <w:rFonts w:ascii="Times New Roman" w:hAnsi="Times New Roman" w:cs="Times New Roman"/>
          <w:sz w:val="24"/>
          <w:szCs w:val="24"/>
        </w:rPr>
        <w:t>казус</w:t>
      </w:r>
      <w:r w:rsidRPr="00B15AB4">
        <w:rPr>
          <w:rFonts w:ascii="Times New Roman" w:hAnsi="Times New Roman" w:cs="Times New Roman"/>
          <w:sz w:val="24"/>
          <w:szCs w:val="24"/>
        </w:rPr>
        <w:t>“</w:t>
      </w:r>
      <w:r w:rsidR="00E42714" w:rsidRPr="00B15AB4">
        <w:rPr>
          <w:rFonts w:ascii="Times New Roman" w:hAnsi="Times New Roman" w:cs="Times New Roman"/>
          <w:sz w:val="24"/>
          <w:szCs w:val="24"/>
        </w:rPr>
        <w:t xml:space="preserve">. </w:t>
      </w:r>
      <w:r w:rsidRPr="00B15AB4">
        <w:rPr>
          <w:rFonts w:ascii="Times New Roman" w:hAnsi="Times New Roman" w:cs="Times New Roman"/>
          <w:sz w:val="24"/>
          <w:szCs w:val="24"/>
        </w:rPr>
        <w:t>Независимо от това</w:t>
      </w:r>
      <w:r w:rsidR="00FF192F" w:rsidRPr="00B15AB4">
        <w:rPr>
          <w:rFonts w:ascii="Times New Roman" w:hAnsi="Times New Roman" w:cs="Times New Roman"/>
          <w:sz w:val="24"/>
          <w:szCs w:val="24"/>
        </w:rPr>
        <w:t xml:space="preserve"> о</w:t>
      </w:r>
      <w:r w:rsidR="00E42714" w:rsidRPr="00B15AB4">
        <w:rPr>
          <w:rFonts w:ascii="Times New Roman" w:hAnsi="Times New Roman" w:cs="Times New Roman"/>
          <w:sz w:val="24"/>
          <w:szCs w:val="24"/>
        </w:rPr>
        <w:t>т инициативите</w:t>
      </w:r>
      <w:r w:rsidR="00FF192F" w:rsidRPr="00B15AB4">
        <w:rPr>
          <w:rFonts w:ascii="Times New Roman" w:hAnsi="Times New Roman" w:cs="Times New Roman"/>
          <w:sz w:val="24"/>
          <w:szCs w:val="24"/>
        </w:rPr>
        <w:t>,</w:t>
      </w:r>
      <w:r w:rsidR="00E42714" w:rsidRPr="00B15AB4">
        <w:rPr>
          <w:rFonts w:ascii="Times New Roman" w:hAnsi="Times New Roman" w:cs="Times New Roman"/>
          <w:sz w:val="24"/>
          <w:szCs w:val="24"/>
        </w:rPr>
        <w:t xml:space="preserve"> стартирани на ниво ЕС, става ясно,</w:t>
      </w:r>
      <w:r w:rsidR="00E42714" w:rsidRPr="007404FA">
        <w:rPr>
          <w:rFonts w:ascii="Times New Roman" w:hAnsi="Times New Roman" w:cs="Times New Roman"/>
          <w:sz w:val="24"/>
          <w:szCs w:val="24"/>
        </w:rPr>
        <w:t xml:space="preserve"> че европейският законодател има желанието да интегрира блокчейн технологията в регулаторната рамка, като гарантира спазването на европейските ценности. </w:t>
      </w:r>
    </w:p>
    <w:p w:rsidR="00E42714" w:rsidRPr="007404FA" w:rsidRDefault="00E42714" w:rsidP="00DB6B05">
      <w:pPr>
        <w:spacing w:line="360" w:lineRule="auto"/>
        <w:ind w:firstLine="709"/>
        <w:jc w:val="both"/>
        <w:rPr>
          <w:rFonts w:ascii="Times New Roman" w:hAnsi="Times New Roman" w:cs="Times New Roman"/>
          <w:b/>
          <w:color w:val="FF0000"/>
          <w:sz w:val="24"/>
          <w:szCs w:val="24"/>
        </w:rPr>
      </w:pPr>
    </w:p>
    <w:p w:rsidR="00E42714" w:rsidRPr="007404FA" w:rsidRDefault="00E42714" w:rsidP="00DB6B05">
      <w:pPr>
        <w:spacing w:line="360" w:lineRule="auto"/>
        <w:ind w:firstLine="709"/>
        <w:jc w:val="both"/>
        <w:rPr>
          <w:rFonts w:ascii="Times New Roman" w:hAnsi="Times New Roman" w:cs="Times New Roman"/>
          <w:b/>
          <w:bCs/>
          <w:sz w:val="24"/>
          <w:szCs w:val="24"/>
        </w:rPr>
      </w:pPr>
      <w:r w:rsidRPr="007404FA">
        <w:rPr>
          <w:rFonts w:ascii="Times New Roman" w:hAnsi="Times New Roman" w:cs="Times New Roman"/>
          <w:b/>
          <w:sz w:val="24"/>
          <w:szCs w:val="24"/>
        </w:rPr>
        <w:t xml:space="preserve">5. </w:t>
      </w:r>
      <w:r w:rsidRPr="007404FA">
        <w:rPr>
          <w:rFonts w:ascii="Times New Roman" w:hAnsi="Times New Roman" w:cs="Times New Roman"/>
          <w:b/>
          <w:bCs/>
          <w:sz w:val="24"/>
          <w:szCs w:val="24"/>
        </w:rPr>
        <w:t>Продължаване на усилията на КЗЛД за пълноправно членство в Шенген.</w:t>
      </w:r>
    </w:p>
    <w:p w:rsidR="00330661" w:rsidRPr="007404FA" w:rsidRDefault="00E42714" w:rsidP="00DB6B05">
      <w:pPr>
        <w:tabs>
          <w:tab w:val="left" w:pos="993"/>
        </w:tabs>
        <w:spacing w:line="360" w:lineRule="auto"/>
        <w:ind w:firstLine="709"/>
        <w:jc w:val="both"/>
        <w:rPr>
          <w:rFonts w:ascii="Times New Roman" w:eastAsia="Times New Roman" w:hAnsi="Times New Roman" w:cs="Times New Roman"/>
          <w:sz w:val="24"/>
          <w:szCs w:val="24"/>
        </w:rPr>
      </w:pPr>
      <w:r w:rsidRPr="007404FA">
        <w:rPr>
          <w:rFonts w:ascii="Times New Roman" w:hAnsi="Times New Roman" w:cs="Times New Roman"/>
          <w:bCs/>
          <w:sz w:val="24"/>
          <w:szCs w:val="24"/>
        </w:rPr>
        <w:t>Постоянна задача с актуален характер в дейността на КЗЛД през отчетния период</w:t>
      </w:r>
      <w:r w:rsidR="00DC348E" w:rsidRPr="007404FA">
        <w:rPr>
          <w:rFonts w:ascii="Times New Roman" w:hAnsi="Times New Roman" w:cs="Times New Roman"/>
          <w:bCs/>
          <w:sz w:val="24"/>
          <w:szCs w:val="24"/>
        </w:rPr>
        <w:t xml:space="preserve"> остава </w:t>
      </w:r>
      <w:r w:rsidRPr="007404FA">
        <w:rPr>
          <w:rFonts w:ascii="Times New Roman" w:hAnsi="Times New Roman" w:cs="Times New Roman"/>
          <w:bCs/>
          <w:sz w:val="24"/>
          <w:szCs w:val="24"/>
        </w:rPr>
        <w:t>участие</w:t>
      </w:r>
      <w:r w:rsidR="00B12566" w:rsidRPr="007404FA">
        <w:rPr>
          <w:rFonts w:ascii="Times New Roman" w:hAnsi="Times New Roman" w:cs="Times New Roman"/>
          <w:bCs/>
          <w:sz w:val="24"/>
          <w:szCs w:val="24"/>
        </w:rPr>
        <w:t>то</w:t>
      </w:r>
      <w:r w:rsidRPr="007404FA">
        <w:rPr>
          <w:rFonts w:ascii="Times New Roman" w:hAnsi="Times New Roman" w:cs="Times New Roman"/>
          <w:bCs/>
          <w:sz w:val="24"/>
          <w:szCs w:val="24"/>
        </w:rPr>
        <w:t xml:space="preserve"> на нейни представители в мисии за оценки на шенгенското законодателство в областта на защитата на личните данни</w:t>
      </w:r>
      <w:r w:rsidRPr="007404FA">
        <w:rPr>
          <w:rFonts w:ascii="Times New Roman" w:eastAsia="Times New Roman" w:hAnsi="Times New Roman" w:cs="Times New Roman"/>
          <w:sz w:val="24"/>
          <w:szCs w:val="24"/>
        </w:rPr>
        <w:t xml:space="preserve"> в други държави членки</w:t>
      </w:r>
      <w:r w:rsidR="00586A3D" w:rsidRPr="007404FA">
        <w:rPr>
          <w:rFonts w:ascii="Times New Roman" w:hAnsi="Times New Roman" w:cs="Times New Roman"/>
          <w:bCs/>
          <w:sz w:val="24"/>
          <w:szCs w:val="24"/>
        </w:rPr>
        <w:t xml:space="preserve">. </w:t>
      </w:r>
      <w:r w:rsidR="009D22DC" w:rsidRPr="007404FA">
        <w:rPr>
          <w:rFonts w:ascii="Times New Roman" w:hAnsi="Times New Roman" w:cs="Times New Roman"/>
          <w:bCs/>
          <w:sz w:val="24"/>
          <w:szCs w:val="24"/>
        </w:rPr>
        <w:t>Р</w:t>
      </w:r>
      <w:r w:rsidRPr="007404FA">
        <w:rPr>
          <w:rFonts w:ascii="Times New Roman" w:eastAsia="Times New Roman" w:hAnsi="Times New Roman" w:cs="Times New Roman"/>
          <w:sz w:val="24"/>
          <w:szCs w:val="24"/>
        </w:rPr>
        <w:t xml:space="preserve">еализирани </w:t>
      </w:r>
      <w:r w:rsidR="009D22DC" w:rsidRPr="007404FA">
        <w:rPr>
          <w:rFonts w:ascii="Times New Roman" w:eastAsia="Times New Roman" w:hAnsi="Times New Roman" w:cs="Times New Roman"/>
          <w:sz w:val="24"/>
          <w:szCs w:val="24"/>
        </w:rPr>
        <w:t xml:space="preserve">са </w:t>
      </w:r>
      <w:r w:rsidRPr="007404FA">
        <w:rPr>
          <w:rFonts w:ascii="Times New Roman" w:eastAsia="Times New Roman" w:hAnsi="Times New Roman" w:cs="Times New Roman"/>
          <w:sz w:val="24"/>
          <w:szCs w:val="24"/>
        </w:rPr>
        <w:t xml:space="preserve">две шенгенски </w:t>
      </w:r>
      <w:r w:rsidR="008543E2" w:rsidRPr="007404FA">
        <w:rPr>
          <w:rFonts w:ascii="Times New Roman" w:eastAsia="Times New Roman" w:hAnsi="Times New Roman" w:cs="Times New Roman"/>
          <w:sz w:val="24"/>
          <w:szCs w:val="24"/>
        </w:rPr>
        <w:t>мисии</w:t>
      </w:r>
      <w:r w:rsidRPr="007404FA">
        <w:rPr>
          <w:rFonts w:ascii="Times New Roman" w:eastAsia="Times New Roman" w:hAnsi="Times New Roman" w:cs="Times New Roman"/>
          <w:sz w:val="24"/>
          <w:szCs w:val="24"/>
        </w:rPr>
        <w:t xml:space="preserve"> с участието на експерти от администрацията на КЗЛД</w:t>
      </w:r>
      <w:r w:rsidR="008543E2" w:rsidRPr="007404FA">
        <w:rPr>
          <w:rFonts w:ascii="Times New Roman" w:eastAsia="Times New Roman" w:hAnsi="Times New Roman" w:cs="Times New Roman"/>
          <w:sz w:val="24"/>
          <w:szCs w:val="24"/>
        </w:rPr>
        <w:t xml:space="preserve"> с доказан международен опит в тази област</w:t>
      </w:r>
      <w:r w:rsidRPr="007404FA">
        <w:rPr>
          <w:rFonts w:ascii="Times New Roman" w:eastAsia="Times New Roman" w:hAnsi="Times New Roman" w:cs="Times New Roman"/>
          <w:sz w:val="24"/>
          <w:szCs w:val="24"/>
        </w:rPr>
        <w:t xml:space="preserve">. </w:t>
      </w:r>
    </w:p>
    <w:p w:rsidR="00E42714" w:rsidRPr="007404FA" w:rsidRDefault="00E42714" w:rsidP="00DB6B05">
      <w:pPr>
        <w:tabs>
          <w:tab w:val="left" w:pos="993"/>
        </w:tabs>
        <w:spacing w:line="360" w:lineRule="auto"/>
        <w:ind w:firstLine="709"/>
        <w:jc w:val="both"/>
        <w:rPr>
          <w:rFonts w:ascii="Times New Roman" w:hAnsi="Times New Roman" w:cs="Times New Roman"/>
          <w:b/>
          <w:sz w:val="24"/>
          <w:szCs w:val="24"/>
        </w:rPr>
      </w:pPr>
      <w:r w:rsidRPr="007404FA">
        <w:rPr>
          <w:rFonts w:ascii="Times New Roman" w:eastAsia="Times New Roman" w:hAnsi="Times New Roman" w:cs="Times New Roman"/>
          <w:sz w:val="24"/>
          <w:szCs w:val="24"/>
        </w:rPr>
        <w:t xml:space="preserve">През отчетния период </w:t>
      </w:r>
      <w:r w:rsidR="00734A93" w:rsidRPr="007404FA">
        <w:rPr>
          <w:rFonts w:ascii="Times New Roman" w:eastAsia="Times New Roman" w:hAnsi="Times New Roman" w:cs="Times New Roman"/>
          <w:sz w:val="24"/>
          <w:szCs w:val="24"/>
        </w:rPr>
        <w:t>е</w:t>
      </w:r>
      <w:r w:rsidRPr="007404FA">
        <w:rPr>
          <w:rFonts w:ascii="Times New Roman" w:eastAsia="Times New Roman" w:hAnsi="Times New Roman" w:cs="Times New Roman"/>
          <w:sz w:val="24"/>
          <w:szCs w:val="24"/>
        </w:rPr>
        <w:t xml:space="preserve"> осъществена </w:t>
      </w:r>
      <w:r w:rsidRPr="007404FA">
        <w:rPr>
          <w:rFonts w:ascii="Times New Roman" w:hAnsi="Times New Roman" w:cs="Times New Roman"/>
          <w:bCs/>
          <w:sz w:val="24"/>
          <w:szCs w:val="24"/>
        </w:rPr>
        <w:t>извънредна проверка на готовността на страната ни за пълноправно членство в Шенген, като изпълнение</w:t>
      </w:r>
      <w:r w:rsidR="00330661" w:rsidRPr="007404FA">
        <w:rPr>
          <w:rFonts w:ascii="Times New Roman" w:hAnsi="Times New Roman" w:cs="Times New Roman"/>
          <w:bCs/>
          <w:sz w:val="24"/>
          <w:szCs w:val="24"/>
        </w:rPr>
        <w:t>то</w:t>
      </w:r>
      <w:r w:rsidRPr="007404FA">
        <w:rPr>
          <w:rFonts w:ascii="Times New Roman" w:hAnsi="Times New Roman" w:cs="Times New Roman"/>
          <w:bCs/>
          <w:sz w:val="24"/>
          <w:szCs w:val="24"/>
        </w:rPr>
        <w:t xml:space="preserve"> на изискванията в областта на защитата на личните данни </w:t>
      </w:r>
      <w:r w:rsidR="00157B49">
        <w:rPr>
          <w:rFonts w:ascii="Times New Roman" w:hAnsi="Times New Roman" w:cs="Times New Roman"/>
          <w:bCs/>
          <w:sz w:val="24"/>
          <w:szCs w:val="24"/>
        </w:rPr>
        <w:t>е</w:t>
      </w:r>
      <w:r w:rsidRPr="007404FA">
        <w:rPr>
          <w:rFonts w:ascii="Times New Roman" w:hAnsi="Times New Roman" w:cs="Times New Roman"/>
          <w:bCs/>
          <w:sz w:val="24"/>
          <w:szCs w:val="24"/>
        </w:rPr>
        <w:t xml:space="preserve"> отличен</w:t>
      </w:r>
      <w:r w:rsidR="00157B49">
        <w:rPr>
          <w:rFonts w:ascii="Times New Roman" w:hAnsi="Times New Roman" w:cs="Times New Roman"/>
          <w:bCs/>
          <w:sz w:val="24"/>
          <w:szCs w:val="24"/>
        </w:rPr>
        <w:t>о</w:t>
      </w:r>
      <w:r w:rsidRPr="007404FA">
        <w:rPr>
          <w:rFonts w:ascii="Times New Roman" w:hAnsi="Times New Roman" w:cs="Times New Roman"/>
          <w:bCs/>
          <w:sz w:val="24"/>
          <w:szCs w:val="24"/>
        </w:rPr>
        <w:t xml:space="preserve"> много високо от проверяващия екип</w:t>
      </w:r>
      <w:r w:rsidR="00330661" w:rsidRPr="007404FA">
        <w:rPr>
          <w:rFonts w:ascii="Times New Roman" w:hAnsi="Times New Roman" w:cs="Times New Roman"/>
          <w:bCs/>
          <w:sz w:val="24"/>
          <w:szCs w:val="24"/>
        </w:rPr>
        <w:t>. В резултат на това ЕК впоследствие излиза</w:t>
      </w:r>
      <w:r w:rsidRPr="007404FA">
        <w:rPr>
          <w:rFonts w:ascii="Times New Roman" w:hAnsi="Times New Roman" w:cs="Times New Roman"/>
          <w:bCs/>
          <w:sz w:val="24"/>
          <w:szCs w:val="24"/>
        </w:rPr>
        <w:t xml:space="preserve"> с позиция за пълно съответствие с достиженията на правото на Шенген</w:t>
      </w:r>
      <w:r w:rsidR="00330661" w:rsidRPr="007404FA">
        <w:rPr>
          <w:rFonts w:ascii="Times New Roman" w:hAnsi="Times New Roman" w:cs="Times New Roman"/>
          <w:bCs/>
          <w:sz w:val="24"/>
          <w:szCs w:val="24"/>
        </w:rPr>
        <w:t xml:space="preserve"> в областта на защитата на личните данни. </w:t>
      </w:r>
    </w:p>
    <w:p w:rsidR="000D60D0" w:rsidRPr="007404FA" w:rsidRDefault="0002714F" w:rsidP="00DB6B05">
      <w:pPr>
        <w:spacing w:line="360" w:lineRule="auto"/>
        <w:ind w:firstLine="709"/>
        <w:jc w:val="both"/>
        <w:rPr>
          <w:rFonts w:ascii="Times New Roman" w:eastAsia="Calibri" w:hAnsi="Times New Roman" w:cs="Times New Roman"/>
          <w:b/>
          <w:sz w:val="24"/>
          <w:szCs w:val="24"/>
        </w:rPr>
      </w:pPr>
      <w:r w:rsidRPr="007404FA">
        <w:rPr>
          <w:rFonts w:ascii="Times New Roman" w:eastAsia="Calibri" w:hAnsi="Times New Roman" w:cs="Times New Roman"/>
          <w:sz w:val="24"/>
          <w:szCs w:val="24"/>
        </w:rPr>
        <w:t>В допълнение, п</w:t>
      </w:r>
      <w:r w:rsidR="000D60D0" w:rsidRPr="007404FA">
        <w:rPr>
          <w:rFonts w:ascii="Times New Roman" w:eastAsia="Calibri" w:hAnsi="Times New Roman" w:cs="Times New Roman"/>
          <w:sz w:val="24"/>
          <w:szCs w:val="24"/>
        </w:rPr>
        <w:t>рез 2022</w:t>
      </w:r>
      <w:r w:rsidR="00F06583" w:rsidRPr="007404FA">
        <w:rPr>
          <w:rFonts w:ascii="Times New Roman" w:eastAsia="Calibri" w:hAnsi="Times New Roman" w:cs="Times New Roman"/>
          <w:sz w:val="24"/>
          <w:szCs w:val="24"/>
        </w:rPr>
        <w:t> г.</w:t>
      </w:r>
      <w:r w:rsidR="000D60D0" w:rsidRPr="007404FA">
        <w:rPr>
          <w:rFonts w:ascii="Times New Roman" w:eastAsia="Calibri" w:hAnsi="Times New Roman" w:cs="Times New Roman"/>
          <w:sz w:val="24"/>
          <w:szCs w:val="24"/>
        </w:rPr>
        <w:t xml:space="preserve"> е отделено особено внимание на поддържането на актуална информация в раздела „</w:t>
      </w:r>
      <w:r w:rsidR="000D60D0" w:rsidRPr="007404FA">
        <w:rPr>
          <w:rFonts w:ascii="Times New Roman" w:eastAsia="Calibri" w:hAnsi="Times New Roman" w:cs="Times New Roman"/>
          <w:b/>
          <w:sz w:val="24"/>
          <w:szCs w:val="24"/>
        </w:rPr>
        <w:t>Шенгенско пространство</w:t>
      </w:r>
      <w:r w:rsidR="000D60D0" w:rsidRPr="007404FA">
        <w:rPr>
          <w:rFonts w:ascii="Times New Roman" w:eastAsia="Calibri" w:hAnsi="Times New Roman" w:cs="Times New Roman"/>
          <w:sz w:val="24"/>
          <w:szCs w:val="24"/>
        </w:rPr>
        <w:t>“ на институционалния сайт. Публикувани са информационно-разяснителни брошури на КЗЛД –</w:t>
      </w:r>
      <w:r w:rsidR="00157B49">
        <w:rPr>
          <w:rFonts w:ascii="Times New Roman" w:eastAsia="Calibri" w:hAnsi="Times New Roman" w:cs="Times New Roman"/>
          <w:sz w:val="24"/>
          <w:szCs w:val="24"/>
        </w:rPr>
        <w:t xml:space="preserve"> </w:t>
      </w:r>
      <w:r w:rsidR="000D60D0" w:rsidRPr="007404FA">
        <w:rPr>
          <w:rFonts w:ascii="Times New Roman" w:eastAsia="Calibri" w:hAnsi="Times New Roman" w:cs="Times New Roman"/>
          <w:sz w:val="24"/>
          <w:szCs w:val="24"/>
        </w:rPr>
        <w:t>„Шенгенското пространство и защитата на личните данни“ и „Широкомащабни информацион</w:t>
      </w:r>
      <w:r w:rsidR="007A18CA" w:rsidRPr="007404FA">
        <w:rPr>
          <w:rFonts w:ascii="Times New Roman" w:eastAsia="Calibri" w:hAnsi="Times New Roman" w:cs="Times New Roman"/>
          <w:sz w:val="24"/>
          <w:szCs w:val="24"/>
        </w:rPr>
        <w:t>ни системи на ЕС“</w:t>
      </w:r>
      <w:r w:rsidR="000D60D0" w:rsidRPr="007404FA">
        <w:rPr>
          <w:rFonts w:ascii="Times New Roman" w:eastAsia="Calibri" w:hAnsi="Times New Roman" w:cs="Times New Roman"/>
          <w:sz w:val="24"/>
          <w:szCs w:val="24"/>
        </w:rPr>
        <w:t>, както и брошура на Европейската комисия</w:t>
      </w:r>
      <w:r w:rsidR="00553661" w:rsidRPr="007404FA">
        <w:rPr>
          <w:rFonts w:ascii="Times New Roman" w:eastAsia="Calibri" w:hAnsi="Times New Roman" w:cs="Times New Roman"/>
          <w:sz w:val="24"/>
          <w:szCs w:val="24"/>
        </w:rPr>
        <w:t xml:space="preserve"> – </w:t>
      </w:r>
      <w:r w:rsidR="000D60D0" w:rsidRPr="007404FA">
        <w:rPr>
          <w:rFonts w:ascii="Times New Roman" w:eastAsia="Calibri" w:hAnsi="Times New Roman" w:cs="Times New Roman"/>
          <w:sz w:val="24"/>
          <w:szCs w:val="24"/>
        </w:rPr>
        <w:t>„Шенгенска информационна система. Гарантиране на свобода, сигурност</w:t>
      </w:r>
      <w:r w:rsidR="007A18CA" w:rsidRPr="007404FA">
        <w:rPr>
          <w:rFonts w:ascii="Times New Roman" w:eastAsia="Calibri" w:hAnsi="Times New Roman" w:cs="Times New Roman"/>
          <w:sz w:val="24"/>
          <w:szCs w:val="24"/>
        </w:rPr>
        <w:t xml:space="preserve"> и правосъдие“</w:t>
      </w:r>
      <w:r w:rsidR="000D60D0" w:rsidRPr="007404FA">
        <w:rPr>
          <w:rFonts w:ascii="Times New Roman" w:eastAsia="Calibri" w:hAnsi="Times New Roman" w:cs="Times New Roman"/>
          <w:sz w:val="24"/>
          <w:szCs w:val="24"/>
        </w:rPr>
        <w:t xml:space="preserve"> и на Съвета на ЕС</w:t>
      </w:r>
      <w:r w:rsidR="00553661" w:rsidRPr="007404FA">
        <w:rPr>
          <w:rFonts w:ascii="Times New Roman" w:eastAsia="Calibri" w:hAnsi="Times New Roman" w:cs="Times New Roman"/>
          <w:sz w:val="24"/>
          <w:szCs w:val="24"/>
        </w:rPr>
        <w:t xml:space="preserve"> – </w:t>
      </w:r>
      <w:r w:rsidR="000D60D0" w:rsidRPr="007404FA">
        <w:rPr>
          <w:rFonts w:ascii="Times New Roman" w:eastAsia="Calibri" w:hAnsi="Times New Roman" w:cs="Times New Roman"/>
          <w:sz w:val="24"/>
          <w:szCs w:val="24"/>
        </w:rPr>
        <w:t>„Шенген. Вашият портал за свободно движе</w:t>
      </w:r>
      <w:r w:rsidR="007A18CA" w:rsidRPr="007404FA">
        <w:rPr>
          <w:rFonts w:ascii="Times New Roman" w:eastAsia="Calibri" w:hAnsi="Times New Roman" w:cs="Times New Roman"/>
          <w:sz w:val="24"/>
          <w:szCs w:val="24"/>
        </w:rPr>
        <w:t xml:space="preserve">ние в Европа“. </w:t>
      </w:r>
    </w:p>
    <w:p w:rsidR="00103365" w:rsidRPr="007404FA" w:rsidRDefault="00103365" w:rsidP="00DB6B05">
      <w:pPr>
        <w:spacing w:line="259" w:lineRule="auto"/>
        <w:rPr>
          <w:rFonts w:ascii="Times New Roman" w:hAnsi="Times New Roman" w:cs="Times New Roman"/>
          <w:b/>
          <w:sz w:val="24"/>
          <w:szCs w:val="24"/>
        </w:rPr>
      </w:pPr>
      <w:r w:rsidRPr="007404FA">
        <w:rPr>
          <w:rFonts w:ascii="Times New Roman" w:hAnsi="Times New Roman" w:cs="Times New Roman"/>
          <w:b/>
          <w:sz w:val="24"/>
          <w:szCs w:val="24"/>
        </w:rPr>
        <w:br w:type="page"/>
      </w:r>
    </w:p>
    <w:p w:rsidR="00E42714" w:rsidRPr="00752CB0" w:rsidRDefault="00E42714" w:rsidP="00752CB0">
      <w:pPr>
        <w:pStyle w:val="Heading1"/>
        <w:spacing w:before="0" w:line="360" w:lineRule="auto"/>
        <w:ind w:firstLine="709"/>
        <w:jc w:val="both"/>
        <w:rPr>
          <w:rFonts w:ascii="Times New Roman" w:hAnsi="Times New Roman" w:cs="Times New Roman"/>
          <w:sz w:val="24"/>
          <w:szCs w:val="24"/>
        </w:rPr>
      </w:pPr>
      <w:bookmarkStart w:id="2" w:name="_Toc130915379"/>
      <w:r w:rsidRPr="00752CB0">
        <w:rPr>
          <w:rFonts w:ascii="Times New Roman" w:hAnsi="Times New Roman" w:cs="Times New Roman"/>
          <w:sz w:val="24"/>
          <w:szCs w:val="24"/>
        </w:rPr>
        <w:lastRenderedPageBreak/>
        <w:t>III. ЗАЩИТА НА ПРАВАТА НА СУБЕКТИТЕ НА ДАННИ ПРИ ОБРАБОТВАНЕ НА ЛИЧНИТЕ ИМ ДАННИ</w:t>
      </w:r>
      <w:bookmarkEnd w:id="2"/>
    </w:p>
    <w:p w:rsidR="00E42714" w:rsidRPr="007404FA" w:rsidRDefault="00E42714" w:rsidP="00DB6B05">
      <w:pPr>
        <w:spacing w:line="360" w:lineRule="auto"/>
        <w:ind w:firstLine="709"/>
        <w:jc w:val="both"/>
        <w:rPr>
          <w:rFonts w:ascii="Times New Roman" w:hAnsi="Times New Roman" w:cs="Times New Roman"/>
          <w:sz w:val="24"/>
          <w:szCs w:val="24"/>
        </w:rPr>
      </w:pPr>
    </w:p>
    <w:p w:rsidR="001F2700" w:rsidRPr="007404FA" w:rsidRDefault="001F2700" w:rsidP="00DB6B05">
      <w:pPr>
        <w:spacing w:line="360" w:lineRule="auto"/>
        <w:ind w:firstLine="709"/>
        <w:jc w:val="both"/>
        <w:rPr>
          <w:rFonts w:ascii="Times New Roman" w:hAnsi="Times New Roman" w:cs="Times New Roman"/>
          <w:b/>
          <w:sz w:val="24"/>
          <w:szCs w:val="24"/>
        </w:rPr>
      </w:pPr>
      <w:r w:rsidRPr="007404FA">
        <w:rPr>
          <w:rFonts w:ascii="Times New Roman" w:hAnsi="Times New Roman" w:cs="Times New Roman"/>
          <w:b/>
          <w:sz w:val="24"/>
          <w:szCs w:val="24"/>
        </w:rPr>
        <w:t>1. Производство по</w:t>
      </w:r>
      <w:r w:rsidR="00F06583" w:rsidRPr="007404FA">
        <w:rPr>
          <w:rFonts w:ascii="Times New Roman" w:hAnsi="Times New Roman" w:cs="Times New Roman"/>
          <w:b/>
          <w:sz w:val="24"/>
          <w:szCs w:val="24"/>
        </w:rPr>
        <w:t xml:space="preserve"> чл. </w:t>
      </w:r>
      <w:r w:rsidRPr="007404FA">
        <w:rPr>
          <w:rFonts w:ascii="Times New Roman" w:hAnsi="Times New Roman" w:cs="Times New Roman"/>
          <w:b/>
          <w:sz w:val="24"/>
          <w:szCs w:val="24"/>
        </w:rPr>
        <w:t>38,</w:t>
      </w:r>
      <w:r w:rsidR="00F06583" w:rsidRPr="007404FA">
        <w:rPr>
          <w:rFonts w:ascii="Times New Roman" w:hAnsi="Times New Roman" w:cs="Times New Roman"/>
          <w:b/>
          <w:sz w:val="24"/>
          <w:szCs w:val="24"/>
        </w:rPr>
        <w:t xml:space="preserve"> ал. </w:t>
      </w:r>
      <w:r w:rsidRPr="007404FA">
        <w:rPr>
          <w:rFonts w:ascii="Times New Roman" w:hAnsi="Times New Roman" w:cs="Times New Roman"/>
          <w:b/>
          <w:sz w:val="24"/>
          <w:szCs w:val="24"/>
        </w:rPr>
        <w:t>1 от ЗЗЛД. Прилагане на Регламент (ЕС) 2016/679 на Европейския парламент и на Съвета от 27 април 2016</w:t>
      </w:r>
      <w:r w:rsidR="00F06583" w:rsidRPr="007404FA">
        <w:rPr>
          <w:rFonts w:ascii="Times New Roman" w:hAnsi="Times New Roman" w:cs="Times New Roman"/>
          <w:b/>
          <w:sz w:val="24"/>
          <w:szCs w:val="24"/>
        </w:rPr>
        <w:t> г.</w:t>
      </w:r>
      <w:r w:rsidRPr="007404FA">
        <w:rPr>
          <w:rFonts w:ascii="Times New Roman" w:hAnsi="Times New Roman" w:cs="Times New Roman"/>
          <w:b/>
          <w:sz w:val="24"/>
          <w:szCs w:val="24"/>
        </w:rPr>
        <w:t xml:space="preserve"> относно защитата на физическите лица във връзка с обработването на лични данни и относно свободното движение на такива данни и Закона за защита на личните данни.</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Производството по</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38,</w:t>
      </w:r>
      <w:r w:rsidR="00F06583" w:rsidRPr="007404FA">
        <w:rPr>
          <w:rFonts w:ascii="Times New Roman" w:hAnsi="Times New Roman" w:cs="Times New Roman"/>
          <w:sz w:val="24"/>
          <w:szCs w:val="24"/>
        </w:rPr>
        <w:t xml:space="preserve"> ал. </w:t>
      </w:r>
      <w:r w:rsidRPr="007404FA">
        <w:rPr>
          <w:rFonts w:ascii="Times New Roman" w:hAnsi="Times New Roman" w:cs="Times New Roman"/>
          <w:sz w:val="24"/>
          <w:szCs w:val="24"/>
        </w:rPr>
        <w:t xml:space="preserve">1 от ЗЗЛД е националната правна норма, която урежда подаването и разглеждането на жалби пред Комисията за защита на личните данни относно твърдения за нарушаване на права на субект на данни по Регламент (ЕС) 2016/679 и по Закона за защита на личните данни.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Производството започва по инициатива на субекта на данни или упълномощено от него лице и приключва с решение на КЗЛД, което има характер на индивидуален административен акт, подлежащ на двуинстанционен съдебен контрол. Във всеки етап на административното производство лицето може да оттегли искането си и да десезира КЗЛД. В производството по разглеждане на жалби от КЗЛД не се дължат такси и в тази връзка възможността за защита е достъпна за всяко физическо лице.</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Производството е административно по своя характер, като освен специалните норми на ОРЗД и ЗЗЛД касателно компетентността на КЗЛД и сроковете за сезиране приложение намират и общите норми на Административнопроцесуалния кодекс, същите</w:t>
      </w:r>
      <w:r w:rsidR="00690DB9">
        <w:rPr>
          <w:rFonts w:ascii="Times New Roman" w:hAnsi="Times New Roman" w:cs="Times New Roman"/>
          <w:sz w:val="24"/>
          <w:szCs w:val="24"/>
        </w:rPr>
        <w:t>,</w:t>
      </w:r>
      <w:r w:rsidRPr="007404FA">
        <w:rPr>
          <w:rFonts w:ascii="Times New Roman" w:hAnsi="Times New Roman" w:cs="Times New Roman"/>
          <w:sz w:val="24"/>
          <w:szCs w:val="24"/>
        </w:rPr>
        <w:t xml:space="preserve"> прилагани субсидиарно, в това число принципите на законност, безпристрастност, служебно начало, равенство на страните, истинност, достъпност, публичност и прозрачност, като гаранция за справедлив административен процес.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За да упражни правомощията си, Комисията следва да бъде валидно сезирана по един от следните начини: с писмено искане</w:t>
      </w:r>
      <w:r w:rsidR="008D7FA5" w:rsidRPr="007404FA">
        <w:rPr>
          <w:rFonts w:ascii="Times New Roman" w:hAnsi="Times New Roman" w:cs="Times New Roman"/>
          <w:sz w:val="24"/>
          <w:szCs w:val="24"/>
        </w:rPr>
        <w:t>,</w:t>
      </w:r>
      <w:r w:rsidRPr="007404FA">
        <w:rPr>
          <w:rFonts w:ascii="Times New Roman" w:hAnsi="Times New Roman" w:cs="Times New Roman"/>
          <w:sz w:val="24"/>
          <w:szCs w:val="24"/>
        </w:rPr>
        <w:t xml:space="preserve"> подаден</w:t>
      </w:r>
      <w:r w:rsidR="00690DB9">
        <w:rPr>
          <w:rFonts w:ascii="Times New Roman" w:hAnsi="Times New Roman" w:cs="Times New Roman"/>
          <w:sz w:val="24"/>
          <w:szCs w:val="24"/>
        </w:rPr>
        <w:t>о в деловодството на КЗЛД лично</w:t>
      </w:r>
      <w:r w:rsidRPr="007404FA">
        <w:rPr>
          <w:rFonts w:ascii="Times New Roman" w:hAnsi="Times New Roman" w:cs="Times New Roman"/>
          <w:sz w:val="24"/>
          <w:szCs w:val="24"/>
        </w:rPr>
        <w:t xml:space="preserve"> или чрез упълномощен представител, с писмо, по факс, по електронен път по реда на Закона за електронния документ и електронните удостоверителни услуги или чрез системата за сигурно електронно връчване.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Анализ на постъпилите през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жалби сочи, че предпочитан начин за сезиране на КЗЛД остава използването на пощенски и куриерски услуги. Увеличават се жалбите, постъпили чрез системата за сигурно електронно връчване</w:t>
      </w:r>
      <w:r w:rsidR="00690DB9">
        <w:rPr>
          <w:rFonts w:ascii="Times New Roman" w:hAnsi="Times New Roman" w:cs="Times New Roman"/>
          <w:sz w:val="24"/>
          <w:szCs w:val="24"/>
        </w:rPr>
        <w:t>,</w:t>
      </w:r>
      <w:r w:rsidRPr="007404FA">
        <w:rPr>
          <w:rFonts w:ascii="Times New Roman" w:hAnsi="Times New Roman" w:cs="Times New Roman"/>
          <w:sz w:val="24"/>
          <w:szCs w:val="24"/>
        </w:rPr>
        <w:t xml:space="preserve"> и тези, подадени по електронен път на имейла на КЗЛД. Единици са жалбите</w:t>
      </w:r>
      <w:r w:rsidR="008D7FA5" w:rsidRPr="007404FA">
        <w:rPr>
          <w:rFonts w:ascii="Times New Roman" w:hAnsi="Times New Roman" w:cs="Times New Roman"/>
          <w:sz w:val="24"/>
          <w:szCs w:val="24"/>
        </w:rPr>
        <w:t>,</w:t>
      </w:r>
      <w:r w:rsidRPr="007404FA">
        <w:rPr>
          <w:rFonts w:ascii="Times New Roman" w:hAnsi="Times New Roman" w:cs="Times New Roman"/>
          <w:sz w:val="24"/>
          <w:szCs w:val="24"/>
        </w:rPr>
        <w:t xml:space="preserve"> депозирани лично в деловодството на КЗЛД. Прави впечатление обаче големият брой жалби, подадени на имейла на КЗЛД без квалифициран електронен подпис, което е предпоставка за тяхната нередовност и забавяне </w:t>
      </w:r>
      <w:r w:rsidRPr="007404FA">
        <w:rPr>
          <w:rFonts w:ascii="Times New Roman" w:hAnsi="Times New Roman" w:cs="Times New Roman"/>
          <w:sz w:val="24"/>
          <w:szCs w:val="24"/>
        </w:rPr>
        <w:lastRenderedPageBreak/>
        <w:t>на развитието на производството, респективно неговото прекратяване, в хипотезата на неизпълнени указания по потвърждаване на жалбата в законоустановените срокове.</w:t>
      </w:r>
      <w:r w:rsidR="00157B49">
        <w:rPr>
          <w:rFonts w:ascii="Times New Roman" w:hAnsi="Times New Roman" w:cs="Times New Roman"/>
          <w:sz w:val="24"/>
          <w:szCs w:val="24"/>
        </w:rPr>
        <w:t xml:space="preserve">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Искането следва да съдържа: данни за жалбоподателя</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имена, адрес за кореспонденция и постоянен адрес (за определяне на местната подсъдност по</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 xml:space="preserve">133 от АПК), телефон за връзка, електронен адрес (при наличие), естеството на искането, дата на узнаване на нарушението, пасивно легитимирана страна, дата и подпис. При сезиране по електронен път жалбата трябва да бъде подписана с квалифициран електронен подпис, респективно подадена чрез системата за сигурно електронно връчване.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Комисията не разглежда анонимни искания. Извън компетентността на КЗЛД са жалби, касаещи обработване на лични данни от съда, прокуратурата и следствието при изпълнение на функциите им на органи на съдебната власт, като извън правната регулация на ОРЗД и ЗЗЛД, респективно извън правомощията на КЗЛД, е и обработването на лични данни от физическо лице в хода на чисто лични или домашни занимания, както и обработването на данни за починали лица освен в случаите по</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25е от ЗЗЛД. Претенциите за присъждане на обезщетение също са извън компетентността на Комисията, като съгласно нормата на</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39,</w:t>
      </w:r>
      <w:r w:rsidR="00F06583" w:rsidRPr="007404FA">
        <w:rPr>
          <w:rFonts w:ascii="Times New Roman" w:hAnsi="Times New Roman" w:cs="Times New Roman"/>
          <w:sz w:val="24"/>
          <w:szCs w:val="24"/>
        </w:rPr>
        <w:t xml:space="preserve"> ал. </w:t>
      </w:r>
      <w:r w:rsidRPr="007404FA">
        <w:rPr>
          <w:rFonts w:ascii="Times New Roman" w:hAnsi="Times New Roman" w:cs="Times New Roman"/>
          <w:sz w:val="24"/>
          <w:szCs w:val="24"/>
        </w:rPr>
        <w:t>2 от Закона за защита на личните данни субектът на данни може да претендира обезщетение за претърпени от него вреди вследствие неправомерно обработване на лични данни само по съдебен ред. Не се разглеждат и жалби, при съставянето на които е използвана латиница или друга графична система, различна от кирилицата (освен ако не са написани на език, различен от българския).</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Предпоставки за допустимост на искането и упражняване на правомощията на КЗЛД са наличието на правен интерес на искателя, липсата на влязъл в сила административен акт със същия предмет и страни, липсата на висящо административно производство със същия предмет пред същия орган и с участието на същата страна, независимо дали е във фазата на издаване или оспорване, дееспособност на субекта на данни, наличието на въпрос от компетентността на КЗЛД, както и спазване на законоустановените срокове за сезиране на надзорния орган. Сроковете за сезиране са преклузивни</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6 месеца от узнаване на нарушението, но не по-късно от две години от извършването му</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за нарушения, извършени след 02.03.2019</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За нарушения, извършени преди 02.03.2019</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срокът за сезиране на КЗЛД е съответно 1 година от узнаване на нарушението, но не по-късно от 5 години от извършването му.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Жалбите, удовлетворяващи изискванията за редовност и допустимост, се разглеждат по същество в открито заседание на КЗЛД с възможност за участие на страните и техните процесуални представители.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lastRenderedPageBreak/>
        <w:t>С решението си по същество КЗЛД може да остави жалбата без уважение като неоснователна</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когато не се установи нарушение на правата на жалбоподателя, а при основателна жалба следва да упражни някое от предвидените в</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 xml:space="preserve">58, §2 от Регламент (ЕС) 2016/679 правомощия: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a) да отправя предупреждения до </w:t>
      </w:r>
      <w:r w:rsidR="00F96FAA" w:rsidRPr="007404FA">
        <w:rPr>
          <w:rFonts w:ascii="Times New Roman" w:hAnsi="Times New Roman" w:cs="Times New Roman"/>
          <w:sz w:val="24"/>
          <w:szCs w:val="24"/>
        </w:rPr>
        <w:t xml:space="preserve">администратори на лични данни </w:t>
      </w:r>
      <w:r w:rsidR="00690DB9" w:rsidRPr="007404FA">
        <w:rPr>
          <w:rFonts w:ascii="Times New Roman" w:hAnsi="Times New Roman" w:cs="Times New Roman"/>
          <w:sz w:val="24"/>
          <w:szCs w:val="24"/>
        </w:rPr>
        <w:t>(</w:t>
      </w:r>
      <w:r w:rsidRPr="007404FA">
        <w:rPr>
          <w:rFonts w:ascii="Times New Roman" w:hAnsi="Times New Roman" w:cs="Times New Roman"/>
          <w:sz w:val="24"/>
          <w:szCs w:val="24"/>
        </w:rPr>
        <w:t>АЛД</w:t>
      </w:r>
      <w:r w:rsidR="00690DB9" w:rsidRPr="007404FA">
        <w:rPr>
          <w:rFonts w:ascii="Times New Roman" w:hAnsi="Times New Roman" w:cs="Times New Roman"/>
          <w:sz w:val="24"/>
          <w:szCs w:val="24"/>
        </w:rPr>
        <w:t>)</w:t>
      </w:r>
      <w:r w:rsidRPr="007404FA">
        <w:rPr>
          <w:rFonts w:ascii="Times New Roman" w:hAnsi="Times New Roman" w:cs="Times New Roman"/>
          <w:sz w:val="24"/>
          <w:szCs w:val="24"/>
        </w:rPr>
        <w:t xml:space="preserve"> или </w:t>
      </w:r>
      <w:r w:rsidR="00F96FAA" w:rsidRPr="007404FA">
        <w:rPr>
          <w:rFonts w:ascii="Times New Roman" w:hAnsi="Times New Roman" w:cs="Times New Roman"/>
          <w:sz w:val="24"/>
          <w:szCs w:val="24"/>
        </w:rPr>
        <w:t xml:space="preserve">обработващи лични данни </w:t>
      </w:r>
      <w:r w:rsidR="00690DB9" w:rsidRPr="007404FA">
        <w:rPr>
          <w:rFonts w:ascii="Times New Roman" w:hAnsi="Times New Roman" w:cs="Times New Roman"/>
          <w:sz w:val="24"/>
          <w:szCs w:val="24"/>
        </w:rPr>
        <w:t>(</w:t>
      </w:r>
      <w:r w:rsidRPr="007404FA">
        <w:rPr>
          <w:rFonts w:ascii="Times New Roman" w:hAnsi="Times New Roman" w:cs="Times New Roman"/>
          <w:sz w:val="24"/>
          <w:szCs w:val="24"/>
        </w:rPr>
        <w:t>ОЛД</w:t>
      </w:r>
      <w:r w:rsidR="00690DB9" w:rsidRPr="007404FA">
        <w:rPr>
          <w:rFonts w:ascii="Times New Roman" w:hAnsi="Times New Roman" w:cs="Times New Roman"/>
          <w:sz w:val="24"/>
          <w:szCs w:val="24"/>
        </w:rPr>
        <w:t>)</w:t>
      </w:r>
      <w:r w:rsidRPr="007404FA">
        <w:rPr>
          <w:rFonts w:ascii="Times New Roman" w:hAnsi="Times New Roman" w:cs="Times New Roman"/>
          <w:sz w:val="24"/>
          <w:szCs w:val="24"/>
        </w:rPr>
        <w:t>, когато има вероятност операции по обработване на данни, които те възнамеряват да извършат, да нарушат разпоредбите на настоящия регламент;</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б) да отправя официално предупреждение до АЛД или ОЛД, когато операции по обработване на данни са нарушили разпоредбите на настоящия регламент;</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в) да разпорежда на АЛД или ОЛД да изпълни исканията на субекта на данни да упражнява правата си съгласно настоящия регламент;</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г) да разпорежда на АЛД или ОЛД да съобрази операциите по обработване на данни с разпоредбите на настоящия регламент и ако е целесъобразно, това да стане по указан начин и в определен срок;</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д) да разпорежда на АЛД да съобщава на субекта на данните за нарушение на сигурността на личните данни;</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е) да налага временно или окончателно ограничаване, в т.ч. забрана, на обработването на данни;</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ж) да разпорежда коригирането или изтриването на лични данни, или ограничаването на обработването им съгласно</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16, 17 и 18, както и уведомяването за тези действия на получатели, пред които личните данни са били разкрити съгласно</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17, §2 и</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19;</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и) да налага административно наказание „глоба“ или „имуществена санкция“ съгласно</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83 в допълнение към мерките, посочени в настоящия параграф, или вместо тях в зависимост от особеностите на всеки отделен случай;</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й) да разпорежда преустановяването на потока на данни към получател в трета държава или към международна организация.</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Нормативно установена е възможността за кумулативното налагане на административно наказание „глоба“ и/или „имуществена санкция“ в допълнение към наложена принудителна административна мярка, каквито по същество са тези по буква „а“, „б“, „в“, „г“, „д“, „е“, „ж“ и „й“ от Регламента.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Законодателят допуска отклонение от производството. Съгласно</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 xml:space="preserve">57, §1, буква „е“ от Регламент 2016/679 всеки надзорен орган, в случая КЗЛД, следва да разглежда жалби, подадени от субекти на данни, и да разследва предмета на жалбата, доколкото това е </w:t>
      </w:r>
      <w:r w:rsidRPr="007404FA">
        <w:rPr>
          <w:rFonts w:ascii="Times New Roman" w:hAnsi="Times New Roman" w:cs="Times New Roman"/>
          <w:sz w:val="24"/>
          <w:szCs w:val="24"/>
        </w:rPr>
        <w:lastRenderedPageBreak/>
        <w:t>целесъобразно. Целесъобразността при разглеждането на жалбите и развитието на производството е процесуално доразвита и във вътрешното законодателство</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в</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38,</w:t>
      </w:r>
      <w:r w:rsidR="00F06583" w:rsidRPr="007404FA">
        <w:rPr>
          <w:rFonts w:ascii="Times New Roman" w:hAnsi="Times New Roman" w:cs="Times New Roman"/>
          <w:sz w:val="24"/>
          <w:szCs w:val="24"/>
        </w:rPr>
        <w:t xml:space="preserve"> ал. </w:t>
      </w:r>
      <w:r w:rsidRPr="007404FA">
        <w:rPr>
          <w:rFonts w:ascii="Times New Roman" w:hAnsi="Times New Roman" w:cs="Times New Roman"/>
          <w:sz w:val="24"/>
          <w:szCs w:val="24"/>
        </w:rPr>
        <w:t>4 от ЗЗЛД</w:t>
      </w:r>
      <w:r w:rsidR="00690DB9">
        <w:rPr>
          <w:rFonts w:ascii="Times New Roman" w:hAnsi="Times New Roman" w:cs="Times New Roman"/>
          <w:sz w:val="24"/>
          <w:szCs w:val="24"/>
        </w:rPr>
        <w:t>,</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когато жалбата е очевидно неоснователна или прекомерна, с решение на Комисията да бъде оставена без разглеждане. Приложението на института на очевидната неоснователност е в рамките на оперативната самостоятелност на КЗЛД и е израз на принципа на бързина и процесуална икономия в административното производство в хипотези, в които фактическата обстановка е безспорно установена и не е спорна между страните. В практиката си досега Комисията не е прилагала хипотезата на прекомерност.</w:t>
      </w:r>
    </w:p>
    <w:p w:rsidR="008D7FA5" w:rsidRPr="007404FA" w:rsidRDefault="008D7FA5" w:rsidP="00DB6B05">
      <w:pPr>
        <w:spacing w:line="360" w:lineRule="auto"/>
        <w:ind w:firstLine="709"/>
        <w:jc w:val="both"/>
        <w:rPr>
          <w:rFonts w:ascii="Times New Roman" w:hAnsi="Times New Roman" w:cs="Times New Roman"/>
          <w:b/>
          <w:sz w:val="24"/>
          <w:szCs w:val="24"/>
        </w:rPr>
      </w:pPr>
    </w:p>
    <w:p w:rsidR="001F2700" w:rsidRPr="007404FA" w:rsidRDefault="001F2700" w:rsidP="00DB6B05">
      <w:pPr>
        <w:spacing w:line="360" w:lineRule="auto"/>
        <w:ind w:firstLine="709"/>
        <w:jc w:val="both"/>
        <w:rPr>
          <w:rFonts w:ascii="Times New Roman" w:hAnsi="Times New Roman" w:cs="Times New Roman"/>
          <w:b/>
          <w:sz w:val="24"/>
          <w:szCs w:val="24"/>
        </w:rPr>
      </w:pPr>
      <w:r w:rsidRPr="007404FA">
        <w:rPr>
          <w:rFonts w:ascii="Times New Roman" w:hAnsi="Times New Roman" w:cs="Times New Roman"/>
          <w:b/>
          <w:sz w:val="24"/>
          <w:szCs w:val="24"/>
        </w:rPr>
        <w:t>2. Статистика и анализ на постъпил</w:t>
      </w:r>
      <w:r w:rsidR="00AE2950" w:rsidRPr="007404FA">
        <w:rPr>
          <w:rFonts w:ascii="Times New Roman" w:hAnsi="Times New Roman" w:cs="Times New Roman"/>
          <w:b/>
          <w:sz w:val="24"/>
          <w:szCs w:val="24"/>
        </w:rPr>
        <w:t>ите в комисията жалби и искания</w:t>
      </w:r>
      <w:r w:rsidR="00690DB9">
        <w:rPr>
          <w:rFonts w:ascii="Times New Roman" w:hAnsi="Times New Roman" w:cs="Times New Roman"/>
          <w:b/>
          <w:sz w:val="24"/>
          <w:szCs w:val="24"/>
        </w:rPr>
        <w:t>.</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През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КЗЛД е сезирана с над 770 жалби, подадени от физически лица, с твърдения за нарушения при обработване на лични данни и упражняване на права. Забелязва се незначително намаляване на броя жалби в сравнение с предходната 2021</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когато броят на жалбите е 840.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Подадените жалби се отличават с правна и фактическа сложност</w:t>
      </w:r>
      <w:r w:rsidR="00690DB9">
        <w:rPr>
          <w:rFonts w:ascii="Times New Roman" w:hAnsi="Times New Roman" w:cs="Times New Roman"/>
          <w:sz w:val="24"/>
          <w:szCs w:val="24"/>
        </w:rPr>
        <w:t> –</w:t>
      </w:r>
      <w:r w:rsidR="00F06583" w:rsidRPr="007404FA">
        <w:rPr>
          <w:rFonts w:ascii="Times New Roman" w:hAnsi="Times New Roman" w:cs="Times New Roman"/>
          <w:sz w:val="24"/>
          <w:szCs w:val="24"/>
        </w:rPr>
        <w:t xml:space="preserve"> </w:t>
      </w:r>
      <w:r w:rsidR="00690DB9">
        <w:rPr>
          <w:rFonts w:ascii="Times New Roman" w:hAnsi="Times New Roman" w:cs="Times New Roman"/>
          <w:sz w:val="24"/>
          <w:szCs w:val="24"/>
        </w:rPr>
        <w:t>повече от един жалбоподател</w:t>
      </w:r>
      <w:r w:rsidRPr="007404FA">
        <w:rPr>
          <w:rFonts w:ascii="Times New Roman" w:hAnsi="Times New Roman" w:cs="Times New Roman"/>
          <w:sz w:val="24"/>
          <w:szCs w:val="24"/>
        </w:rPr>
        <w:t xml:space="preserve"> и/или ответн</w:t>
      </w:r>
      <w:r w:rsidR="00690DB9">
        <w:rPr>
          <w:rFonts w:ascii="Times New Roman" w:hAnsi="Times New Roman" w:cs="Times New Roman"/>
          <w:sz w:val="24"/>
          <w:szCs w:val="24"/>
        </w:rPr>
        <w:t>а</w:t>
      </w:r>
      <w:r w:rsidRPr="007404FA">
        <w:rPr>
          <w:rFonts w:ascii="Times New Roman" w:hAnsi="Times New Roman" w:cs="Times New Roman"/>
          <w:sz w:val="24"/>
          <w:szCs w:val="24"/>
        </w:rPr>
        <w:t xml:space="preserve"> стран</w:t>
      </w:r>
      <w:r w:rsidR="00690DB9">
        <w:rPr>
          <w:rFonts w:ascii="Times New Roman" w:hAnsi="Times New Roman" w:cs="Times New Roman"/>
          <w:sz w:val="24"/>
          <w:szCs w:val="24"/>
        </w:rPr>
        <w:t>а</w:t>
      </w:r>
      <w:r w:rsidRPr="007404FA">
        <w:rPr>
          <w:rFonts w:ascii="Times New Roman" w:hAnsi="Times New Roman" w:cs="Times New Roman"/>
          <w:sz w:val="24"/>
          <w:szCs w:val="24"/>
        </w:rPr>
        <w:t>, жалбоподатели, които не са български граждани или администратори на лични данни с основно място на установяване извън територията на Република България. Най-често при подаване на жалби срещу администратори на електронни сайтове не са посочени пасивно легитимирани страни, обстоятелство, което изисква и сътрудничество с органите на МВР за установяване на последните. Фактическата и правна сложност на казусите е свързана и със сложен фактически състав на твърдените нарушения, касаещи различни форми на обработване на лични данни и участие на повече от един администратор и/или обработващ в процеса на обработване на личните данни. Все по-често се налага провеждането на повече от едно открито заседание, допускане на експертизи, събиране на гласни доказателства, служебно конституиране на страни и сътрудничество с други надзорни органи, както и междуинституционално взаимодействие. В тази връзка за поредна година може да се отчете успешно междуинституционално взаимодействие/сътрудничество между Комисията, от една страна, и Националната агенция за приходите (НАП), Централната избирателна комисия (ЦИК), Националния институт по криминалистика, Изпълнителна агенция „Главна инспекци</w:t>
      </w:r>
      <w:r w:rsidR="00690DB9">
        <w:rPr>
          <w:rFonts w:ascii="Times New Roman" w:hAnsi="Times New Roman" w:cs="Times New Roman"/>
          <w:sz w:val="24"/>
          <w:szCs w:val="24"/>
        </w:rPr>
        <w:t>я по труда“, органите на МВР и п</w:t>
      </w:r>
      <w:r w:rsidRPr="007404FA">
        <w:rPr>
          <w:rFonts w:ascii="Times New Roman" w:hAnsi="Times New Roman" w:cs="Times New Roman"/>
          <w:sz w:val="24"/>
          <w:szCs w:val="24"/>
        </w:rPr>
        <w:t xml:space="preserve">рокуратурата, от друга.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Запазва се като отрицателна тенденция в производствата, влияеща както върху продължителността, така и върху изхода им, пасивното поведение на жалбоподателите, които не вземат отношение по събраните в хода на производството доказателства, не оспорват твърденията на ответниците, не представят доказателства за подкрепа на </w:t>
      </w:r>
      <w:r w:rsidR="00690DB9">
        <w:rPr>
          <w:rFonts w:ascii="Times New Roman" w:hAnsi="Times New Roman" w:cs="Times New Roman"/>
          <w:sz w:val="24"/>
          <w:szCs w:val="24"/>
        </w:rPr>
        <w:lastRenderedPageBreak/>
        <w:t>твърденията си</w:t>
      </w:r>
      <w:r w:rsidRPr="007404FA">
        <w:rPr>
          <w:rFonts w:ascii="Times New Roman" w:hAnsi="Times New Roman" w:cs="Times New Roman"/>
          <w:sz w:val="24"/>
          <w:szCs w:val="24"/>
        </w:rPr>
        <w:t xml:space="preserve"> въпреки дадени от КЗЛД изрични указания за разпределяне на доказателствената тежест в процеса. Липсата на процесуална активност от страна на жалбоподателите</w:t>
      </w:r>
      <w:r w:rsidR="00157B49">
        <w:rPr>
          <w:rFonts w:ascii="Times New Roman" w:hAnsi="Times New Roman" w:cs="Times New Roman"/>
          <w:sz w:val="24"/>
          <w:szCs w:val="24"/>
        </w:rPr>
        <w:t xml:space="preserve"> </w:t>
      </w:r>
      <w:r w:rsidRPr="007404FA">
        <w:rPr>
          <w:rFonts w:ascii="Times New Roman" w:hAnsi="Times New Roman" w:cs="Times New Roman"/>
          <w:sz w:val="24"/>
          <w:szCs w:val="24"/>
        </w:rPr>
        <w:t>невинаги може да бъде компенсиран</w:t>
      </w:r>
      <w:r w:rsidR="00690DB9">
        <w:rPr>
          <w:rFonts w:ascii="Times New Roman" w:hAnsi="Times New Roman" w:cs="Times New Roman"/>
          <w:sz w:val="24"/>
          <w:szCs w:val="24"/>
        </w:rPr>
        <w:t>а</w:t>
      </w:r>
      <w:r w:rsidRPr="007404FA">
        <w:rPr>
          <w:rFonts w:ascii="Times New Roman" w:hAnsi="Times New Roman" w:cs="Times New Roman"/>
          <w:sz w:val="24"/>
          <w:szCs w:val="24"/>
        </w:rPr>
        <w:t xml:space="preserve"> от служебното начало, поради което голяма част от жалбите са оставени без уважение като неоснователните и недоказани.</w:t>
      </w:r>
      <w:r w:rsidR="00157B49">
        <w:rPr>
          <w:rFonts w:ascii="Times New Roman" w:hAnsi="Times New Roman" w:cs="Times New Roman"/>
          <w:sz w:val="24"/>
          <w:szCs w:val="24"/>
        </w:rPr>
        <w:t xml:space="preserve"> </w:t>
      </w:r>
      <w:r w:rsidRPr="007404FA">
        <w:rPr>
          <w:rFonts w:ascii="Times New Roman" w:hAnsi="Times New Roman" w:cs="Times New Roman"/>
          <w:sz w:val="24"/>
          <w:szCs w:val="24"/>
        </w:rPr>
        <w:t>Негативно влияние върху производ</w:t>
      </w:r>
      <w:r w:rsidR="00690DB9">
        <w:rPr>
          <w:rFonts w:ascii="Times New Roman" w:hAnsi="Times New Roman" w:cs="Times New Roman"/>
          <w:sz w:val="24"/>
          <w:szCs w:val="24"/>
        </w:rPr>
        <w:t>ството</w:t>
      </w:r>
      <w:r w:rsidRPr="007404FA">
        <w:rPr>
          <w:rFonts w:ascii="Times New Roman" w:hAnsi="Times New Roman" w:cs="Times New Roman"/>
          <w:sz w:val="24"/>
          <w:szCs w:val="24"/>
        </w:rPr>
        <w:t xml:space="preserve"> и най-вече</w:t>
      </w:r>
      <w:r w:rsidR="00690DB9">
        <w:rPr>
          <w:rFonts w:ascii="Times New Roman" w:hAnsi="Times New Roman" w:cs="Times New Roman"/>
          <w:sz w:val="24"/>
          <w:szCs w:val="24"/>
        </w:rPr>
        <w:t xml:space="preserve"> върху неговата продължителност</w:t>
      </w:r>
      <w:r w:rsidRPr="007404FA">
        <w:rPr>
          <w:rFonts w:ascii="Times New Roman" w:hAnsi="Times New Roman" w:cs="Times New Roman"/>
          <w:sz w:val="24"/>
          <w:szCs w:val="24"/>
        </w:rPr>
        <w:t xml:space="preserve"> оказва и липсата на сътрудничество от страна на администраторите. Все по-често се наблюдава изричен отказ от съдействие при събиране на доказателства, особено при проверки на място, или мълчалив отказ</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непредоставяне в срок или въобще на изискани от надзорния орган изрично посочени писмени доказателства</w:t>
      </w:r>
      <w:r w:rsidR="00690DB9">
        <w:rPr>
          <w:rFonts w:ascii="Times New Roman" w:hAnsi="Times New Roman" w:cs="Times New Roman"/>
          <w:sz w:val="24"/>
          <w:szCs w:val="24"/>
        </w:rPr>
        <w:t>,</w:t>
      </w:r>
      <w:r w:rsidRPr="007404FA">
        <w:rPr>
          <w:rFonts w:ascii="Times New Roman" w:hAnsi="Times New Roman" w:cs="Times New Roman"/>
          <w:sz w:val="24"/>
          <w:szCs w:val="24"/>
        </w:rPr>
        <w:t xml:space="preserve"> относими към конкретното производство.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Секторите на дейност на АЛД, срещу които най-често са постъпвали през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жалби от физически лица, са следните: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Видеонаблюдение </w:t>
      </w:r>
      <w:r w:rsidRPr="007404FA">
        <w:rPr>
          <w:rFonts w:ascii="Times New Roman" w:hAnsi="Times New Roman" w:cs="Times New Roman"/>
          <w:sz w:val="24"/>
          <w:szCs w:val="24"/>
        </w:rPr>
        <w:tab/>
      </w:r>
      <w:r w:rsidRPr="007404FA">
        <w:rPr>
          <w:rFonts w:ascii="Times New Roman" w:hAnsi="Times New Roman" w:cs="Times New Roman"/>
          <w:sz w:val="24"/>
          <w:szCs w:val="24"/>
        </w:rPr>
        <w:tab/>
      </w:r>
      <w:r w:rsidRPr="007404FA">
        <w:rPr>
          <w:rFonts w:ascii="Times New Roman" w:hAnsi="Times New Roman" w:cs="Times New Roman"/>
          <w:sz w:val="24"/>
          <w:szCs w:val="24"/>
        </w:rPr>
        <w:tab/>
      </w:r>
      <w:r w:rsidRPr="007404FA">
        <w:rPr>
          <w:rFonts w:ascii="Times New Roman" w:hAnsi="Times New Roman" w:cs="Times New Roman"/>
          <w:sz w:val="24"/>
          <w:szCs w:val="24"/>
        </w:rPr>
        <w:tab/>
        <w:t>178</w:t>
      </w:r>
      <w:r w:rsidR="00157B49">
        <w:rPr>
          <w:rFonts w:ascii="Times New Roman" w:hAnsi="Times New Roman" w:cs="Times New Roman"/>
          <w:sz w:val="24"/>
          <w:szCs w:val="24"/>
        </w:rPr>
        <w:t xml:space="preserve"> </w:t>
      </w:r>
      <w:r w:rsidRPr="007404FA">
        <w:rPr>
          <w:rFonts w:ascii="Times New Roman" w:hAnsi="Times New Roman" w:cs="Times New Roman"/>
          <w:sz w:val="24"/>
          <w:szCs w:val="24"/>
        </w:rPr>
        <w:t>жалби</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Банки и кредитни институции</w:t>
      </w:r>
      <w:r w:rsidRPr="007404FA">
        <w:rPr>
          <w:rFonts w:ascii="Times New Roman" w:hAnsi="Times New Roman" w:cs="Times New Roman"/>
          <w:sz w:val="24"/>
          <w:szCs w:val="24"/>
        </w:rPr>
        <w:tab/>
      </w:r>
      <w:r w:rsidRPr="007404FA">
        <w:rPr>
          <w:rFonts w:ascii="Times New Roman" w:hAnsi="Times New Roman" w:cs="Times New Roman"/>
          <w:sz w:val="24"/>
          <w:szCs w:val="24"/>
        </w:rPr>
        <w:tab/>
        <w:t>89</w:t>
      </w:r>
      <w:r w:rsidRPr="007404FA">
        <w:rPr>
          <w:rFonts w:ascii="Times New Roman" w:hAnsi="Times New Roman" w:cs="Times New Roman"/>
          <w:sz w:val="24"/>
          <w:szCs w:val="24"/>
        </w:rPr>
        <w:tab/>
        <w:t>жалби</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Политически субекти </w:t>
      </w:r>
      <w:r w:rsidRPr="007404FA">
        <w:rPr>
          <w:rFonts w:ascii="Times New Roman" w:hAnsi="Times New Roman" w:cs="Times New Roman"/>
          <w:sz w:val="24"/>
          <w:szCs w:val="24"/>
        </w:rPr>
        <w:tab/>
      </w:r>
      <w:r w:rsidRPr="007404FA">
        <w:rPr>
          <w:rFonts w:ascii="Times New Roman" w:hAnsi="Times New Roman" w:cs="Times New Roman"/>
          <w:sz w:val="24"/>
          <w:szCs w:val="24"/>
        </w:rPr>
        <w:tab/>
      </w:r>
      <w:r w:rsidRPr="007404FA">
        <w:rPr>
          <w:rFonts w:ascii="Times New Roman" w:hAnsi="Times New Roman" w:cs="Times New Roman"/>
          <w:sz w:val="24"/>
          <w:szCs w:val="24"/>
        </w:rPr>
        <w:tab/>
        <w:t>68</w:t>
      </w:r>
      <w:r w:rsidRPr="007404FA">
        <w:rPr>
          <w:rFonts w:ascii="Times New Roman" w:hAnsi="Times New Roman" w:cs="Times New Roman"/>
          <w:sz w:val="24"/>
          <w:szCs w:val="24"/>
        </w:rPr>
        <w:tab/>
        <w:t>жалби</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Физически лица </w:t>
      </w:r>
      <w:r w:rsidRPr="007404FA">
        <w:rPr>
          <w:rFonts w:ascii="Times New Roman" w:hAnsi="Times New Roman" w:cs="Times New Roman"/>
          <w:sz w:val="24"/>
          <w:szCs w:val="24"/>
        </w:rPr>
        <w:tab/>
      </w:r>
      <w:r w:rsidRPr="007404FA">
        <w:rPr>
          <w:rFonts w:ascii="Times New Roman" w:hAnsi="Times New Roman" w:cs="Times New Roman"/>
          <w:sz w:val="24"/>
          <w:szCs w:val="24"/>
        </w:rPr>
        <w:tab/>
      </w:r>
      <w:r w:rsidRPr="007404FA">
        <w:rPr>
          <w:rFonts w:ascii="Times New Roman" w:hAnsi="Times New Roman" w:cs="Times New Roman"/>
          <w:sz w:val="24"/>
          <w:szCs w:val="24"/>
        </w:rPr>
        <w:tab/>
      </w:r>
      <w:r w:rsidRPr="007404FA">
        <w:rPr>
          <w:rFonts w:ascii="Times New Roman" w:hAnsi="Times New Roman" w:cs="Times New Roman"/>
          <w:sz w:val="24"/>
          <w:szCs w:val="24"/>
        </w:rPr>
        <w:tab/>
        <w:t>66</w:t>
      </w:r>
      <w:r w:rsidRPr="007404FA">
        <w:rPr>
          <w:rFonts w:ascii="Times New Roman" w:hAnsi="Times New Roman" w:cs="Times New Roman"/>
          <w:sz w:val="24"/>
          <w:szCs w:val="24"/>
        </w:rPr>
        <w:tab/>
        <w:t xml:space="preserve">жалби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Телекомуникации</w:t>
      </w:r>
      <w:r w:rsidRPr="007404FA">
        <w:rPr>
          <w:rFonts w:ascii="Times New Roman" w:hAnsi="Times New Roman" w:cs="Times New Roman"/>
          <w:sz w:val="24"/>
          <w:szCs w:val="24"/>
        </w:rPr>
        <w:tab/>
      </w:r>
      <w:r w:rsidRPr="007404FA">
        <w:rPr>
          <w:rFonts w:ascii="Times New Roman" w:hAnsi="Times New Roman" w:cs="Times New Roman"/>
          <w:sz w:val="24"/>
          <w:szCs w:val="24"/>
        </w:rPr>
        <w:tab/>
      </w:r>
      <w:r w:rsidRPr="007404FA">
        <w:rPr>
          <w:rFonts w:ascii="Times New Roman" w:hAnsi="Times New Roman" w:cs="Times New Roman"/>
          <w:sz w:val="24"/>
          <w:szCs w:val="24"/>
        </w:rPr>
        <w:tab/>
      </w:r>
      <w:r w:rsidRPr="007404FA">
        <w:rPr>
          <w:rFonts w:ascii="Times New Roman" w:hAnsi="Times New Roman" w:cs="Times New Roman"/>
          <w:sz w:val="24"/>
          <w:szCs w:val="24"/>
        </w:rPr>
        <w:tab/>
        <w:t>49</w:t>
      </w:r>
      <w:r w:rsidRPr="007404FA">
        <w:rPr>
          <w:rFonts w:ascii="Times New Roman" w:hAnsi="Times New Roman" w:cs="Times New Roman"/>
          <w:sz w:val="24"/>
          <w:szCs w:val="24"/>
        </w:rPr>
        <w:tab/>
        <w:t>жалби</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Държавни органи</w:t>
      </w:r>
      <w:r w:rsidRPr="007404FA">
        <w:rPr>
          <w:rFonts w:ascii="Times New Roman" w:hAnsi="Times New Roman" w:cs="Times New Roman"/>
          <w:sz w:val="24"/>
          <w:szCs w:val="24"/>
        </w:rPr>
        <w:tab/>
      </w:r>
      <w:r w:rsidRPr="007404FA">
        <w:rPr>
          <w:rFonts w:ascii="Times New Roman" w:hAnsi="Times New Roman" w:cs="Times New Roman"/>
          <w:sz w:val="24"/>
          <w:szCs w:val="24"/>
        </w:rPr>
        <w:tab/>
      </w:r>
      <w:r w:rsidRPr="007404FA">
        <w:rPr>
          <w:rFonts w:ascii="Times New Roman" w:hAnsi="Times New Roman" w:cs="Times New Roman"/>
          <w:sz w:val="24"/>
          <w:szCs w:val="24"/>
        </w:rPr>
        <w:tab/>
      </w:r>
      <w:r w:rsidRPr="007404FA">
        <w:rPr>
          <w:rFonts w:ascii="Times New Roman" w:hAnsi="Times New Roman" w:cs="Times New Roman"/>
          <w:sz w:val="24"/>
          <w:szCs w:val="24"/>
        </w:rPr>
        <w:tab/>
        <w:t>33</w:t>
      </w:r>
      <w:r w:rsidRPr="007404FA">
        <w:rPr>
          <w:rFonts w:ascii="Times New Roman" w:hAnsi="Times New Roman" w:cs="Times New Roman"/>
          <w:sz w:val="24"/>
          <w:szCs w:val="24"/>
        </w:rPr>
        <w:tab/>
        <w:t>жалби</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Трудови и осигурителни услуги </w:t>
      </w:r>
      <w:r w:rsidRPr="007404FA">
        <w:rPr>
          <w:rFonts w:ascii="Times New Roman" w:hAnsi="Times New Roman" w:cs="Times New Roman"/>
          <w:sz w:val="24"/>
          <w:szCs w:val="24"/>
        </w:rPr>
        <w:tab/>
      </w:r>
      <w:r w:rsidRPr="007404FA">
        <w:rPr>
          <w:rFonts w:ascii="Times New Roman" w:hAnsi="Times New Roman" w:cs="Times New Roman"/>
          <w:sz w:val="24"/>
          <w:szCs w:val="24"/>
        </w:rPr>
        <w:tab/>
        <w:t>19</w:t>
      </w:r>
      <w:r w:rsidRPr="007404FA">
        <w:rPr>
          <w:rFonts w:ascii="Times New Roman" w:hAnsi="Times New Roman" w:cs="Times New Roman"/>
          <w:sz w:val="24"/>
          <w:szCs w:val="24"/>
        </w:rPr>
        <w:tab/>
        <w:t>жалби</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Здравеопазване</w:t>
      </w:r>
      <w:r w:rsidRPr="007404FA">
        <w:rPr>
          <w:rFonts w:ascii="Times New Roman" w:hAnsi="Times New Roman" w:cs="Times New Roman"/>
          <w:sz w:val="24"/>
          <w:szCs w:val="24"/>
        </w:rPr>
        <w:tab/>
      </w:r>
      <w:r w:rsidRPr="007404FA">
        <w:rPr>
          <w:rFonts w:ascii="Times New Roman" w:hAnsi="Times New Roman" w:cs="Times New Roman"/>
          <w:sz w:val="24"/>
          <w:szCs w:val="24"/>
        </w:rPr>
        <w:tab/>
      </w:r>
      <w:r w:rsidRPr="007404FA">
        <w:rPr>
          <w:rFonts w:ascii="Times New Roman" w:hAnsi="Times New Roman" w:cs="Times New Roman"/>
          <w:sz w:val="24"/>
          <w:szCs w:val="24"/>
        </w:rPr>
        <w:tab/>
      </w:r>
      <w:r w:rsidRPr="007404FA">
        <w:rPr>
          <w:rFonts w:ascii="Times New Roman" w:hAnsi="Times New Roman" w:cs="Times New Roman"/>
          <w:sz w:val="24"/>
          <w:szCs w:val="24"/>
        </w:rPr>
        <w:tab/>
        <w:t>18</w:t>
      </w:r>
      <w:r w:rsidRPr="007404FA">
        <w:rPr>
          <w:rFonts w:ascii="Times New Roman" w:hAnsi="Times New Roman" w:cs="Times New Roman"/>
          <w:sz w:val="24"/>
          <w:szCs w:val="24"/>
        </w:rPr>
        <w:tab/>
        <w:t>жалби</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Медии </w:t>
      </w:r>
      <w:r w:rsidRPr="007404FA">
        <w:rPr>
          <w:rFonts w:ascii="Times New Roman" w:hAnsi="Times New Roman" w:cs="Times New Roman"/>
          <w:sz w:val="24"/>
          <w:szCs w:val="24"/>
        </w:rPr>
        <w:tab/>
      </w:r>
      <w:r w:rsidRPr="007404FA">
        <w:rPr>
          <w:rFonts w:ascii="Times New Roman" w:hAnsi="Times New Roman" w:cs="Times New Roman"/>
          <w:sz w:val="24"/>
          <w:szCs w:val="24"/>
        </w:rPr>
        <w:tab/>
      </w:r>
      <w:r w:rsidRPr="007404FA">
        <w:rPr>
          <w:rFonts w:ascii="Times New Roman" w:hAnsi="Times New Roman" w:cs="Times New Roman"/>
          <w:sz w:val="24"/>
          <w:szCs w:val="24"/>
        </w:rPr>
        <w:tab/>
      </w:r>
      <w:r w:rsidRPr="007404FA">
        <w:rPr>
          <w:rFonts w:ascii="Times New Roman" w:hAnsi="Times New Roman" w:cs="Times New Roman"/>
          <w:sz w:val="24"/>
          <w:szCs w:val="24"/>
        </w:rPr>
        <w:tab/>
      </w:r>
      <w:r w:rsidRPr="007404FA">
        <w:rPr>
          <w:rFonts w:ascii="Times New Roman" w:hAnsi="Times New Roman" w:cs="Times New Roman"/>
          <w:sz w:val="24"/>
          <w:szCs w:val="24"/>
        </w:rPr>
        <w:tab/>
        <w:t>17</w:t>
      </w:r>
      <w:r w:rsidRPr="007404FA">
        <w:rPr>
          <w:rFonts w:ascii="Times New Roman" w:hAnsi="Times New Roman" w:cs="Times New Roman"/>
          <w:sz w:val="24"/>
          <w:szCs w:val="24"/>
        </w:rPr>
        <w:tab/>
        <w:t>жалби</w:t>
      </w:r>
    </w:p>
    <w:p w:rsidR="001F2700" w:rsidRPr="007404FA" w:rsidRDefault="00E940FF"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Застраховане </w:t>
      </w:r>
      <w:r w:rsidRPr="007404FA">
        <w:rPr>
          <w:rFonts w:ascii="Times New Roman" w:hAnsi="Times New Roman" w:cs="Times New Roman"/>
          <w:sz w:val="24"/>
          <w:szCs w:val="24"/>
        </w:rPr>
        <w:tab/>
      </w:r>
      <w:r w:rsidRPr="007404FA">
        <w:rPr>
          <w:rFonts w:ascii="Times New Roman" w:hAnsi="Times New Roman" w:cs="Times New Roman"/>
          <w:sz w:val="24"/>
          <w:szCs w:val="24"/>
        </w:rPr>
        <w:tab/>
      </w:r>
      <w:r w:rsidRPr="007404FA">
        <w:rPr>
          <w:rFonts w:ascii="Times New Roman" w:hAnsi="Times New Roman" w:cs="Times New Roman"/>
          <w:sz w:val="24"/>
          <w:szCs w:val="24"/>
        </w:rPr>
        <w:tab/>
      </w:r>
      <w:r w:rsidRPr="007404FA">
        <w:rPr>
          <w:rFonts w:ascii="Times New Roman" w:hAnsi="Times New Roman" w:cs="Times New Roman"/>
          <w:sz w:val="24"/>
          <w:szCs w:val="24"/>
        </w:rPr>
        <w:tab/>
      </w:r>
      <w:r w:rsidR="001F2700" w:rsidRPr="007404FA">
        <w:rPr>
          <w:rFonts w:ascii="Times New Roman" w:hAnsi="Times New Roman" w:cs="Times New Roman"/>
          <w:sz w:val="24"/>
          <w:szCs w:val="24"/>
        </w:rPr>
        <w:t>9</w:t>
      </w:r>
      <w:r w:rsidR="001F2700" w:rsidRPr="007404FA">
        <w:rPr>
          <w:rFonts w:ascii="Times New Roman" w:hAnsi="Times New Roman" w:cs="Times New Roman"/>
          <w:sz w:val="24"/>
          <w:szCs w:val="24"/>
        </w:rPr>
        <w:tab/>
        <w:t>жалби</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Образование </w:t>
      </w:r>
      <w:r w:rsidRPr="007404FA">
        <w:rPr>
          <w:rFonts w:ascii="Times New Roman" w:hAnsi="Times New Roman" w:cs="Times New Roman"/>
          <w:sz w:val="24"/>
          <w:szCs w:val="24"/>
        </w:rPr>
        <w:tab/>
      </w:r>
      <w:r w:rsidRPr="007404FA">
        <w:rPr>
          <w:rFonts w:ascii="Times New Roman" w:hAnsi="Times New Roman" w:cs="Times New Roman"/>
          <w:sz w:val="24"/>
          <w:szCs w:val="24"/>
        </w:rPr>
        <w:tab/>
      </w:r>
      <w:r w:rsidRPr="007404FA">
        <w:rPr>
          <w:rFonts w:ascii="Times New Roman" w:hAnsi="Times New Roman" w:cs="Times New Roman"/>
          <w:sz w:val="24"/>
          <w:szCs w:val="24"/>
        </w:rPr>
        <w:tab/>
      </w:r>
      <w:r w:rsidRPr="007404FA">
        <w:rPr>
          <w:rFonts w:ascii="Times New Roman" w:hAnsi="Times New Roman" w:cs="Times New Roman"/>
          <w:sz w:val="24"/>
          <w:szCs w:val="24"/>
        </w:rPr>
        <w:tab/>
      </w:r>
      <w:r w:rsidRPr="007404FA">
        <w:rPr>
          <w:rFonts w:ascii="Times New Roman" w:hAnsi="Times New Roman" w:cs="Times New Roman"/>
          <w:sz w:val="24"/>
          <w:szCs w:val="24"/>
        </w:rPr>
        <w:tab/>
        <w:t>4</w:t>
      </w:r>
      <w:r w:rsidRPr="007404FA">
        <w:rPr>
          <w:rFonts w:ascii="Times New Roman" w:hAnsi="Times New Roman" w:cs="Times New Roman"/>
          <w:sz w:val="24"/>
          <w:szCs w:val="24"/>
        </w:rPr>
        <w:tab/>
        <w:t>жалби</w:t>
      </w:r>
    </w:p>
    <w:p w:rsidR="001F2700" w:rsidRPr="007404FA" w:rsidRDefault="001F2700" w:rsidP="00DB6B05">
      <w:pPr>
        <w:spacing w:line="360" w:lineRule="auto"/>
        <w:ind w:firstLine="709"/>
        <w:jc w:val="both"/>
        <w:rPr>
          <w:rFonts w:ascii="Times New Roman" w:hAnsi="Times New Roman" w:cs="Times New Roman"/>
          <w:sz w:val="24"/>
          <w:szCs w:val="24"/>
        </w:rPr>
      </w:pP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Запазва се тенденция</w:t>
      </w:r>
      <w:r w:rsidR="00690DB9">
        <w:rPr>
          <w:rFonts w:ascii="Times New Roman" w:hAnsi="Times New Roman" w:cs="Times New Roman"/>
          <w:sz w:val="24"/>
          <w:szCs w:val="24"/>
        </w:rPr>
        <w:t>та</w:t>
      </w:r>
      <w:r w:rsidRPr="007404FA">
        <w:rPr>
          <w:rFonts w:ascii="Times New Roman" w:hAnsi="Times New Roman" w:cs="Times New Roman"/>
          <w:sz w:val="24"/>
          <w:szCs w:val="24"/>
        </w:rPr>
        <w:t xml:space="preserve"> сектор „Видеонаблюдение“ да е водещ по брой жалби, макар техния</w:t>
      </w:r>
      <w:r w:rsidR="00690DB9">
        <w:rPr>
          <w:rFonts w:ascii="Times New Roman" w:hAnsi="Times New Roman" w:cs="Times New Roman"/>
          <w:sz w:val="24"/>
          <w:szCs w:val="24"/>
        </w:rPr>
        <w:t>т</w:t>
      </w:r>
      <w:r w:rsidRPr="007404FA">
        <w:rPr>
          <w:rFonts w:ascii="Times New Roman" w:hAnsi="Times New Roman" w:cs="Times New Roman"/>
          <w:sz w:val="24"/>
          <w:szCs w:val="24"/>
        </w:rPr>
        <w:t xml:space="preserve"> брой да е по-малък в сравнение с 2021</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когато подадените жалби са 196. През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жалбите са 178, като се наблюдават все повече колективни жалби</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подадени от повече от едно физическо лице срещу един администратор на лични данни. Значително нараства и броя</w:t>
      </w:r>
      <w:r w:rsidR="0088240D">
        <w:rPr>
          <w:rFonts w:ascii="Times New Roman" w:hAnsi="Times New Roman" w:cs="Times New Roman"/>
          <w:sz w:val="24"/>
          <w:szCs w:val="24"/>
        </w:rPr>
        <w:t>т</w:t>
      </w:r>
      <w:r w:rsidRPr="007404FA">
        <w:rPr>
          <w:rFonts w:ascii="Times New Roman" w:hAnsi="Times New Roman" w:cs="Times New Roman"/>
          <w:sz w:val="24"/>
          <w:szCs w:val="24"/>
        </w:rPr>
        <w:t xml:space="preserve"> насрещни жалби. Продължава тенденцията по-голяма голяма част жалбите да са провокирани от дългогодишни конфликтни междуличностни проблеми на битово ниво.</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Разглеждането на казуси</w:t>
      </w:r>
      <w:r w:rsidR="0088240D">
        <w:rPr>
          <w:rFonts w:ascii="Times New Roman" w:hAnsi="Times New Roman" w:cs="Times New Roman"/>
          <w:sz w:val="24"/>
          <w:szCs w:val="24"/>
        </w:rPr>
        <w:t>,</w:t>
      </w:r>
      <w:r w:rsidRPr="007404FA">
        <w:rPr>
          <w:rFonts w:ascii="Times New Roman" w:hAnsi="Times New Roman" w:cs="Times New Roman"/>
          <w:sz w:val="24"/>
          <w:szCs w:val="24"/>
        </w:rPr>
        <w:t xml:space="preserve"> свързани с обработване на лични данни чрез изградени системи за видеонаблюдение</w:t>
      </w:r>
      <w:r w:rsidR="0088240D">
        <w:rPr>
          <w:rFonts w:ascii="Times New Roman" w:hAnsi="Times New Roman" w:cs="Times New Roman"/>
          <w:sz w:val="24"/>
          <w:szCs w:val="24"/>
        </w:rPr>
        <w:t>,</w:t>
      </w:r>
      <w:r w:rsidRPr="007404FA">
        <w:rPr>
          <w:rFonts w:ascii="Times New Roman" w:hAnsi="Times New Roman" w:cs="Times New Roman"/>
          <w:sz w:val="24"/>
          <w:szCs w:val="24"/>
        </w:rPr>
        <w:t xml:space="preserve"> отнема сериозен финансов и експертен ресурс на КЗЛД. Отчита се липсата на уреждане на обществените отношения извън тези по Закона за частната охранителна дейност, свързани с изграждане и поддържане на системи за </w:t>
      </w:r>
      <w:r w:rsidRPr="007404FA">
        <w:rPr>
          <w:rFonts w:ascii="Times New Roman" w:hAnsi="Times New Roman" w:cs="Times New Roman"/>
          <w:sz w:val="24"/>
          <w:szCs w:val="24"/>
        </w:rPr>
        <w:lastRenderedPageBreak/>
        <w:t xml:space="preserve">видеонаблюдение от физически и юридически лица с цел защита на имоти. Тежест представлява и липсата на териториални административни звена на КЗЛД, което налага </w:t>
      </w:r>
      <w:r w:rsidR="00415D6E" w:rsidRPr="007404FA">
        <w:rPr>
          <w:rFonts w:ascii="Times New Roman" w:hAnsi="Times New Roman" w:cs="Times New Roman"/>
          <w:sz w:val="24"/>
          <w:szCs w:val="24"/>
        </w:rPr>
        <w:t>много често</w:t>
      </w:r>
      <w:r w:rsidR="001665E8" w:rsidRPr="007404FA">
        <w:rPr>
          <w:rFonts w:ascii="Times New Roman" w:hAnsi="Times New Roman" w:cs="Times New Roman"/>
          <w:sz w:val="24"/>
          <w:szCs w:val="24"/>
        </w:rPr>
        <w:t xml:space="preserve"> </w:t>
      </w:r>
      <w:r w:rsidRPr="007404FA">
        <w:rPr>
          <w:rFonts w:ascii="Times New Roman" w:hAnsi="Times New Roman" w:cs="Times New Roman"/>
          <w:sz w:val="24"/>
          <w:szCs w:val="24"/>
        </w:rPr>
        <w:t>командироване на експерти за извършване на проверки на място</w:t>
      </w:r>
      <w:r w:rsidR="00415D6E" w:rsidRPr="007404FA">
        <w:rPr>
          <w:rFonts w:ascii="Times New Roman" w:hAnsi="Times New Roman" w:cs="Times New Roman"/>
          <w:sz w:val="24"/>
          <w:szCs w:val="24"/>
        </w:rPr>
        <w:t xml:space="preserve"> в цялата страна</w:t>
      </w:r>
      <w:r w:rsidRPr="007404FA">
        <w:rPr>
          <w:rFonts w:ascii="Times New Roman" w:hAnsi="Times New Roman" w:cs="Times New Roman"/>
          <w:sz w:val="24"/>
          <w:szCs w:val="24"/>
        </w:rPr>
        <w:t xml:space="preserve">.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Ръст бележат жалбите</w:t>
      </w:r>
      <w:r w:rsidR="0088240D">
        <w:rPr>
          <w:rFonts w:ascii="Times New Roman" w:hAnsi="Times New Roman" w:cs="Times New Roman"/>
          <w:sz w:val="24"/>
          <w:szCs w:val="24"/>
        </w:rPr>
        <w:t>,</w:t>
      </w:r>
      <w:r w:rsidRPr="007404FA">
        <w:rPr>
          <w:rFonts w:ascii="Times New Roman" w:hAnsi="Times New Roman" w:cs="Times New Roman"/>
          <w:sz w:val="24"/>
          <w:szCs w:val="24"/>
        </w:rPr>
        <w:t xml:space="preserve"> подадени срещу банки и дружества</w:t>
      </w:r>
      <w:r w:rsidR="0088240D">
        <w:rPr>
          <w:rFonts w:ascii="Times New Roman" w:hAnsi="Times New Roman" w:cs="Times New Roman"/>
          <w:sz w:val="24"/>
          <w:szCs w:val="24"/>
        </w:rPr>
        <w:t>,</w:t>
      </w:r>
      <w:r w:rsidRPr="007404FA">
        <w:rPr>
          <w:rFonts w:ascii="Times New Roman" w:hAnsi="Times New Roman" w:cs="Times New Roman"/>
          <w:sz w:val="24"/>
          <w:szCs w:val="24"/>
        </w:rPr>
        <w:t xml:space="preserve"> предлагащи кредитни услуги. През 2020</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техният брой е 49, през 2021</w:t>
      </w:r>
      <w:r w:rsidR="00F06583" w:rsidRPr="007404FA">
        <w:rPr>
          <w:rFonts w:ascii="Times New Roman" w:hAnsi="Times New Roman" w:cs="Times New Roman"/>
          <w:sz w:val="24"/>
          <w:szCs w:val="24"/>
        </w:rPr>
        <w:t> г.</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64, а през 2022</w:t>
      </w:r>
      <w:r w:rsidR="00F06583" w:rsidRPr="007404FA">
        <w:rPr>
          <w:rFonts w:ascii="Times New Roman" w:hAnsi="Times New Roman" w:cs="Times New Roman"/>
          <w:sz w:val="24"/>
          <w:szCs w:val="24"/>
        </w:rPr>
        <w:t> г.</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89. Секторът остава сред водещите, срещу които най-често постъпват оплаквания. Основно твърденията са за неправомерно предоставяне на лични данни на колекторски фирми за събиране на</w:t>
      </w:r>
      <w:r w:rsidR="0088240D">
        <w:rPr>
          <w:rFonts w:ascii="Times New Roman" w:hAnsi="Times New Roman" w:cs="Times New Roman"/>
          <w:sz w:val="24"/>
          <w:szCs w:val="24"/>
        </w:rPr>
        <w:t xml:space="preserve"> задължения от физическите лица</w:t>
      </w:r>
      <w:r w:rsidRPr="007404FA">
        <w:rPr>
          <w:rFonts w:ascii="Times New Roman" w:hAnsi="Times New Roman" w:cs="Times New Roman"/>
          <w:sz w:val="24"/>
          <w:szCs w:val="24"/>
        </w:rPr>
        <w:t xml:space="preserve"> в хипотезата на изтекла давност, както и твърдения, свързани с употребата на лични данни за отпускане на кредити, без същите да са поискани и/или усвоени, особено такива, сключени в електронна среда посредством кандидатстване и отпускане на кредити по електронен път.</w:t>
      </w:r>
      <w:r w:rsidR="00157B49">
        <w:rPr>
          <w:rFonts w:ascii="Times New Roman" w:hAnsi="Times New Roman" w:cs="Times New Roman"/>
          <w:sz w:val="24"/>
          <w:szCs w:val="24"/>
        </w:rPr>
        <w:t xml:space="preserve">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Наблюдава се значително увеличение на жалбите</w:t>
      </w:r>
      <w:r w:rsidR="0088240D">
        <w:rPr>
          <w:rFonts w:ascii="Times New Roman" w:hAnsi="Times New Roman" w:cs="Times New Roman"/>
          <w:sz w:val="24"/>
          <w:szCs w:val="24"/>
        </w:rPr>
        <w:t>,</w:t>
      </w:r>
      <w:r w:rsidRPr="007404FA">
        <w:rPr>
          <w:rFonts w:ascii="Times New Roman" w:hAnsi="Times New Roman" w:cs="Times New Roman"/>
          <w:sz w:val="24"/>
          <w:szCs w:val="24"/>
        </w:rPr>
        <w:t xml:space="preserve"> подадени срещу политически субекти. Докато през 2020</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жалбите в този сектор са едва 2, през 2021</w:t>
      </w:r>
      <w:r w:rsidR="00F06583" w:rsidRPr="007404FA">
        <w:rPr>
          <w:rFonts w:ascii="Times New Roman" w:hAnsi="Times New Roman" w:cs="Times New Roman"/>
          <w:sz w:val="24"/>
          <w:szCs w:val="24"/>
        </w:rPr>
        <w:t> г.</w:t>
      </w:r>
      <w:r w:rsidR="00157B49">
        <w:rPr>
          <w:rFonts w:ascii="Times New Roman" w:hAnsi="Times New Roman" w:cs="Times New Roman"/>
          <w:sz w:val="24"/>
          <w:szCs w:val="24"/>
        </w:rPr>
        <w:t xml:space="preserve"> </w:t>
      </w:r>
      <w:r w:rsidR="00553661" w:rsidRPr="007404FA">
        <w:rPr>
          <w:rFonts w:ascii="Times New Roman" w:hAnsi="Times New Roman" w:cs="Times New Roman"/>
          <w:sz w:val="24"/>
          <w:szCs w:val="24"/>
        </w:rPr>
        <w:t xml:space="preserve">– </w:t>
      </w:r>
      <w:r w:rsidRPr="007404FA">
        <w:rPr>
          <w:rFonts w:ascii="Times New Roman" w:hAnsi="Times New Roman" w:cs="Times New Roman"/>
          <w:sz w:val="24"/>
          <w:szCs w:val="24"/>
        </w:rPr>
        <w:t>46, през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броят им достига до 68. Причина за последното може да се търси в динамичната изборна година и разпознаваемостта на КЗЛД като надзорен орган в сферата на защита на личните данни. Жалбите касаят предимно злоупотреба с лични данни на физическите лица</w:t>
      </w:r>
      <w:r w:rsidR="0088240D">
        <w:rPr>
          <w:rFonts w:ascii="Times New Roman" w:hAnsi="Times New Roman" w:cs="Times New Roman"/>
          <w:sz w:val="24"/>
          <w:szCs w:val="24"/>
        </w:rPr>
        <w:t xml:space="preserve">, сезирали КЗЛД, </w:t>
      </w:r>
      <w:r w:rsidRPr="007404FA">
        <w:rPr>
          <w:rFonts w:ascii="Times New Roman" w:hAnsi="Times New Roman" w:cs="Times New Roman"/>
          <w:sz w:val="24"/>
          <w:szCs w:val="24"/>
        </w:rPr>
        <w:t>чрез включването им в списък на лицата, подкрепящи регистрацията на политически субект за участие в изборния процес. Единични са жалбите</w:t>
      </w:r>
      <w:r w:rsidR="0088240D">
        <w:rPr>
          <w:rFonts w:ascii="Times New Roman" w:hAnsi="Times New Roman" w:cs="Times New Roman"/>
          <w:sz w:val="24"/>
          <w:szCs w:val="24"/>
        </w:rPr>
        <w:t>,</w:t>
      </w:r>
      <w:r w:rsidRPr="007404FA">
        <w:rPr>
          <w:rFonts w:ascii="Times New Roman" w:hAnsi="Times New Roman" w:cs="Times New Roman"/>
          <w:sz w:val="24"/>
          <w:szCs w:val="24"/>
        </w:rPr>
        <w:t xml:space="preserve"> съдържащи твърдения за злоупотреба с лични данни за регистриране на лица като членове на секционни избирателни комисии. Констатира се, че през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в КЗЛД постъпват и жалби срещу политически субекти, срещу които до момента не е имало оплаквания по отношение на обработване на лични данни в изборния процес.</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Продължава тенденцията за увеличаване на броя на жалбите</w:t>
      </w:r>
      <w:r w:rsidR="0088240D">
        <w:rPr>
          <w:rFonts w:ascii="Times New Roman" w:hAnsi="Times New Roman" w:cs="Times New Roman"/>
          <w:sz w:val="24"/>
          <w:szCs w:val="24"/>
        </w:rPr>
        <w:t>,</w:t>
      </w:r>
      <w:r w:rsidRPr="007404FA">
        <w:rPr>
          <w:rFonts w:ascii="Times New Roman" w:hAnsi="Times New Roman" w:cs="Times New Roman"/>
          <w:sz w:val="24"/>
          <w:szCs w:val="24"/>
        </w:rPr>
        <w:t xml:space="preserve"> подадени срещу физически лица</w:t>
      </w:r>
      <w:r w:rsidR="0088240D">
        <w:rPr>
          <w:rFonts w:ascii="Times New Roman" w:hAnsi="Times New Roman" w:cs="Times New Roman"/>
          <w:sz w:val="24"/>
          <w:szCs w:val="24"/>
        </w:rPr>
        <w:t> –</w:t>
      </w:r>
      <w:r w:rsidR="00F06583" w:rsidRPr="007404FA">
        <w:rPr>
          <w:rFonts w:ascii="Times New Roman" w:hAnsi="Times New Roman" w:cs="Times New Roman"/>
          <w:sz w:val="24"/>
          <w:szCs w:val="24"/>
        </w:rPr>
        <w:t xml:space="preserve"> </w:t>
      </w:r>
      <w:r w:rsidRPr="007404FA">
        <w:rPr>
          <w:rFonts w:ascii="Times New Roman" w:hAnsi="Times New Roman" w:cs="Times New Roman"/>
          <w:sz w:val="24"/>
          <w:szCs w:val="24"/>
        </w:rPr>
        <w:t>през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достига до 66 и изпреварва броя на жалбите</w:t>
      </w:r>
      <w:r w:rsidR="0088240D">
        <w:rPr>
          <w:rFonts w:ascii="Times New Roman" w:hAnsi="Times New Roman" w:cs="Times New Roman"/>
          <w:sz w:val="24"/>
          <w:szCs w:val="24"/>
        </w:rPr>
        <w:t>,</w:t>
      </w:r>
      <w:r w:rsidRPr="007404FA">
        <w:rPr>
          <w:rFonts w:ascii="Times New Roman" w:hAnsi="Times New Roman" w:cs="Times New Roman"/>
          <w:sz w:val="24"/>
          <w:szCs w:val="24"/>
        </w:rPr>
        <w:t xml:space="preserve"> подадени в сектор „Телекомуникация“. Жалбите са предхождани от усложнени конфликтни отношения между страните и са насочени предимно срещу разпространение на лични данни в социални мрежи и заснемане с мобилни средства на обществени места.</w:t>
      </w:r>
      <w:r w:rsidR="00157B49">
        <w:rPr>
          <w:rFonts w:ascii="Times New Roman" w:hAnsi="Times New Roman" w:cs="Times New Roman"/>
          <w:sz w:val="24"/>
          <w:szCs w:val="24"/>
        </w:rPr>
        <w:t xml:space="preserve"> </w:t>
      </w:r>
      <w:r w:rsidRPr="007404FA">
        <w:rPr>
          <w:rFonts w:ascii="Times New Roman" w:hAnsi="Times New Roman" w:cs="Times New Roman"/>
          <w:sz w:val="24"/>
          <w:szCs w:val="24"/>
        </w:rPr>
        <w:t>Предмет на тази категория жалби е и ползването на лични данни за реализиране на конституционно гарантирани права като правото на съдебен процес и подаването на искови молби и жалби пред съдебните органи, в които се съдържат данни, безспорно индивидуализиращи физическите лица, срещу които са подадени, в това число и единни граждански номера.</w:t>
      </w:r>
      <w:r w:rsidR="00157B49">
        <w:rPr>
          <w:rFonts w:ascii="Times New Roman" w:hAnsi="Times New Roman" w:cs="Times New Roman"/>
          <w:sz w:val="24"/>
          <w:szCs w:val="24"/>
        </w:rPr>
        <w:t xml:space="preserve">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Забелязва се увеличаване на броя жалби, подадени в сектор „Трудови и осигурителни услуги“, като през 2022</w:t>
      </w:r>
      <w:r w:rsidR="00157B49">
        <w:rPr>
          <w:rFonts w:ascii="Times New Roman" w:hAnsi="Times New Roman" w:cs="Times New Roman"/>
          <w:sz w:val="24"/>
          <w:szCs w:val="24"/>
        </w:rPr>
        <w:t xml:space="preserve"> </w:t>
      </w:r>
      <w:r w:rsidR="00F06583" w:rsidRPr="007404FA">
        <w:rPr>
          <w:rFonts w:ascii="Times New Roman" w:hAnsi="Times New Roman" w:cs="Times New Roman"/>
          <w:sz w:val="24"/>
          <w:szCs w:val="24"/>
        </w:rPr>
        <w:t>г.</w:t>
      </w:r>
      <w:r w:rsidR="0088240D">
        <w:rPr>
          <w:rFonts w:ascii="Times New Roman" w:hAnsi="Times New Roman" w:cs="Times New Roman"/>
          <w:sz w:val="24"/>
          <w:szCs w:val="24"/>
        </w:rPr>
        <w:t xml:space="preserve"> техният брой е 19</w:t>
      </w:r>
      <w:r w:rsidRPr="007404FA">
        <w:rPr>
          <w:rFonts w:ascii="Times New Roman" w:hAnsi="Times New Roman" w:cs="Times New Roman"/>
          <w:sz w:val="24"/>
          <w:szCs w:val="24"/>
        </w:rPr>
        <w:t xml:space="preserve"> за разлика от 2021</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когато са подадени 12 жалби. Традиционно тези жалби касаят твърдения за злоупотреба с лични </w:t>
      </w:r>
      <w:r w:rsidRPr="007404FA">
        <w:rPr>
          <w:rFonts w:ascii="Times New Roman" w:hAnsi="Times New Roman" w:cs="Times New Roman"/>
          <w:sz w:val="24"/>
          <w:szCs w:val="24"/>
        </w:rPr>
        <w:lastRenderedPageBreak/>
        <w:t>данни за регистрирани в НАП трудови договори, без такива да са сключвани. Прави впечатление, че по-голяма част от администраторите</w:t>
      </w:r>
      <w:r w:rsidR="0088240D">
        <w:rPr>
          <w:rFonts w:ascii="Times New Roman" w:hAnsi="Times New Roman" w:cs="Times New Roman"/>
          <w:sz w:val="24"/>
          <w:szCs w:val="24"/>
        </w:rPr>
        <w:t>,</w:t>
      </w:r>
      <w:r w:rsidRPr="007404FA">
        <w:rPr>
          <w:rFonts w:ascii="Times New Roman" w:hAnsi="Times New Roman" w:cs="Times New Roman"/>
          <w:sz w:val="24"/>
          <w:szCs w:val="24"/>
        </w:rPr>
        <w:t xml:space="preserve"> срещу които са подадени жалбите</w:t>
      </w:r>
      <w:r w:rsidR="0088240D">
        <w:rPr>
          <w:rFonts w:ascii="Times New Roman" w:hAnsi="Times New Roman" w:cs="Times New Roman"/>
          <w:sz w:val="24"/>
          <w:szCs w:val="24"/>
        </w:rPr>
        <w:t>,</w:t>
      </w:r>
      <w:r w:rsidRPr="007404FA">
        <w:rPr>
          <w:rFonts w:ascii="Times New Roman" w:hAnsi="Times New Roman" w:cs="Times New Roman"/>
          <w:sz w:val="24"/>
          <w:szCs w:val="24"/>
        </w:rPr>
        <w:t xml:space="preserve"> не проявяват активност в производствата, не съдействат на КЗЛД при упражняване на контролните ѝ правомощия и са с минимален капитал, регистриран в </w:t>
      </w:r>
      <w:r w:rsidR="00B31E47" w:rsidRPr="007404FA">
        <w:rPr>
          <w:rFonts w:ascii="Times New Roman" w:hAnsi="Times New Roman" w:cs="Times New Roman"/>
          <w:sz w:val="24"/>
          <w:szCs w:val="24"/>
        </w:rPr>
        <w:t>Търговския регистър и регистър на юридическите лица с нестопанска цел</w:t>
      </w:r>
      <w:r w:rsidRPr="007404FA">
        <w:rPr>
          <w:rFonts w:ascii="Times New Roman" w:hAnsi="Times New Roman" w:cs="Times New Roman"/>
          <w:sz w:val="24"/>
          <w:szCs w:val="24"/>
        </w:rPr>
        <w:t>. Комуникацията с тях е допълнително затруднена и поради факта, че не получават кореспонденция на адресите</w:t>
      </w:r>
      <w:r w:rsidR="0088240D">
        <w:rPr>
          <w:rFonts w:ascii="Times New Roman" w:hAnsi="Times New Roman" w:cs="Times New Roman"/>
          <w:sz w:val="24"/>
          <w:szCs w:val="24"/>
        </w:rPr>
        <w:t>,</w:t>
      </w:r>
      <w:r w:rsidRPr="007404FA">
        <w:rPr>
          <w:rFonts w:ascii="Times New Roman" w:hAnsi="Times New Roman" w:cs="Times New Roman"/>
          <w:sz w:val="24"/>
          <w:szCs w:val="24"/>
        </w:rPr>
        <w:t xml:space="preserve"> посочени в официалните регистри.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Сравнително константен е броят жалби</w:t>
      </w:r>
      <w:r w:rsidR="0088240D">
        <w:rPr>
          <w:rFonts w:ascii="Times New Roman" w:hAnsi="Times New Roman" w:cs="Times New Roman"/>
          <w:sz w:val="24"/>
          <w:szCs w:val="24"/>
        </w:rPr>
        <w:t>,</w:t>
      </w:r>
      <w:r w:rsidRPr="007404FA">
        <w:rPr>
          <w:rFonts w:ascii="Times New Roman" w:hAnsi="Times New Roman" w:cs="Times New Roman"/>
          <w:sz w:val="24"/>
          <w:szCs w:val="24"/>
        </w:rPr>
        <w:t xml:space="preserve"> подадени срещу администратори в телекомуникационни сектор</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49 през 2020</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51 през 2021</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и 49 през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Секторът вече не е сред водещите по брой подадени жалби, като за това допринасят и издадените от КЗЛД разпореждания и въведените от телекомуникационните дружества допълнителни технически и организационни мерки в процеса на обработване на лични данни. Предметът на жалбите, с които е сезирана КЗЛД, остава идентичен с жалбите, подавани в предходните години</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 xml:space="preserve">предоставяне на лични данни за събиране на задължения, произтекли от сключени договори и електронни съобщения, сключване на договор за услуги без знание и съгласие на лицето и без реално същото да е ползвател на предоставената услуга.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На този фон се наблюдава тенденция за драстично намаляване на броя жалби</w:t>
      </w:r>
      <w:r w:rsidR="0088240D">
        <w:rPr>
          <w:rFonts w:ascii="Times New Roman" w:hAnsi="Times New Roman" w:cs="Times New Roman"/>
          <w:sz w:val="24"/>
          <w:szCs w:val="24"/>
        </w:rPr>
        <w:t>,</w:t>
      </w:r>
      <w:r w:rsidRPr="007404FA">
        <w:rPr>
          <w:rFonts w:ascii="Times New Roman" w:hAnsi="Times New Roman" w:cs="Times New Roman"/>
          <w:sz w:val="24"/>
          <w:szCs w:val="24"/>
        </w:rPr>
        <w:t xml:space="preserve"> подадени в Комисията срещу държавни органи</w:t>
      </w:r>
      <w:r w:rsidR="0088240D">
        <w:rPr>
          <w:rFonts w:ascii="Times New Roman" w:hAnsi="Times New Roman" w:cs="Times New Roman"/>
          <w:sz w:val="24"/>
          <w:szCs w:val="24"/>
        </w:rPr>
        <w:t> –</w:t>
      </w:r>
      <w:r w:rsidR="00F06583" w:rsidRPr="007404FA">
        <w:rPr>
          <w:rFonts w:ascii="Times New Roman" w:hAnsi="Times New Roman" w:cs="Times New Roman"/>
          <w:sz w:val="24"/>
          <w:szCs w:val="24"/>
        </w:rPr>
        <w:t xml:space="preserve"> </w:t>
      </w:r>
      <w:r w:rsidRPr="007404FA">
        <w:rPr>
          <w:rFonts w:ascii="Times New Roman" w:hAnsi="Times New Roman" w:cs="Times New Roman"/>
          <w:sz w:val="24"/>
          <w:szCs w:val="24"/>
        </w:rPr>
        <w:t>от 62 през 2020</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57 през 2021</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до 33 през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По-голяма част от подадените през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жалби касаят упражняване на права или предоставяне на лични данни на трети лица без основание.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Отчита се и намаляване на жалбите</w:t>
      </w:r>
      <w:r w:rsidR="0088240D">
        <w:rPr>
          <w:rFonts w:ascii="Times New Roman" w:hAnsi="Times New Roman" w:cs="Times New Roman"/>
          <w:sz w:val="24"/>
          <w:szCs w:val="24"/>
        </w:rPr>
        <w:t>,</w:t>
      </w:r>
      <w:r w:rsidRPr="007404FA">
        <w:rPr>
          <w:rFonts w:ascii="Times New Roman" w:hAnsi="Times New Roman" w:cs="Times New Roman"/>
          <w:sz w:val="24"/>
          <w:szCs w:val="24"/>
        </w:rPr>
        <w:t xml:space="preserve"> подадени в сектор „Здравеопазване“. През 2021</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броят им е 29, а през 2022</w:t>
      </w:r>
      <w:r w:rsidR="00F06583" w:rsidRPr="007404FA">
        <w:rPr>
          <w:rFonts w:ascii="Times New Roman" w:hAnsi="Times New Roman" w:cs="Times New Roman"/>
          <w:sz w:val="24"/>
          <w:szCs w:val="24"/>
        </w:rPr>
        <w:t> г.</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18. Основен предмет на жалбите са твърдения за предоставяне на трети лица на чувствителна информация, касаеща здравния статус на субекта на лични данни</w:t>
      </w:r>
      <w:r w:rsidR="0088240D">
        <w:rPr>
          <w:rFonts w:ascii="Times New Roman" w:hAnsi="Times New Roman" w:cs="Times New Roman"/>
          <w:sz w:val="24"/>
          <w:szCs w:val="24"/>
        </w:rPr>
        <w:t>,</w:t>
      </w:r>
      <w:r w:rsidRPr="007404FA">
        <w:rPr>
          <w:rFonts w:ascii="Times New Roman" w:hAnsi="Times New Roman" w:cs="Times New Roman"/>
          <w:sz w:val="24"/>
          <w:szCs w:val="24"/>
        </w:rPr>
        <w:t xml:space="preserve"> и злоупотреба с лични данни за предоставяне на здравни услуги, отчитане на хоспитализации и прегледи, без такива да са реално осъществени. Въпреки относител</w:t>
      </w:r>
      <w:r w:rsidR="0088240D">
        <w:rPr>
          <w:rFonts w:ascii="Times New Roman" w:hAnsi="Times New Roman" w:cs="Times New Roman"/>
          <w:sz w:val="24"/>
          <w:szCs w:val="24"/>
        </w:rPr>
        <w:t>но малкия</w:t>
      </w:r>
      <w:r w:rsidRPr="007404FA">
        <w:rPr>
          <w:rFonts w:ascii="Times New Roman" w:hAnsi="Times New Roman" w:cs="Times New Roman"/>
          <w:sz w:val="24"/>
          <w:szCs w:val="24"/>
        </w:rPr>
        <w:t xml:space="preserve"> брой жалби предвид спецификата на дейността на администраторите в този сектор, а именно лечебни заведения, лекари на индивидуална практика, диагностично-консу</w:t>
      </w:r>
      <w:r w:rsidR="0088240D">
        <w:rPr>
          <w:rFonts w:ascii="Times New Roman" w:hAnsi="Times New Roman" w:cs="Times New Roman"/>
          <w:sz w:val="24"/>
          <w:szCs w:val="24"/>
        </w:rPr>
        <w:t>лтативни центрове и лаборатории, и големия</w:t>
      </w:r>
      <w:r w:rsidRPr="007404FA">
        <w:rPr>
          <w:rFonts w:ascii="Times New Roman" w:hAnsi="Times New Roman" w:cs="Times New Roman"/>
          <w:sz w:val="24"/>
          <w:szCs w:val="24"/>
        </w:rPr>
        <w:t xml:space="preserve"> обем от данни</w:t>
      </w:r>
      <w:r w:rsidR="0088240D">
        <w:rPr>
          <w:rFonts w:ascii="Times New Roman" w:hAnsi="Times New Roman" w:cs="Times New Roman"/>
          <w:sz w:val="24"/>
          <w:szCs w:val="24"/>
        </w:rPr>
        <w:t>,</w:t>
      </w:r>
      <w:r w:rsidRPr="007404FA">
        <w:rPr>
          <w:rFonts w:ascii="Times New Roman" w:hAnsi="Times New Roman" w:cs="Times New Roman"/>
          <w:sz w:val="24"/>
          <w:szCs w:val="24"/>
        </w:rPr>
        <w:t xml:space="preserve"> които се обработват, секторът е под особено наблюдение предвид обстоятелството, че се касае за обработване на специална категория лични данни</w:t>
      </w:r>
      <w:r w:rsidR="0088240D">
        <w:rPr>
          <w:rFonts w:ascii="Times New Roman" w:hAnsi="Times New Roman" w:cs="Times New Roman"/>
          <w:sz w:val="24"/>
          <w:szCs w:val="24"/>
        </w:rPr>
        <w:t>,</w:t>
      </w:r>
      <w:r w:rsidRPr="007404FA">
        <w:rPr>
          <w:rFonts w:ascii="Times New Roman" w:hAnsi="Times New Roman" w:cs="Times New Roman"/>
          <w:sz w:val="24"/>
          <w:szCs w:val="24"/>
        </w:rPr>
        <w:t xml:space="preserve"> касаеща здравословното състояние на лицата.</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Спад бележат и жалбите, подадени срещу медии, като през 2021</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подадените жалби са 22, на фона на 17 жалби за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Запазва се относително големият процент на жалби</w:t>
      </w:r>
      <w:r w:rsidR="0088240D">
        <w:rPr>
          <w:rFonts w:ascii="Times New Roman" w:hAnsi="Times New Roman" w:cs="Times New Roman"/>
          <w:sz w:val="24"/>
          <w:szCs w:val="24"/>
        </w:rPr>
        <w:t>,</w:t>
      </w:r>
      <w:r w:rsidRPr="007404FA">
        <w:rPr>
          <w:rFonts w:ascii="Times New Roman" w:hAnsi="Times New Roman" w:cs="Times New Roman"/>
          <w:sz w:val="24"/>
          <w:szCs w:val="24"/>
        </w:rPr>
        <w:t xml:space="preserve"> подадени срещу администратори на електронни медии. Основно твърденията в този сектор са за непропорционално обработване на лични данни, разкриване на чувствителна информация, обработване на специална категория лични данни, най-вече такава, свързана </w:t>
      </w:r>
      <w:r w:rsidRPr="007404FA">
        <w:rPr>
          <w:rFonts w:ascii="Times New Roman" w:hAnsi="Times New Roman" w:cs="Times New Roman"/>
          <w:sz w:val="24"/>
          <w:szCs w:val="24"/>
        </w:rPr>
        <w:lastRenderedPageBreak/>
        <w:t>със здравословното състояние, респективно здравния статус</w:t>
      </w:r>
      <w:r w:rsidR="0088240D">
        <w:rPr>
          <w:rFonts w:ascii="Times New Roman" w:hAnsi="Times New Roman" w:cs="Times New Roman"/>
          <w:sz w:val="24"/>
          <w:szCs w:val="24"/>
        </w:rPr>
        <w:t>,</w:t>
      </w:r>
      <w:r w:rsidRPr="007404FA">
        <w:rPr>
          <w:rFonts w:ascii="Times New Roman" w:hAnsi="Times New Roman" w:cs="Times New Roman"/>
          <w:sz w:val="24"/>
          <w:szCs w:val="24"/>
        </w:rPr>
        <w:t xml:space="preserve"> на субекта на данни, както и непроизнасяне по подадени от субекти на данни заявления за упражняване на „правото да бъдеш забравен“ или изричен отказ на администратора да удовлетвори исканията за заличаване на лични данни и преустановяване на тяхното разпространение. </w:t>
      </w:r>
    </w:p>
    <w:p w:rsidR="001F2700" w:rsidRPr="007404FA" w:rsidRDefault="00A64597"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Трайно</w:t>
      </w:r>
      <w:r w:rsidR="001F2700" w:rsidRPr="007404FA">
        <w:rPr>
          <w:rFonts w:ascii="Times New Roman" w:hAnsi="Times New Roman" w:cs="Times New Roman"/>
          <w:sz w:val="24"/>
          <w:szCs w:val="24"/>
        </w:rPr>
        <w:t xml:space="preserve"> малък остава броят на жалбите в сектор „Образование“</w:t>
      </w:r>
      <w:r w:rsidR="00553661" w:rsidRPr="007404FA">
        <w:rPr>
          <w:rFonts w:ascii="Times New Roman" w:hAnsi="Times New Roman" w:cs="Times New Roman"/>
          <w:sz w:val="24"/>
          <w:szCs w:val="24"/>
        </w:rPr>
        <w:t xml:space="preserve"> – </w:t>
      </w:r>
      <w:r w:rsidR="001F2700" w:rsidRPr="007404FA">
        <w:rPr>
          <w:rFonts w:ascii="Times New Roman" w:hAnsi="Times New Roman" w:cs="Times New Roman"/>
          <w:sz w:val="24"/>
          <w:szCs w:val="24"/>
        </w:rPr>
        <w:t>от 4 жалби, подадени през 2021</w:t>
      </w:r>
      <w:r w:rsidR="00F06583" w:rsidRPr="007404FA">
        <w:rPr>
          <w:rFonts w:ascii="Times New Roman" w:hAnsi="Times New Roman" w:cs="Times New Roman"/>
          <w:sz w:val="24"/>
          <w:szCs w:val="24"/>
        </w:rPr>
        <w:t> г.</w:t>
      </w:r>
      <w:r w:rsidR="001F2700" w:rsidRPr="007404FA">
        <w:rPr>
          <w:rFonts w:ascii="Times New Roman" w:hAnsi="Times New Roman" w:cs="Times New Roman"/>
          <w:sz w:val="24"/>
          <w:szCs w:val="24"/>
        </w:rPr>
        <w:t>, до 3 през 2022</w:t>
      </w:r>
      <w:r w:rsidR="00F06583" w:rsidRPr="007404FA">
        <w:rPr>
          <w:rFonts w:ascii="Times New Roman" w:hAnsi="Times New Roman" w:cs="Times New Roman"/>
          <w:sz w:val="24"/>
          <w:szCs w:val="24"/>
        </w:rPr>
        <w:t> г.</w:t>
      </w:r>
      <w:r w:rsidR="00157B49">
        <w:rPr>
          <w:rFonts w:ascii="Times New Roman" w:hAnsi="Times New Roman" w:cs="Times New Roman"/>
          <w:sz w:val="24"/>
          <w:szCs w:val="24"/>
        </w:rPr>
        <w:t xml:space="preserve">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От разгледаните през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жалби преобладаващ е броят на констатираните нарушения на</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6, §1 от ОРЗД</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обработване на лични данни без правно основание, както и обработване на личните данни в нарушение на принципите по</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5, §1 от ОРЗД</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„законосъобразност и добросъвестност“, „свеждане на данните до минимум“, „цялостност и поверителност“ и „точност“. Констатирани са и нарушения</w:t>
      </w:r>
      <w:r w:rsidR="0088240D">
        <w:rPr>
          <w:rFonts w:ascii="Times New Roman" w:hAnsi="Times New Roman" w:cs="Times New Roman"/>
          <w:sz w:val="24"/>
          <w:szCs w:val="24"/>
        </w:rPr>
        <w:t>,</w:t>
      </w:r>
      <w:r w:rsidRPr="007404FA">
        <w:rPr>
          <w:rFonts w:ascii="Times New Roman" w:hAnsi="Times New Roman" w:cs="Times New Roman"/>
          <w:sz w:val="24"/>
          <w:szCs w:val="24"/>
        </w:rPr>
        <w:t xml:space="preserve"> свързани с предприетите от администраторите технически и организационни мерки за защита на личните данни, както и такива</w:t>
      </w:r>
      <w:r w:rsidR="0088240D">
        <w:rPr>
          <w:rFonts w:ascii="Times New Roman" w:hAnsi="Times New Roman" w:cs="Times New Roman"/>
          <w:sz w:val="24"/>
          <w:szCs w:val="24"/>
        </w:rPr>
        <w:t>,</w:t>
      </w:r>
      <w:r w:rsidRPr="007404FA">
        <w:rPr>
          <w:rFonts w:ascii="Times New Roman" w:hAnsi="Times New Roman" w:cs="Times New Roman"/>
          <w:sz w:val="24"/>
          <w:szCs w:val="24"/>
        </w:rPr>
        <w:t xml:space="preserve"> свързани с непроизнасяне по подадени от субекти на данни заявления за упражняване на права или произнасяне извън нормативно определените срокове. В тази връзка и най-често налаганите корективни мерки са именно за тези нарушения, като тази тенденция се запазва от 2020</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и 2021</w:t>
      </w:r>
      <w:r w:rsidR="00F06583" w:rsidRPr="007404FA">
        <w:rPr>
          <w:rFonts w:ascii="Times New Roman" w:hAnsi="Times New Roman" w:cs="Times New Roman"/>
          <w:sz w:val="24"/>
          <w:szCs w:val="24"/>
        </w:rPr>
        <w:t> г.</w:t>
      </w:r>
      <w:r w:rsidR="00157B49">
        <w:rPr>
          <w:rFonts w:ascii="Times New Roman" w:hAnsi="Times New Roman" w:cs="Times New Roman"/>
          <w:sz w:val="24"/>
          <w:szCs w:val="24"/>
        </w:rPr>
        <w:t xml:space="preserve">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През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по повод постъпили жалби са приложени следните корективни правомощия по</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 xml:space="preserve">58, §2 от Регламент (ЕС) 2016/679: </w:t>
      </w:r>
    </w:p>
    <w:p w:rsidR="001F2700" w:rsidRPr="007404FA" w:rsidRDefault="001F2700" w:rsidP="00DB6B05">
      <w:pPr>
        <w:pStyle w:val="ListParagraph"/>
        <w:numPr>
          <w:ilvl w:val="0"/>
          <w:numId w:val="17"/>
        </w:numPr>
        <w:spacing w:after="0" w:line="360" w:lineRule="auto"/>
        <w:ind w:hanging="720"/>
        <w:jc w:val="both"/>
        <w:rPr>
          <w:rFonts w:ascii="Times New Roman" w:hAnsi="Times New Roman"/>
          <w:sz w:val="24"/>
          <w:szCs w:val="24"/>
          <w:lang w:val="bg-BG"/>
        </w:rPr>
      </w:pPr>
      <w:r w:rsidRPr="007404FA">
        <w:rPr>
          <w:rFonts w:ascii="Times New Roman" w:hAnsi="Times New Roman"/>
          <w:sz w:val="24"/>
          <w:szCs w:val="24"/>
          <w:lang w:val="bg-BG"/>
        </w:rPr>
        <w:t>предупреждение по буква „а“</w:t>
      </w:r>
      <w:r w:rsidR="00553661" w:rsidRPr="007404FA">
        <w:rPr>
          <w:rFonts w:ascii="Times New Roman" w:hAnsi="Times New Roman"/>
          <w:sz w:val="24"/>
          <w:szCs w:val="24"/>
          <w:lang w:val="bg-BG"/>
        </w:rPr>
        <w:t xml:space="preserve"> – </w:t>
      </w:r>
      <w:r w:rsidRPr="007404FA">
        <w:rPr>
          <w:rFonts w:ascii="Times New Roman" w:hAnsi="Times New Roman"/>
          <w:sz w:val="24"/>
          <w:szCs w:val="24"/>
          <w:lang w:val="bg-BG"/>
        </w:rPr>
        <w:t>9</w:t>
      </w:r>
      <w:r w:rsidR="00D1189D" w:rsidRPr="007404FA">
        <w:rPr>
          <w:rFonts w:ascii="Times New Roman" w:hAnsi="Times New Roman"/>
          <w:sz w:val="24"/>
          <w:szCs w:val="24"/>
          <w:lang w:val="bg-BG"/>
        </w:rPr>
        <w:t> бр.</w:t>
      </w:r>
      <w:r w:rsidRPr="007404FA">
        <w:rPr>
          <w:rFonts w:ascii="Times New Roman" w:hAnsi="Times New Roman"/>
          <w:sz w:val="24"/>
          <w:szCs w:val="24"/>
          <w:lang w:val="bg-BG"/>
        </w:rPr>
        <w:t xml:space="preserve">; </w:t>
      </w:r>
    </w:p>
    <w:p w:rsidR="001F2700" w:rsidRPr="007404FA" w:rsidRDefault="001F2700" w:rsidP="00DB6B05">
      <w:pPr>
        <w:pStyle w:val="ListParagraph"/>
        <w:numPr>
          <w:ilvl w:val="0"/>
          <w:numId w:val="17"/>
        </w:numPr>
        <w:spacing w:after="0" w:line="360" w:lineRule="auto"/>
        <w:ind w:hanging="720"/>
        <w:jc w:val="both"/>
        <w:rPr>
          <w:rFonts w:ascii="Times New Roman" w:hAnsi="Times New Roman"/>
          <w:sz w:val="24"/>
          <w:szCs w:val="24"/>
          <w:lang w:val="bg-BG"/>
        </w:rPr>
      </w:pPr>
      <w:r w:rsidRPr="007404FA">
        <w:rPr>
          <w:rFonts w:ascii="Times New Roman" w:hAnsi="Times New Roman"/>
          <w:sz w:val="24"/>
          <w:szCs w:val="24"/>
          <w:lang w:val="bg-BG"/>
        </w:rPr>
        <w:t>официално предупреждение по буква „б“</w:t>
      </w:r>
      <w:r w:rsidR="00553661" w:rsidRPr="007404FA">
        <w:rPr>
          <w:rFonts w:ascii="Times New Roman" w:hAnsi="Times New Roman"/>
          <w:sz w:val="24"/>
          <w:szCs w:val="24"/>
          <w:lang w:val="bg-BG"/>
        </w:rPr>
        <w:t xml:space="preserve"> – </w:t>
      </w:r>
      <w:r w:rsidRPr="007404FA">
        <w:rPr>
          <w:rFonts w:ascii="Times New Roman" w:hAnsi="Times New Roman"/>
          <w:sz w:val="24"/>
          <w:szCs w:val="24"/>
          <w:lang w:val="bg-BG"/>
        </w:rPr>
        <w:t>32</w:t>
      </w:r>
      <w:r w:rsidR="00D1189D" w:rsidRPr="007404FA">
        <w:rPr>
          <w:rFonts w:ascii="Times New Roman" w:hAnsi="Times New Roman"/>
          <w:sz w:val="24"/>
          <w:szCs w:val="24"/>
          <w:lang w:val="bg-BG"/>
        </w:rPr>
        <w:t> бр.</w:t>
      </w:r>
      <w:r w:rsidRPr="007404FA">
        <w:rPr>
          <w:rFonts w:ascii="Times New Roman" w:hAnsi="Times New Roman"/>
          <w:sz w:val="24"/>
          <w:szCs w:val="24"/>
          <w:lang w:val="bg-BG"/>
        </w:rPr>
        <w:t xml:space="preserve">; </w:t>
      </w:r>
    </w:p>
    <w:p w:rsidR="001F2700" w:rsidRPr="007404FA" w:rsidRDefault="001F2700" w:rsidP="00DB6B05">
      <w:pPr>
        <w:pStyle w:val="ListParagraph"/>
        <w:numPr>
          <w:ilvl w:val="0"/>
          <w:numId w:val="17"/>
        </w:numPr>
        <w:spacing w:after="0" w:line="360" w:lineRule="auto"/>
        <w:ind w:hanging="720"/>
        <w:jc w:val="both"/>
        <w:rPr>
          <w:rFonts w:ascii="Times New Roman" w:hAnsi="Times New Roman"/>
          <w:sz w:val="24"/>
          <w:szCs w:val="24"/>
          <w:lang w:val="bg-BG"/>
        </w:rPr>
      </w:pPr>
      <w:r w:rsidRPr="007404FA">
        <w:rPr>
          <w:rFonts w:ascii="Times New Roman" w:hAnsi="Times New Roman"/>
          <w:sz w:val="24"/>
          <w:szCs w:val="24"/>
          <w:lang w:val="bg-BG"/>
        </w:rPr>
        <w:t>разпореждане по буква „в“</w:t>
      </w:r>
      <w:r w:rsidR="00553661" w:rsidRPr="007404FA">
        <w:rPr>
          <w:rFonts w:ascii="Times New Roman" w:hAnsi="Times New Roman"/>
          <w:sz w:val="24"/>
          <w:szCs w:val="24"/>
          <w:lang w:val="bg-BG"/>
        </w:rPr>
        <w:t xml:space="preserve"> – </w:t>
      </w:r>
      <w:r w:rsidRPr="007404FA">
        <w:rPr>
          <w:rFonts w:ascii="Times New Roman" w:hAnsi="Times New Roman"/>
          <w:sz w:val="24"/>
          <w:szCs w:val="24"/>
          <w:lang w:val="bg-BG"/>
        </w:rPr>
        <w:t>7</w:t>
      </w:r>
      <w:r w:rsidR="00D1189D" w:rsidRPr="007404FA">
        <w:rPr>
          <w:rFonts w:ascii="Times New Roman" w:hAnsi="Times New Roman"/>
          <w:sz w:val="24"/>
          <w:szCs w:val="24"/>
          <w:lang w:val="bg-BG"/>
        </w:rPr>
        <w:t> бр.</w:t>
      </w:r>
      <w:r w:rsidRPr="007404FA">
        <w:rPr>
          <w:rFonts w:ascii="Times New Roman" w:hAnsi="Times New Roman"/>
          <w:sz w:val="24"/>
          <w:szCs w:val="24"/>
          <w:lang w:val="bg-BG"/>
        </w:rPr>
        <w:t xml:space="preserve">; </w:t>
      </w:r>
    </w:p>
    <w:p w:rsidR="001F2700" w:rsidRPr="007404FA" w:rsidRDefault="001F2700" w:rsidP="00DB6B05">
      <w:pPr>
        <w:pStyle w:val="ListParagraph"/>
        <w:numPr>
          <w:ilvl w:val="0"/>
          <w:numId w:val="17"/>
        </w:numPr>
        <w:spacing w:after="0" w:line="360" w:lineRule="auto"/>
        <w:ind w:hanging="720"/>
        <w:jc w:val="both"/>
        <w:rPr>
          <w:rFonts w:ascii="Times New Roman" w:hAnsi="Times New Roman"/>
          <w:sz w:val="24"/>
          <w:szCs w:val="24"/>
          <w:lang w:val="bg-BG"/>
        </w:rPr>
      </w:pPr>
      <w:r w:rsidRPr="007404FA">
        <w:rPr>
          <w:rFonts w:ascii="Times New Roman" w:hAnsi="Times New Roman"/>
          <w:sz w:val="24"/>
          <w:szCs w:val="24"/>
          <w:lang w:val="bg-BG"/>
        </w:rPr>
        <w:t>разпореждане по буква „г“</w:t>
      </w:r>
      <w:r w:rsidR="00553661" w:rsidRPr="007404FA">
        <w:rPr>
          <w:rFonts w:ascii="Times New Roman" w:hAnsi="Times New Roman"/>
          <w:sz w:val="24"/>
          <w:szCs w:val="24"/>
          <w:lang w:val="bg-BG"/>
        </w:rPr>
        <w:t xml:space="preserve"> – </w:t>
      </w:r>
      <w:r w:rsidRPr="007404FA">
        <w:rPr>
          <w:rFonts w:ascii="Times New Roman" w:hAnsi="Times New Roman"/>
          <w:sz w:val="24"/>
          <w:szCs w:val="24"/>
          <w:lang w:val="bg-BG"/>
        </w:rPr>
        <w:t>89</w:t>
      </w:r>
      <w:r w:rsidR="00D1189D" w:rsidRPr="007404FA">
        <w:rPr>
          <w:rFonts w:ascii="Times New Roman" w:hAnsi="Times New Roman"/>
          <w:sz w:val="24"/>
          <w:szCs w:val="24"/>
          <w:lang w:val="bg-BG"/>
        </w:rPr>
        <w:t> бр.</w:t>
      </w:r>
      <w:r w:rsidRPr="007404FA">
        <w:rPr>
          <w:rFonts w:ascii="Times New Roman" w:hAnsi="Times New Roman"/>
          <w:sz w:val="24"/>
          <w:szCs w:val="24"/>
          <w:lang w:val="bg-BG"/>
        </w:rPr>
        <w:t>;</w:t>
      </w:r>
    </w:p>
    <w:p w:rsidR="001F2700" w:rsidRPr="007404FA" w:rsidRDefault="001F2700" w:rsidP="00DB6B05">
      <w:pPr>
        <w:pStyle w:val="ListParagraph"/>
        <w:numPr>
          <w:ilvl w:val="0"/>
          <w:numId w:val="17"/>
        </w:numPr>
        <w:spacing w:after="0" w:line="360" w:lineRule="auto"/>
        <w:ind w:hanging="720"/>
        <w:jc w:val="both"/>
        <w:rPr>
          <w:rFonts w:ascii="Times New Roman" w:hAnsi="Times New Roman"/>
          <w:sz w:val="24"/>
          <w:szCs w:val="24"/>
          <w:lang w:val="bg-BG"/>
        </w:rPr>
      </w:pPr>
      <w:r w:rsidRPr="007404FA">
        <w:rPr>
          <w:rFonts w:ascii="Times New Roman" w:hAnsi="Times New Roman"/>
          <w:sz w:val="24"/>
          <w:szCs w:val="24"/>
          <w:lang w:val="bg-BG"/>
        </w:rPr>
        <w:t>забрана на обработването на данни по буква „е“</w:t>
      </w:r>
      <w:r w:rsidR="00553661" w:rsidRPr="007404FA">
        <w:rPr>
          <w:rFonts w:ascii="Times New Roman" w:hAnsi="Times New Roman"/>
          <w:sz w:val="24"/>
          <w:szCs w:val="24"/>
          <w:lang w:val="bg-BG"/>
        </w:rPr>
        <w:t xml:space="preserve"> – </w:t>
      </w:r>
      <w:r w:rsidRPr="007404FA">
        <w:rPr>
          <w:rFonts w:ascii="Times New Roman" w:hAnsi="Times New Roman"/>
          <w:sz w:val="24"/>
          <w:szCs w:val="24"/>
          <w:lang w:val="bg-BG"/>
        </w:rPr>
        <w:t>1</w:t>
      </w:r>
      <w:r w:rsidR="00D1189D" w:rsidRPr="007404FA">
        <w:rPr>
          <w:rFonts w:ascii="Times New Roman" w:hAnsi="Times New Roman"/>
          <w:sz w:val="24"/>
          <w:szCs w:val="24"/>
          <w:lang w:val="bg-BG"/>
        </w:rPr>
        <w:t> бр.</w:t>
      </w:r>
      <w:r w:rsidRPr="007404FA">
        <w:rPr>
          <w:rFonts w:ascii="Times New Roman" w:hAnsi="Times New Roman"/>
          <w:sz w:val="24"/>
          <w:szCs w:val="24"/>
          <w:lang w:val="bg-BG"/>
        </w:rPr>
        <w:t>;</w:t>
      </w:r>
    </w:p>
    <w:p w:rsidR="001F2700" w:rsidRPr="007404FA" w:rsidRDefault="001F2700" w:rsidP="00DB6B05">
      <w:pPr>
        <w:pStyle w:val="ListParagraph"/>
        <w:numPr>
          <w:ilvl w:val="0"/>
          <w:numId w:val="17"/>
        </w:numPr>
        <w:spacing w:after="0" w:line="360" w:lineRule="auto"/>
        <w:ind w:hanging="720"/>
        <w:jc w:val="both"/>
        <w:rPr>
          <w:rFonts w:ascii="Times New Roman" w:hAnsi="Times New Roman"/>
          <w:sz w:val="24"/>
          <w:szCs w:val="24"/>
          <w:lang w:val="bg-BG"/>
        </w:rPr>
      </w:pPr>
      <w:r w:rsidRPr="007404FA">
        <w:rPr>
          <w:rFonts w:ascii="Times New Roman" w:hAnsi="Times New Roman"/>
          <w:sz w:val="24"/>
          <w:szCs w:val="24"/>
          <w:lang w:val="bg-BG"/>
        </w:rPr>
        <w:t>разпореждане по буква „ж“</w:t>
      </w:r>
      <w:r w:rsidR="00553661" w:rsidRPr="007404FA">
        <w:rPr>
          <w:rFonts w:ascii="Times New Roman" w:hAnsi="Times New Roman"/>
          <w:sz w:val="24"/>
          <w:szCs w:val="24"/>
          <w:lang w:val="bg-BG"/>
        </w:rPr>
        <w:t xml:space="preserve"> – </w:t>
      </w:r>
      <w:r w:rsidRPr="007404FA">
        <w:rPr>
          <w:rFonts w:ascii="Times New Roman" w:hAnsi="Times New Roman"/>
          <w:sz w:val="24"/>
          <w:szCs w:val="24"/>
          <w:lang w:val="bg-BG"/>
        </w:rPr>
        <w:t>1</w:t>
      </w:r>
      <w:r w:rsidR="00D1189D" w:rsidRPr="007404FA">
        <w:rPr>
          <w:rFonts w:ascii="Times New Roman" w:hAnsi="Times New Roman"/>
          <w:sz w:val="24"/>
          <w:szCs w:val="24"/>
          <w:lang w:val="bg-BG"/>
        </w:rPr>
        <w:t> бр.</w:t>
      </w:r>
      <w:r w:rsidRPr="007404FA">
        <w:rPr>
          <w:rFonts w:ascii="Times New Roman" w:hAnsi="Times New Roman"/>
          <w:sz w:val="24"/>
          <w:szCs w:val="24"/>
          <w:lang w:val="bg-BG"/>
        </w:rPr>
        <w:t>;</w:t>
      </w:r>
    </w:p>
    <w:p w:rsidR="001F2700" w:rsidRPr="007404FA" w:rsidRDefault="001F2700" w:rsidP="00DB6B05">
      <w:pPr>
        <w:pStyle w:val="ListParagraph"/>
        <w:numPr>
          <w:ilvl w:val="0"/>
          <w:numId w:val="17"/>
        </w:numPr>
        <w:spacing w:after="0" w:line="360" w:lineRule="auto"/>
        <w:ind w:hanging="720"/>
        <w:jc w:val="both"/>
        <w:rPr>
          <w:rFonts w:ascii="Times New Roman" w:hAnsi="Times New Roman"/>
          <w:sz w:val="24"/>
          <w:szCs w:val="24"/>
          <w:lang w:val="bg-BG"/>
        </w:rPr>
      </w:pPr>
      <w:r w:rsidRPr="007404FA">
        <w:rPr>
          <w:rFonts w:ascii="Times New Roman" w:hAnsi="Times New Roman"/>
          <w:sz w:val="24"/>
          <w:szCs w:val="24"/>
          <w:lang w:val="bg-BG"/>
        </w:rPr>
        <w:t>имуществени санкции/глоби по буква „и“</w:t>
      </w:r>
      <w:r w:rsidR="00553661" w:rsidRPr="007404FA">
        <w:rPr>
          <w:rFonts w:ascii="Times New Roman" w:hAnsi="Times New Roman"/>
          <w:sz w:val="24"/>
          <w:szCs w:val="24"/>
          <w:lang w:val="bg-BG"/>
        </w:rPr>
        <w:t xml:space="preserve"> – </w:t>
      </w:r>
      <w:r w:rsidRPr="007404FA">
        <w:rPr>
          <w:rFonts w:ascii="Times New Roman" w:hAnsi="Times New Roman"/>
          <w:sz w:val="24"/>
          <w:szCs w:val="24"/>
          <w:lang w:val="bg-BG"/>
        </w:rPr>
        <w:t>29</w:t>
      </w:r>
      <w:r w:rsidR="00D1189D" w:rsidRPr="007404FA">
        <w:rPr>
          <w:rFonts w:ascii="Times New Roman" w:hAnsi="Times New Roman"/>
          <w:sz w:val="24"/>
          <w:szCs w:val="24"/>
          <w:lang w:val="bg-BG"/>
        </w:rPr>
        <w:t> бр.</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Предвид спецификата на някои от нарушенията в допълнение към корективните мерки, най-често по тези по буква „г“, Комисията е наложила на администраторите и/или обработващите лични данни и административни наказания „имуществена санкция“ и/или глоба.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Наложените през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глоби и имуществени санкции в производството по</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38 от ЗЗЛД са в общ размер на 247 500</w:t>
      </w:r>
      <w:r w:rsidR="003742EB" w:rsidRPr="007404FA">
        <w:rPr>
          <w:rFonts w:ascii="Times New Roman" w:hAnsi="Times New Roman" w:cs="Times New Roman"/>
          <w:sz w:val="24"/>
          <w:szCs w:val="24"/>
        </w:rPr>
        <w:t> лв.</w:t>
      </w:r>
      <w:r w:rsidRPr="007404FA">
        <w:rPr>
          <w:rFonts w:ascii="Times New Roman" w:hAnsi="Times New Roman" w:cs="Times New Roman"/>
          <w:sz w:val="24"/>
          <w:szCs w:val="24"/>
        </w:rPr>
        <w:t>, почти двойно повече от размера на санкциите</w:t>
      </w:r>
      <w:r w:rsidR="002208A4" w:rsidRPr="007404FA">
        <w:rPr>
          <w:rFonts w:ascii="Times New Roman" w:hAnsi="Times New Roman" w:cs="Times New Roman"/>
          <w:sz w:val="24"/>
          <w:szCs w:val="24"/>
        </w:rPr>
        <w:t>,</w:t>
      </w:r>
      <w:r w:rsidR="0065583F">
        <w:rPr>
          <w:rFonts w:ascii="Times New Roman" w:hAnsi="Times New Roman" w:cs="Times New Roman"/>
          <w:sz w:val="24"/>
          <w:szCs w:val="24"/>
        </w:rPr>
        <w:t xml:space="preserve"> наложени</w:t>
      </w:r>
      <w:r w:rsidRPr="007404FA">
        <w:rPr>
          <w:rFonts w:ascii="Times New Roman" w:hAnsi="Times New Roman" w:cs="Times New Roman"/>
          <w:sz w:val="24"/>
          <w:szCs w:val="24"/>
        </w:rPr>
        <w:t xml:space="preserve"> през 2021</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Санкциите варират от 500</w:t>
      </w:r>
      <w:r w:rsidR="003742EB" w:rsidRPr="007404FA">
        <w:rPr>
          <w:rFonts w:ascii="Times New Roman" w:hAnsi="Times New Roman" w:cs="Times New Roman"/>
          <w:sz w:val="24"/>
          <w:szCs w:val="24"/>
        </w:rPr>
        <w:t> лв.</w:t>
      </w:r>
      <w:r w:rsidRPr="007404FA">
        <w:rPr>
          <w:rFonts w:ascii="Times New Roman" w:hAnsi="Times New Roman" w:cs="Times New Roman"/>
          <w:sz w:val="24"/>
          <w:szCs w:val="24"/>
        </w:rPr>
        <w:t xml:space="preserve"> (за нарушение на</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32 от ОРЗД) до 35 000</w:t>
      </w:r>
      <w:r w:rsidR="003742EB" w:rsidRPr="007404FA">
        <w:rPr>
          <w:rFonts w:ascii="Times New Roman" w:hAnsi="Times New Roman" w:cs="Times New Roman"/>
          <w:sz w:val="24"/>
          <w:szCs w:val="24"/>
        </w:rPr>
        <w:t> лв.</w:t>
      </w:r>
      <w:r w:rsidRPr="007404FA">
        <w:rPr>
          <w:rFonts w:ascii="Times New Roman" w:hAnsi="Times New Roman" w:cs="Times New Roman"/>
          <w:sz w:val="24"/>
          <w:szCs w:val="24"/>
        </w:rPr>
        <w:t xml:space="preserve"> (за нарушение на</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 xml:space="preserve">6, §1 от ОРЗД). </w:t>
      </w:r>
      <w:r w:rsidR="0048118F" w:rsidRPr="007404FA">
        <w:rPr>
          <w:rFonts w:ascii="Times New Roman" w:hAnsi="Times New Roman" w:cs="Times New Roman"/>
          <w:sz w:val="24"/>
          <w:szCs w:val="24"/>
        </w:rPr>
        <w:t>В процес на принудително събиране от НАП към 31.12.2022</w:t>
      </w:r>
      <w:r w:rsidR="00F06583" w:rsidRPr="007404FA">
        <w:rPr>
          <w:rFonts w:ascii="Times New Roman" w:hAnsi="Times New Roman" w:cs="Times New Roman"/>
          <w:sz w:val="24"/>
          <w:szCs w:val="24"/>
        </w:rPr>
        <w:t> г.</w:t>
      </w:r>
      <w:r w:rsidR="0048118F" w:rsidRPr="007404FA">
        <w:rPr>
          <w:rFonts w:ascii="Times New Roman" w:hAnsi="Times New Roman" w:cs="Times New Roman"/>
          <w:sz w:val="24"/>
          <w:szCs w:val="24"/>
        </w:rPr>
        <w:t xml:space="preserve"> са санкции, наложени с Решения на КЗЛД, в размер на 655 058</w:t>
      </w:r>
      <w:r w:rsidR="003742EB" w:rsidRPr="007404FA">
        <w:rPr>
          <w:rFonts w:ascii="Times New Roman" w:hAnsi="Times New Roman" w:cs="Times New Roman"/>
          <w:sz w:val="24"/>
          <w:szCs w:val="24"/>
        </w:rPr>
        <w:t> лв.</w:t>
      </w:r>
      <w:r w:rsidR="0048118F" w:rsidRPr="007404FA">
        <w:rPr>
          <w:rFonts w:ascii="Times New Roman" w:hAnsi="Times New Roman" w:cs="Times New Roman"/>
          <w:sz w:val="24"/>
          <w:szCs w:val="24"/>
        </w:rPr>
        <w:t>, като през 2022</w:t>
      </w:r>
      <w:r w:rsidR="00F06583" w:rsidRPr="007404FA">
        <w:rPr>
          <w:rFonts w:ascii="Times New Roman" w:hAnsi="Times New Roman" w:cs="Times New Roman"/>
          <w:sz w:val="24"/>
          <w:szCs w:val="24"/>
        </w:rPr>
        <w:t> г.</w:t>
      </w:r>
      <w:r w:rsidR="0048118F" w:rsidRPr="007404FA">
        <w:rPr>
          <w:rFonts w:ascii="Times New Roman" w:hAnsi="Times New Roman" w:cs="Times New Roman"/>
          <w:sz w:val="24"/>
          <w:szCs w:val="24"/>
        </w:rPr>
        <w:t xml:space="preserve"> е събрана сума в размер на 20 500</w:t>
      </w:r>
      <w:r w:rsidR="003742EB" w:rsidRPr="007404FA">
        <w:rPr>
          <w:rFonts w:ascii="Times New Roman" w:hAnsi="Times New Roman" w:cs="Times New Roman"/>
          <w:sz w:val="24"/>
          <w:szCs w:val="24"/>
        </w:rPr>
        <w:t> лв.</w:t>
      </w:r>
      <w:r w:rsidR="0048118F" w:rsidRPr="007404FA">
        <w:rPr>
          <w:rFonts w:ascii="Times New Roman" w:hAnsi="Times New Roman" w:cs="Times New Roman"/>
          <w:sz w:val="24"/>
          <w:szCs w:val="24"/>
        </w:rPr>
        <w:t xml:space="preserve"> През 2022</w:t>
      </w:r>
      <w:r w:rsidR="00F06583" w:rsidRPr="007404FA">
        <w:rPr>
          <w:rFonts w:ascii="Times New Roman" w:hAnsi="Times New Roman" w:cs="Times New Roman"/>
          <w:sz w:val="24"/>
          <w:szCs w:val="24"/>
        </w:rPr>
        <w:t> г.</w:t>
      </w:r>
      <w:r w:rsidR="0048118F" w:rsidRPr="007404FA">
        <w:rPr>
          <w:rFonts w:ascii="Times New Roman" w:hAnsi="Times New Roman" w:cs="Times New Roman"/>
          <w:sz w:val="24"/>
          <w:szCs w:val="24"/>
        </w:rPr>
        <w:t xml:space="preserve"> са платени глоби и </w:t>
      </w:r>
      <w:r w:rsidR="0048118F" w:rsidRPr="007404FA">
        <w:rPr>
          <w:rFonts w:ascii="Times New Roman" w:hAnsi="Times New Roman" w:cs="Times New Roman"/>
          <w:sz w:val="24"/>
          <w:szCs w:val="24"/>
        </w:rPr>
        <w:lastRenderedPageBreak/>
        <w:t>имуществени санкции в размер на 265 200 лева., а 56 000</w:t>
      </w:r>
      <w:r w:rsidR="003742EB" w:rsidRPr="007404FA">
        <w:rPr>
          <w:rFonts w:ascii="Times New Roman" w:hAnsi="Times New Roman" w:cs="Times New Roman"/>
          <w:sz w:val="24"/>
          <w:szCs w:val="24"/>
        </w:rPr>
        <w:t> лв.</w:t>
      </w:r>
      <w:r w:rsidR="0048118F" w:rsidRPr="007404FA">
        <w:rPr>
          <w:rFonts w:ascii="Times New Roman" w:hAnsi="Times New Roman" w:cs="Times New Roman"/>
          <w:sz w:val="24"/>
          <w:szCs w:val="24"/>
        </w:rPr>
        <w:t xml:space="preserve"> са в процес на събиране с покана за доброволно изпълнение.</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Водещи за определяне на размера на наложените имуществени санкции/глоби остават естеството, тежестта и продължителността на нарушението, целта на съответното обработване, броят на засегнатите субекти на данни и степента на причинената им вреда, категориите лични данни, засегнати от нарушението, действията, предприети от администратора или обработващия лични данни за смекчаване на последиците от вредите, претърпени от субектите на данни, предишни нарушения на санкционираното лице, както и дали нарушителят е физическо или юридическо лице, респективно микро-, малко или средно предприятие. Определящ за размера на санкциите е и приложимият материален закон.</w:t>
      </w:r>
      <w:r w:rsidR="00157B49">
        <w:rPr>
          <w:rFonts w:ascii="Times New Roman" w:hAnsi="Times New Roman" w:cs="Times New Roman"/>
          <w:sz w:val="24"/>
          <w:szCs w:val="24"/>
        </w:rPr>
        <w:t xml:space="preserve">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Съотношението между упражнените корективни правомощия по</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58, §2 от ОРЗД е дадено в следната графика (</w:t>
      </w:r>
      <w:r w:rsidR="0065583F">
        <w:rPr>
          <w:rFonts w:ascii="Times New Roman" w:hAnsi="Times New Roman" w:cs="Times New Roman"/>
          <w:b/>
          <w:sz w:val="24"/>
          <w:szCs w:val="24"/>
        </w:rPr>
        <w:t>ф</w:t>
      </w:r>
      <w:r w:rsidRPr="007404FA">
        <w:rPr>
          <w:rFonts w:ascii="Times New Roman" w:hAnsi="Times New Roman" w:cs="Times New Roman"/>
          <w:b/>
          <w:sz w:val="24"/>
          <w:szCs w:val="24"/>
        </w:rPr>
        <w:t>иг. 1</w:t>
      </w:r>
      <w:r w:rsidRPr="007404FA">
        <w:rPr>
          <w:rFonts w:ascii="Times New Roman" w:hAnsi="Times New Roman" w:cs="Times New Roman"/>
          <w:sz w:val="24"/>
          <w:szCs w:val="24"/>
        </w:rPr>
        <w:t xml:space="preserve">): </w:t>
      </w:r>
    </w:p>
    <w:p w:rsidR="007D329B" w:rsidRPr="007404FA" w:rsidRDefault="007D329B" w:rsidP="00DB6B05">
      <w:pPr>
        <w:pStyle w:val="ListParagraph"/>
        <w:numPr>
          <w:ilvl w:val="0"/>
          <w:numId w:val="18"/>
        </w:numPr>
        <w:spacing w:after="0" w:line="360" w:lineRule="auto"/>
        <w:ind w:left="0" w:firstLine="709"/>
        <w:jc w:val="both"/>
        <w:rPr>
          <w:rFonts w:ascii="Times New Roman" w:hAnsi="Times New Roman"/>
          <w:sz w:val="24"/>
          <w:szCs w:val="24"/>
          <w:lang w:val="bg-BG"/>
        </w:rPr>
      </w:pPr>
      <w:r w:rsidRPr="007404FA">
        <w:rPr>
          <w:rFonts w:ascii="Times New Roman" w:hAnsi="Times New Roman"/>
          <w:sz w:val="24"/>
          <w:szCs w:val="24"/>
          <w:lang w:val="bg-BG"/>
        </w:rPr>
        <w:t>предупреждение по буква „а“</w:t>
      </w:r>
      <w:r w:rsidR="00553661" w:rsidRPr="007404FA">
        <w:rPr>
          <w:rFonts w:ascii="Times New Roman" w:hAnsi="Times New Roman"/>
          <w:sz w:val="24"/>
          <w:szCs w:val="24"/>
          <w:lang w:val="bg-BG"/>
        </w:rPr>
        <w:t xml:space="preserve"> – </w:t>
      </w:r>
      <w:r w:rsidRPr="007404FA">
        <w:rPr>
          <w:rFonts w:ascii="Times New Roman" w:hAnsi="Times New Roman"/>
          <w:sz w:val="24"/>
          <w:szCs w:val="24"/>
          <w:lang w:val="bg-BG"/>
        </w:rPr>
        <w:t>9</w:t>
      </w:r>
      <w:r w:rsidR="00D1189D" w:rsidRPr="007404FA">
        <w:rPr>
          <w:rFonts w:ascii="Times New Roman" w:hAnsi="Times New Roman"/>
          <w:sz w:val="24"/>
          <w:szCs w:val="24"/>
          <w:lang w:val="bg-BG"/>
        </w:rPr>
        <w:t> бр.</w:t>
      </w:r>
      <w:r w:rsidRPr="007404FA">
        <w:rPr>
          <w:rFonts w:ascii="Times New Roman" w:hAnsi="Times New Roman"/>
          <w:sz w:val="24"/>
          <w:szCs w:val="24"/>
          <w:lang w:val="bg-BG"/>
        </w:rPr>
        <w:t xml:space="preserve">; </w:t>
      </w:r>
    </w:p>
    <w:p w:rsidR="007D329B" w:rsidRPr="007404FA" w:rsidRDefault="007D329B" w:rsidP="00DB6B05">
      <w:pPr>
        <w:pStyle w:val="ListParagraph"/>
        <w:numPr>
          <w:ilvl w:val="0"/>
          <w:numId w:val="18"/>
        </w:numPr>
        <w:spacing w:after="0" w:line="360" w:lineRule="auto"/>
        <w:ind w:left="0" w:firstLine="709"/>
        <w:jc w:val="both"/>
        <w:rPr>
          <w:rFonts w:ascii="Times New Roman" w:hAnsi="Times New Roman"/>
          <w:sz w:val="24"/>
          <w:szCs w:val="24"/>
          <w:lang w:val="bg-BG"/>
        </w:rPr>
      </w:pPr>
      <w:r w:rsidRPr="007404FA">
        <w:rPr>
          <w:rFonts w:ascii="Times New Roman" w:hAnsi="Times New Roman"/>
          <w:sz w:val="24"/>
          <w:szCs w:val="24"/>
          <w:lang w:val="bg-BG"/>
        </w:rPr>
        <w:t>официално предупреждение по буква „б“</w:t>
      </w:r>
      <w:r w:rsidR="00553661" w:rsidRPr="007404FA">
        <w:rPr>
          <w:rFonts w:ascii="Times New Roman" w:hAnsi="Times New Roman"/>
          <w:sz w:val="24"/>
          <w:szCs w:val="24"/>
          <w:lang w:val="bg-BG"/>
        </w:rPr>
        <w:t xml:space="preserve"> – </w:t>
      </w:r>
      <w:r w:rsidRPr="007404FA">
        <w:rPr>
          <w:rFonts w:ascii="Times New Roman" w:hAnsi="Times New Roman"/>
          <w:sz w:val="24"/>
          <w:szCs w:val="24"/>
          <w:lang w:val="bg-BG"/>
        </w:rPr>
        <w:t>32</w:t>
      </w:r>
      <w:r w:rsidR="00D1189D" w:rsidRPr="007404FA">
        <w:rPr>
          <w:rFonts w:ascii="Times New Roman" w:hAnsi="Times New Roman"/>
          <w:sz w:val="24"/>
          <w:szCs w:val="24"/>
          <w:lang w:val="bg-BG"/>
        </w:rPr>
        <w:t> бр.</w:t>
      </w:r>
      <w:r w:rsidRPr="007404FA">
        <w:rPr>
          <w:rFonts w:ascii="Times New Roman" w:hAnsi="Times New Roman"/>
          <w:sz w:val="24"/>
          <w:szCs w:val="24"/>
          <w:lang w:val="bg-BG"/>
        </w:rPr>
        <w:t xml:space="preserve">; </w:t>
      </w:r>
    </w:p>
    <w:p w:rsidR="007D329B" w:rsidRPr="007404FA" w:rsidRDefault="007D329B" w:rsidP="00DB6B05">
      <w:pPr>
        <w:pStyle w:val="ListParagraph"/>
        <w:numPr>
          <w:ilvl w:val="0"/>
          <w:numId w:val="18"/>
        </w:numPr>
        <w:spacing w:after="0" w:line="360" w:lineRule="auto"/>
        <w:ind w:left="0" w:firstLine="709"/>
        <w:jc w:val="both"/>
        <w:rPr>
          <w:rFonts w:ascii="Times New Roman" w:hAnsi="Times New Roman"/>
          <w:sz w:val="24"/>
          <w:szCs w:val="24"/>
          <w:lang w:val="bg-BG"/>
        </w:rPr>
      </w:pPr>
      <w:r w:rsidRPr="007404FA">
        <w:rPr>
          <w:rFonts w:ascii="Times New Roman" w:hAnsi="Times New Roman"/>
          <w:sz w:val="24"/>
          <w:szCs w:val="24"/>
          <w:lang w:val="bg-BG"/>
        </w:rPr>
        <w:t>разпореждане по буква „в“</w:t>
      </w:r>
      <w:r w:rsidR="00553661" w:rsidRPr="007404FA">
        <w:rPr>
          <w:rFonts w:ascii="Times New Roman" w:hAnsi="Times New Roman"/>
          <w:sz w:val="24"/>
          <w:szCs w:val="24"/>
          <w:lang w:val="bg-BG"/>
        </w:rPr>
        <w:t xml:space="preserve"> – </w:t>
      </w:r>
      <w:r w:rsidRPr="007404FA">
        <w:rPr>
          <w:rFonts w:ascii="Times New Roman" w:hAnsi="Times New Roman"/>
          <w:sz w:val="24"/>
          <w:szCs w:val="24"/>
          <w:lang w:val="bg-BG"/>
        </w:rPr>
        <w:t>7</w:t>
      </w:r>
      <w:r w:rsidR="00D1189D" w:rsidRPr="007404FA">
        <w:rPr>
          <w:rFonts w:ascii="Times New Roman" w:hAnsi="Times New Roman"/>
          <w:sz w:val="24"/>
          <w:szCs w:val="24"/>
          <w:lang w:val="bg-BG"/>
        </w:rPr>
        <w:t> бр.</w:t>
      </w:r>
      <w:r w:rsidRPr="007404FA">
        <w:rPr>
          <w:rFonts w:ascii="Times New Roman" w:hAnsi="Times New Roman"/>
          <w:sz w:val="24"/>
          <w:szCs w:val="24"/>
          <w:lang w:val="bg-BG"/>
        </w:rPr>
        <w:t xml:space="preserve">; </w:t>
      </w:r>
    </w:p>
    <w:p w:rsidR="007D329B" w:rsidRPr="007404FA" w:rsidRDefault="007D329B" w:rsidP="00DB6B05">
      <w:pPr>
        <w:pStyle w:val="ListParagraph"/>
        <w:numPr>
          <w:ilvl w:val="0"/>
          <w:numId w:val="18"/>
        </w:numPr>
        <w:spacing w:after="0" w:line="360" w:lineRule="auto"/>
        <w:ind w:left="0" w:firstLine="709"/>
        <w:jc w:val="both"/>
        <w:rPr>
          <w:rFonts w:ascii="Times New Roman" w:hAnsi="Times New Roman"/>
          <w:sz w:val="24"/>
          <w:szCs w:val="24"/>
          <w:lang w:val="bg-BG"/>
        </w:rPr>
      </w:pPr>
      <w:r w:rsidRPr="007404FA">
        <w:rPr>
          <w:rFonts w:ascii="Times New Roman" w:hAnsi="Times New Roman"/>
          <w:sz w:val="24"/>
          <w:szCs w:val="24"/>
          <w:lang w:val="bg-BG"/>
        </w:rPr>
        <w:t>разпореждане по буква „г“</w:t>
      </w:r>
      <w:r w:rsidR="00553661" w:rsidRPr="007404FA">
        <w:rPr>
          <w:rFonts w:ascii="Times New Roman" w:hAnsi="Times New Roman"/>
          <w:sz w:val="24"/>
          <w:szCs w:val="24"/>
          <w:lang w:val="bg-BG"/>
        </w:rPr>
        <w:t xml:space="preserve"> – </w:t>
      </w:r>
      <w:r w:rsidRPr="007404FA">
        <w:rPr>
          <w:rFonts w:ascii="Times New Roman" w:hAnsi="Times New Roman"/>
          <w:sz w:val="24"/>
          <w:szCs w:val="24"/>
          <w:lang w:val="bg-BG"/>
        </w:rPr>
        <w:t>89</w:t>
      </w:r>
      <w:r w:rsidR="00D1189D" w:rsidRPr="007404FA">
        <w:rPr>
          <w:rFonts w:ascii="Times New Roman" w:hAnsi="Times New Roman"/>
          <w:sz w:val="24"/>
          <w:szCs w:val="24"/>
          <w:lang w:val="bg-BG"/>
        </w:rPr>
        <w:t> бр.</w:t>
      </w:r>
      <w:r w:rsidRPr="007404FA">
        <w:rPr>
          <w:rFonts w:ascii="Times New Roman" w:hAnsi="Times New Roman"/>
          <w:sz w:val="24"/>
          <w:szCs w:val="24"/>
          <w:lang w:val="bg-BG"/>
        </w:rPr>
        <w:t>;</w:t>
      </w:r>
    </w:p>
    <w:p w:rsidR="007D329B" w:rsidRPr="007404FA" w:rsidRDefault="007D329B" w:rsidP="00DB6B05">
      <w:pPr>
        <w:pStyle w:val="ListParagraph"/>
        <w:numPr>
          <w:ilvl w:val="0"/>
          <w:numId w:val="18"/>
        </w:numPr>
        <w:spacing w:after="0" w:line="360" w:lineRule="auto"/>
        <w:ind w:left="0" w:firstLine="709"/>
        <w:jc w:val="both"/>
        <w:rPr>
          <w:rFonts w:ascii="Times New Roman" w:hAnsi="Times New Roman"/>
          <w:sz w:val="24"/>
          <w:szCs w:val="24"/>
          <w:lang w:val="bg-BG"/>
        </w:rPr>
      </w:pPr>
      <w:r w:rsidRPr="007404FA">
        <w:rPr>
          <w:rFonts w:ascii="Times New Roman" w:hAnsi="Times New Roman"/>
          <w:sz w:val="24"/>
          <w:szCs w:val="24"/>
          <w:lang w:val="bg-BG"/>
        </w:rPr>
        <w:t>забрана на обработването на данни по буква „е“</w:t>
      </w:r>
      <w:r w:rsidR="00553661" w:rsidRPr="007404FA">
        <w:rPr>
          <w:rFonts w:ascii="Times New Roman" w:hAnsi="Times New Roman"/>
          <w:sz w:val="24"/>
          <w:szCs w:val="24"/>
          <w:lang w:val="bg-BG"/>
        </w:rPr>
        <w:t xml:space="preserve"> – </w:t>
      </w:r>
      <w:r w:rsidRPr="007404FA">
        <w:rPr>
          <w:rFonts w:ascii="Times New Roman" w:hAnsi="Times New Roman"/>
          <w:sz w:val="24"/>
          <w:szCs w:val="24"/>
          <w:lang w:val="bg-BG"/>
        </w:rPr>
        <w:t>1</w:t>
      </w:r>
      <w:r w:rsidR="00D1189D" w:rsidRPr="007404FA">
        <w:rPr>
          <w:rFonts w:ascii="Times New Roman" w:hAnsi="Times New Roman"/>
          <w:sz w:val="24"/>
          <w:szCs w:val="24"/>
          <w:lang w:val="bg-BG"/>
        </w:rPr>
        <w:t> бр.</w:t>
      </w:r>
      <w:r w:rsidRPr="007404FA">
        <w:rPr>
          <w:rFonts w:ascii="Times New Roman" w:hAnsi="Times New Roman"/>
          <w:sz w:val="24"/>
          <w:szCs w:val="24"/>
          <w:lang w:val="bg-BG"/>
        </w:rPr>
        <w:t>;</w:t>
      </w:r>
    </w:p>
    <w:p w:rsidR="007D329B" w:rsidRPr="007404FA" w:rsidRDefault="007D329B" w:rsidP="00DB6B05">
      <w:pPr>
        <w:pStyle w:val="ListParagraph"/>
        <w:numPr>
          <w:ilvl w:val="0"/>
          <w:numId w:val="18"/>
        </w:numPr>
        <w:spacing w:after="0" w:line="360" w:lineRule="auto"/>
        <w:ind w:left="0" w:firstLine="709"/>
        <w:jc w:val="both"/>
        <w:rPr>
          <w:rFonts w:ascii="Times New Roman" w:hAnsi="Times New Roman"/>
          <w:sz w:val="24"/>
          <w:szCs w:val="24"/>
          <w:lang w:val="bg-BG"/>
        </w:rPr>
      </w:pPr>
      <w:r w:rsidRPr="007404FA">
        <w:rPr>
          <w:rFonts w:ascii="Times New Roman" w:hAnsi="Times New Roman"/>
          <w:sz w:val="24"/>
          <w:szCs w:val="24"/>
          <w:lang w:val="bg-BG"/>
        </w:rPr>
        <w:t>разпореждане по буква „ж“</w:t>
      </w:r>
      <w:r w:rsidR="00553661" w:rsidRPr="007404FA">
        <w:rPr>
          <w:rFonts w:ascii="Times New Roman" w:hAnsi="Times New Roman"/>
          <w:sz w:val="24"/>
          <w:szCs w:val="24"/>
          <w:lang w:val="bg-BG"/>
        </w:rPr>
        <w:t xml:space="preserve"> – </w:t>
      </w:r>
      <w:r w:rsidRPr="007404FA">
        <w:rPr>
          <w:rFonts w:ascii="Times New Roman" w:hAnsi="Times New Roman"/>
          <w:sz w:val="24"/>
          <w:szCs w:val="24"/>
          <w:lang w:val="bg-BG"/>
        </w:rPr>
        <w:t>1</w:t>
      </w:r>
      <w:r w:rsidR="00D1189D" w:rsidRPr="007404FA">
        <w:rPr>
          <w:rFonts w:ascii="Times New Roman" w:hAnsi="Times New Roman"/>
          <w:sz w:val="24"/>
          <w:szCs w:val="24"/>
          <w:lang w:val="bg-BG"/>
        </w:rPr>
        <w:t> бр.</w:t>
      </w:r>
      <w:r w:rsidRPr="007404FA">
        <w:rPr>
          <w:rFonts w:ascii="Times New Roman" w:hAnsi="Times New Roman"/>
          <w:sz w:val="24"/>
          <w:szCs w:val="24"/>
          <w:lang w:val="bg-BG"/>
        </w:rPr>
        <w:t>;</w:t>
      </w:r>
    </w:p>
    <w:p w:rsidR="007D329B" w:rsidRPr="007404FA" w:rsidRDefault="007D329B" w:rsidP="00DB6B05">
      <w:pPr>
        <w:pStyle w:val="ListParagraph"/>
        <w:numPr>
          <w:ilvl w:val="0"/>
          <w:numId w:val="18"/>
        </w:numPr>
        <w:spacing w:after="0" w:line="360" w:lineRule="auto"/>
        <w:ind w:left="0" w:firstLine="709"/>
        <w:jc w:val="both"/>
        <w:rPr>
          <w:rFonts w:ascii="Times New Roman" w:hAnsi="Times New Roman"/>
          <w:sz w:val="24"/>
          <w:szCs w:val="24"/>
          <w:lang w:val="bg-BG"/>
        </w:rPr>
      </w:pPr>
      <w:r w:rsidRPr="007404FA">
        <w:rPr>
          <w:rFonts w:ascii="Times New Roman" w:hAnsi="Times New Roman"/>
          <w:sz w:val="24"/>
          <w:szCs w:val="24"/>
          <w:lang w:val="bg-BG"/>
        </w:rPr>
        <w:t>имуществени санкции/глоби по буква „и“</w:t>
      </w:r>
      <w:r w:rsidR="00553661" w:rsidRPr="007404FA">
        <w:rPr>
          <w:rFonts w:ascii="Times New Roman" w:hAnsi="Times New Roman"/>
          <w:sz w:val="24"/>
          <w:szCs w:val="24"/>
          <w:lang w:val="bg-BG"/>
        </w:rPr>
        <w:t xml:space="preserve"> – </w:t>
      </w:r>
      <w:r w:rsidRPr="007404FA">
        <w:rPr>
          <w:rFonts w:ascii="Times New Roman" w:hAnsi="Times New Roman"/>
          <w:sz w:val="24"/>
          <w:szCs w:val="24"/>
          <w:lang w:val="bg-BG"/>
        </w:rPr>
        <w:t>34</w:t>
      </w:r>
      <w:r w:rsidR="00D1189D" w:rsidRPr="007404FA">
        <w:rPr>
          <w:rFonts w:ascii="Times New Roman" w:hAnsi="Times New Roman"/>
          <w:sz w:val="24"/>
          <w:szCs w:val="24"/>
          <w:lang w:val="bg-BG"/>
        </w:rPr>
        <w:t> бр.</w:t>
      </w:r>
    </w:p>
    <w:p w:rsidR="007D329B" w:rsidRPr="007404FA" w:rsidRDefault="00F702F0" w:rsidP="001E0E36">
      <w:pPr>
        <w:tabs>
          <w:tab w:val="left" w:pos="8789"/>
        </w:tabs>
        <w:rPr>
          <w:rFonts w:ascii="Times New Roman" w:hAnsi="Times New Roman" w:cs="Times New Roman"/>
          <w:sz w:val="24"/>
          <w:szCs w:val="24"/>
        </w:rPr>
      </w:pPr>
      <w:r w:rsidRPr="007404FA">
        <w:rPr>
          <w:rFonts w:eastAsia="Batang" w:cs="Times New Roman"/>
          <w:b/>
          <w:noProof/>
          <w:lang w:val="en-US" w:eastAsia="en-US"/>
        </w:rPr>
        <w:drawing>
          <wp:inline distT="0" distB="0" distL="0" distR="0" wp14:anchorId="40CA57A5" wp14:editId="2D91263D">
            <wp:extent cx="5589767" cy="3649649"/>
            <wp:effectExtent l="57150" t="57150" r="49530" b="4635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001D5" w:rsidRPr="007404FA" w:rsidRDefault="009001D5" w:rsidP="00DB6B05">
      <w:pPr>
        <w:jc w:val="center"/>
        <w:rPr>
          <w:rFonts w:ascii="Times New Roman" w:hAnsi="Times New Roman" w:cs="Times New Roman"/>
          <w:b/>
          <w:sz w:val="24"/>
          <w:szCs w:val="24"/>
        </w:rPr>
      </w:pPr>
      <w:r w:rsidRPr="007404FA">
        <w:rPr>
          <w:rFonts w:ascii="Times New Roman" w:hAnsi="Times New Roman" w:cs="Times New Roman"/>
          <w:b/>
          <w:sz w:val="24"/>
          <w:szCs w:val="24"/>
        </w:rPr>
        <w:t>Фиг. 1</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lastRenderedPageBreak/>
        <w:t>С оглед крайното решение на КЗЛД произнасянията по жалби</w:t>
      </w:r>
      <w:r w:rsidR="0065583F">
        <w:rPr>
          <w:rFonts w:ascii="Times New Roman" w:hAnsi="Times New Roman" w:cs="Times New Roman"/>
          <w:sz w:val="24"/>
          <w:szCs w:val="24"/>
        </w:rPr>
        <w:t>,</w:t>
      </w:r>
      <w:r w:rsidRPr="007404FA">
        <w:rPr>
          <w:rFonts w:ascii="Times New Roman" w:hAnsi="Times New Roman" w:cs="Times New Roman"/>
          <w:sz w:val="24"/>
          <w:szCs w:val="24"/>
        </w:rPr>
        <w:t xml:space="preserve"> разгледани през 2022</w:t>
      </w:r>
      <w:r w:rsidR="00F06583" w:rsidRPr="007404FA">
        <w:rPr>
          <w:rFonts w:ascii="Times New Roman" w:hAnsi="Times New Roman" w:cs="Times New Roman"/>
          <w:sz w:val="24"/>
          <w:szCs w:val="24"/>
        </w:rPr>
        <w:t> г.</w:t>
      </w:r>
      <w:r w:rsidR="0062225B" w:rsidRPr="007404FA">
        <w:rPr>
          <w:rFonts w:ascii="Times New Roman" w:hAnsi="Times New Roman" w:cs="Times New Roman"/>
          <w:sz w:val="24"/>
          <w:szCs w:val="24"/>
        </w:rPr>
        <w:t xml:space="preserve"> </w:t>
      </w:r>
      <w:r w:rsidR="00033EAA" w:rsidRPr="007404FA">
        <w:rPr>
          <w:rFonts w:ascii="Times New Roman" w:hAnsi="Times New Roman" w:cs="Times New Roman"/>
          <w:sz w:val="24"/>
          <w:szCs w:val="24"/>
        </w:rPr>
        <w:t>(392</w:t>
      </w:r>
      <w:r w:rsidR="00D1189D" w:rsidRPr="007404FA">
        <w:rPr>
          <w:rFonts w:ascii="Times New Roman" w:hAnsi="Times New Roman" w:cs="Times New Roman"/>
          <w:sz w:val="24"/>
          <w:szCs w:val="24"/>
        </w:rPr>
        <w:t> бр.</w:t>
      </w:r>
      <w:r w:rsidR="0062225B" w:rsidRPr="007404FA">
        <w:rPr>
          <w:rFonts w:ascii="Times New Roman" w:hAnsi="Times New Roman" w:cs="Times New Roman"/>
          <w:sz w:val="24"/>
          <w:szCs w:val="24"/>
        </w:rPr>
        <w:t>)</w:t>
      </w:r>
      <w:r w:rsidR="0065583F">
        <w:rPr>
          <w:rFonts w:ascii="Times New Roman" w:hAnsi="Times New Roman" w:cs="Times New Roman"/>
          <w:sz w:val="24"/>
          <w:szCs w:val="24"/>
        </w:rPr>
        <w:t>,</w:t>
      </w:r>
      <w:r w:rsidRPr="007404FA">
        <w:rPr>
          <w:rFonts w:ascii="Times New Roman" w:hAnsi="Times New Roman" w:cs="Times New Roman"/>
          <w:sz w:val="24"/>
          <w:szCs w:val="24"/>
        </w:rPr>
        <w:t xml:space="preserve"> са, както следва:</w:t>
      </w:r>
    </w:p>
    <w:p w:rsidR="001F2700" w:rsidRPr="007404FA" w:rsidRDefault="001F2700" w:rsidP="00DB6B05">
      <w:pPr>
        <w:pStyle w:val="ListParagraph"/>
        <w:numPr>
          <w:ilvl w:val="0"/>
          <w:numId w:val="19"/>
        </w:numPr>
        <w:suppressAutoHyphens w:val="0"/>
        <w:autoSpaceDN/>
        <w:spacing w:after="0" w:line="360" w:lineRule="auto"/>
        <w:ind w:left="0" w:firstLine="709"/>
        <w:contextualSpacing/>
        <w:jc w:val="both"/>
        <w:textAlignment w:val="auto"/>
        <w:rPr>
          <w:rFonts w:ascii="Times New Roman" w:hAnsi="Times New Roman"/>
          <w:sz w:val="24"/>
          <w:szCs w:val="24"/>
          <w:lang w:val="bg-BG"/>
        </w:rPr>
      </w:pPr>
      <w:r w:rsidRPr="007404FA">
        <w:rPr>
          <w:rFonts w:ascii="Times New Roman" w:hAnsi="Times New Roman"/>
          <w:sz w:val="24"/>
          <w:szCs w:val="24"/>
          <w:lang w:val="bg-BG"/>
        </w:rPr>
        <w:t>по основателност на жалби</w:t>
      </w:r>
      <w:r w:rsidR="00553661" w:rsidRPr="007404FA">
        <w:rPr>
          <w:rFonts w:ascii="Times New Roman" w:hAnsi="Times New Roman"/>
          <w:sz w:val="24"/>
          <w:szCs w:val="24"/>
          <w:lang w:val="bg-BG"/>
        </w:rPr>
        <w:t xml:space="preserve"> – </w:t>
      </w:r>
      <w:r w:rsidRPr="007404FA">
        <w:rPr>
          <w:rFonts w:ascii="Times New Roman" w:hAnsi="Times New Roman"/>
          <w:sz w:val="24"/>
          <w:szCs w:val="24"/>
          <w:lang w:val="bg-BG"/>
        </w:rPr>
        <w:t>225 решения. От тях за основателни са приети 143 жалби, а за неоснователни</w:t>
      </w:r>
      <w:r w:rsidR="00553661" w:rsidRPr="007404FA">
        <w:rPr>
          <w:rFonts w:ascii="Times New Roman" w:hAnsi="Times New Roman"/>
          <w:sz w:val="24"/>
          <w:szCs w:val="24"/>
          <w:lang w:val="bg-BG"/>
        </w:rPr>
        <w:t xml:space="preserve"> – </w:t>
      </w:r>
      <w:r w:rsidRPr="007404FA">
        <w:rPr>
          <w:rFonts w:ascii="Times New Roman" w:hAnsi="Times New Roman"/>
          <w:sz w:val="24"/>
          <w:szCs w:val="24"/>
          <w:lang w:val="bg-BG"/>
        </w:rPr>
        <w:t xml:space="preserve">82; </w:t>
      </w:r>
    </w:p>
    <w:p w:rsidR="001F2700" w:rsidRPr="007404FA" w:rsidRDefault="001F2700" w:rsidP="00DB6B05">
      <w:pPr>
        <w:pStyle w:val="ListParagraph"/>
        <w:numPr>
          <w:ilvl w:val="0"/>
          <w:numId w:val="19"/>
        </w:numPr>
        <w:suppressAutoHyphens w:val="0"/>
        <w:autoSpaceDN/>
        <w:spacing w:after="0" w:line="360" w:lineRule="auto"/>
        <w:ind w:left="0" w:firstLine="709"/>
        <w:contextualSpacing/>
        <w:jc w:val="both"/>
        <w:textAlignment w:val="auto"/>
        <w:rPr>
          <w:rFonts w:ascii="Times New Roman" w:hAnsi="Times New Roman"/>
          <w:sz w:val="24"/>
          <w:szCs w:val="24"/>
          <w:lang w:val="bg-BG"/>
        </w:rPr>
      </w:pPr>
      <w:r w:rsidRPr="007404FA">
        <w:rPr>
          <w:rFonts w:ascii="Times New Roman" w:hAnsi="Times New Roman"/>
          <w:sz w:val="24"/>
          <w:szCs w:val="24"/>
          <w:lang w:val="bg-BG"/>
        </w:rPr>
        <w:t>за спиране на административно производство поради наличие на друго, образувано пред органите на МВР или прокуратурата</w:t>
      </w:r>
      <w:r w:rsidR="00553661" w:rsidRPr="007404FA">
        <w:rPr>
          <w:rFonts w:ascii="Times New Roman" w:hAnsi="Times New Roman"/>
          <w:sz w:val="24"/>
          <w:szCs w:val="24"/>
          <w:lang w:val="bg-BG"/>
        </w:rPr>
        <w:t xml:space="preserve"> – </w:t>
      </w:r>
      <w:r w:rsidRPr="007404FA">
        <w:rPr>
          <w:rFonts w:ascii="Times New Roman" w:hAnsi="Times New Roman"/>
          <w:sz w:val="24"/>
          <w:szCs w:val="24"/>
          <w:lang w:val="bg-BG"/>
        </w:rPr>
        <w:t>1 решени</w:t>
      </w:r>
      <w:r w:rsidR="0065583F">
        <w:rPr>
          <w:rFonts w:ascii="Times New Roman" w:hAnsi="Times New Roman"/>
          <w:sz w:val="24"/>
          <w:szCs w:val="24"/>
          <w:lang w:val="bg-BG"/>
        </w:rPr>
        <w:t>е</w:t>
      </w:r>
      <w:r w:rsidRPr="007404FA">
        <w:rPr>
          <w:rFonts w:ascii="Times New Roman" w:hAnsi="Times New Roman"/>
          <w:sz w:val="24"/>
          <w:szCs w:val="24"/>
          <w:lang w:val="bg-BG"/>
        </w:rPr>
        <w:t>;</w:t>
      </w:r>
    </w:p>
    <w:p w:rsidR="001F2700" w:rsidRPr="007404FA" w:rsidRDefault="001F2700" w:rsidP="00DB6B05">
      <w:pPr>
        <w:pStyle w:val="ListParagraph"/>
        <w:numPr>
          <w:ilvl w:val="0"/>
          <w:numId w:val="19"/>
        </w:numPr>
        <w:suppressAutoHyphens w:val="0"/>
        <w:autoSpaceDN/>
        <w:spacing w:after="0" w:line="360" w:lineRule="auto"/>
        <w:ind w:left="0" w:firstLine="709"/>
        <w:contextualSpacing/>
        <w:jc w:val="both"/>
        <w:textAlignment w:val="auto"/>
        <w:rPr>
          <w:rFonts w:ascii="Times New Roman" w:hAnsi="Times New Roman"/>
          <w:sz w:val="24"/>
          <w:szCs w:val="24"/>
          <w:lang w:val="bg-BG"/>
        </w:rPr>
      </w:pPr>
      <w:r w:rsidRPr="007404FA">
        <w:rPr>
          <w:rFonts w:ascii="Times New Roman" w:hAnsi="Times New Roman"/>
          <w:sz w:val="24"/>
          <w:szCs w:val="24"/>
          <w:lang w:val="bg-BG"/>
        </w:rPr>
        <w:t>по недопустимост на жалби</w:t>
      </w:r>
      <w:r w:rsidR="00553661" w:rsidRPr="007404FA">
        <w:rPr>
          <w:rFonts w:ascii="Times New Roman" w:hAnsi="Times New Roman"/>
          <w:sz w:val="24"/>
          <w:szCs w:val="24"/>
          <w:lang w:val="bg-BG"/>
        </w:rPr>
        <w:t xml:space="preserve"> – </w:t>
      </w:r>
      <w:r w:rsidRPr="007404FA">
        <w:rPr>
          <w:rFonts w:ascii="Times New Roman" w:hAnsi="Times New Roman"/>
          <w:sz w:val="24"/>
          <w:szCs w:val="24"/>
          <w:lang w:val="bg-BG"/>
        </w:rPr>
        <w:t>57 решения;</w:t>
      </w:r>
    </w:p>
    <w:p w:rsidR="001F2700" w:rsidRPr="007404FA" w:rsidRDefault="001F2700" w:rsidP="00DB6B05">
      <w:pPr>
        <w:pStyle w:val="ListParagraph"/>
        <w:numPr>
          <w:ilvl w:val="0"/>
          <w:numId w:val="19"/>
        </w:numPr>
        <w:suppressAutoHyphens w:val="0"/>
        <w:autoSpaceDN/>
        <w:spacing w:after="0" w:line="360" w:lineRule="auto"/>
        <w:ind w:left="0" w:firstLine="709"/>
        <w:contextualSpacing/>
        <w:jc w:val="both"/>
        <w:textAlignment w:val="auto"/>
        <w:rPr>
          <w:rFonts w:ascii="Times New Roman" w:hAnsi="Times New Roman"/>
          <w:sz w:val="24"/>
          <w:szCs w:val="24"/>
          <w:lang w:val="bg-BG"/>
        </w:rPr>
      </w:pPr>
      <w:r w:rsidRPr="007404FA">
        <w:rPr>
          <w:rFonts w:ascii="Times New Roman" w:hAnsi="Times New Roman"/>
          <w:sz w:val="24"/>
          <w:szCs w:val="24"/>
          <w:lang w:val="bg-BG"/>
        </w:rPr>
        <w:t>по нередовност на жалби и искания</w:t>
      </w:r>
      <w:r w:rsidR="00553661" w:rsidRPr="007404FA">
        <w:rPr>
          <w:rFonts w:ascii="Times New Roman" w:hAnsi="Times New Roman"/>
          <w:sz w:val="24"/>
          <w:szCs w:val="24"/>
          <w:lang w:val="bg-BG"/>
        </w:rPr>
        <w:t xml:space="preserve"> – </w:t>
      </w:r>
      <w:r w:rsidRPr="007404FA">
        <w:rPr>
          <w:rFonts w:ascii="Times New Roman" w:hAnsi="Times New Roman"/>
          <w:sz w:val="24"/>
          <w:szCs w:val="24"/>
          <w:lang w:val="bg-BG"/>
        </w:rPr>
        <w:t xml:space="preserve">74 решения; </w:t>
      </w:r>
    </w:p>
    <w:p w:rsidR="001F2700" w:rsidRPr="007404FA" w:rsidRDefault="001F2700" w:rsidP="00DB6B05">
      <w:pPr>
        <w:pStyle w:val="ListParagraph"/>
        <w:numPr>
          <w:ilvl w:val="0"/>
          <w:numId w:val="19"/>
        </w:numPr>
        <w:suppressAutoHyphens w:val="0"/>
        <w:autoSpaceDN/>
        <w:spacing w:after="0" w:line="360" w:lineRule="auto"/>
        <w:ind w:left="0" w:firstLine="709"/>
        <w:contextualSpacing/>
        <w:jc w:val="both"/>
        <w:textAlignment w:val="auto"/>
        <w:rPr>
          <w:rFonts w:ascii="Times New Roman" w:hAnsi="Times New Roman"/>
          <w:sz w:val="24"/>
          <w:szCs w:val="24"/>
          <w:lang w:val="bg-BG"/>
        </w:rPr>
      </w:pPr>
      <w:r w:rsidRPr="007404FA">
        <w:rPr>
          <w:rFonts w:ascii="Times New Roman" w:hAnsi="Times New Roman"/>
          <w:sz w:val="24"/>
          <w:szCs w:val="24"/>
          <w:lang w:val="bg-BG"/>
        </w:rPr>
        <w:t>очевидна неоснователност</w:t>
      </w:r>
      <w:r w:rsidR="00553661" w:rsidRPr="007404FA">
        <w:rPr>
          <w:rFonts w:ascii="Times New Roman" w:hAnsi="Times New Roman"/>
          <w:sz w:val="24"/>
          <w:szCs w:val="24"/>
          <w:lang w:val="bg-BG"/>
        </w:rPr>
        <w:t xml:space="preserve"> – </w:t>
      </w:r>
      <w:r w:rsidRPr="007404FA">
        <w:rPr>
          <w:rFonts w:ascii="Times New Roman" w:hAnsi="Times New Roman"/>
          <w:sz w:val="24"/>
          <w:szCs w:val="24"/>
          <w:lang w:val="bg-BG"/>
        </w:rPr>
        <w:t>11 решения.</w:t>
      </w:r>
    </w:p>
    <w:p w:rsidR="009C7EFB" w:rsidRPr="007404FA" w:rsidRDefault="0016041C" w:rsidP="00DB6B05">
      <w:pPr>
        <w:pStyle w:val="ListParagraph"/>
        <w:numPr>
          <w:ilvl w:val="0"/>
          <w:numId w:val="19"/>
        </w:numPr>
        <w:spacing w:after="0" w:line="360" w:lineRule="auto"/>
        <w:ind w:left="0" w:firstLine="709"/>
        <w:jc w:val="both"/>
        <w:rPr>
          <w:rFonts w:ascii="Times New Roman" w:hAnsi="Times New Roman"/>
          <w:sz w:val="24"/>
          <w:szCs w:val="24"/>
          <w:lang w:val="bg-BG"/>
        </w:rPr>
      </w:pPr>
      <w:r w:rsidRPr="007404FA">
        <w:rPr>
          <w:rFonts w:ascii="Times New Roman" w:hAnsi="Times New Roman"/>
          <w:sz w:val="24"/>
          <w:szCs w:val="24"/>
          <w:lang w:val="bg-BG"/>
        </w:rPr>
        <w:t>о</w:t>
      </w:r>
      <w:r w:rsidR="001F2700" w:rsidRPr="007404FA">
        <w:rPr>
          <w:rFonts w:ascii="Times New Roman" w:hAnsi="Times New Roman"/>
          <w:sz w:val="24"/>
          <w:szCs w:val="24"/>
          <w:lang w:val="bg-BG"/>
        </w:rPr>
        <w:t xml:space="preserve">ттеглените жалби са 24, с което КЗЛД на практика е била десезирана. </w:t>
      </w:r>
    </w:p>
    <w:p w:rsidR="001F2700" w:rsidRPr="007404FA" w:rsidRDefault="001F2700" w:rsidP="00DB6B05">
      <w:pPr>
        <w:pStyle w:val="ListParagraph"/>
        <w:spacing w:after="0" w:line="360" w:lineRule="auto"/>
        <w:ind w:left="0" w:firstLine="709"/>
        <w:jc w:val="both"/>
        <w:rPr>
          <w:rFonts w:ascii="Times New Roman" w:hAnsi="Times New Roman"/>
          <w:sz w:val="24"/>
          <w:szCs w:val="24"/>
          <w:lang w:val="bg-BG"/>
        </w:rPr>
      </w:pPr>
      <w:r w:rsidRPr="007404FA">
        <w:rPr>
          <w:rFonts w:ascii="Times New Roman" w:hAnsi="Times New Roman"/>
          <w:sz w:val="24"/>
          <w:szCs w:val="24"/>
          <w:lang w:val="bg-BG"/>
        </w:rPr>
        <w:t>По 1 жалба, подадена от български граждани срещу администратор с основно място на установяване извън пределите на Република България, е стартирана процедура по международно сътрудничество с водещ малтийския надзорен орган.</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В посочения период са подготвени 1</w:t>
      </w:r>
      <w:r w:rsidR="0043052A" w:rsidRPr="007404FA">
        <w:rPr>
          <w:rFonts w:ascii="Times New Roman" w:hAnsi="Times New Roman" w:cs="Times New Roman"/>
          <w:sz w:val="24"/>
          <w:szCs w:val="24"/>
        </w:rPr>
        <w:t>87</w:t>
      </w:r>
      <w:r w:rsidRPr="007404FA">
        <w:rPr>
          <w:rFonts w:ascii="Times New Roman" w:hAnsi="Times New Roman" w:cs="Times New Roman"/>
          <w:sz w:val="24"/>
          <w:szCs w:val="24"/>
        </w:rPr>
        <w:t xml:space="preserve"> отговора </w:t>
      </w:r>
      <w:r w:rsidR="003D5432" w:rsidRPr="007404FA">
        <w:rPr>
          <w:rFonts w:ascii="Times New Roman" w:hAnsi="Times New Roman" w:cs="Times New Roman"/>
          <w:sz w:val="24"/>
          <w:szCs w:val="24"/>
        </w:rPr>
        <w:t xml:space="preserve">с конкретни разяснения относно </w:t>
      </w:r>
      <w:r w:rsidRPr="007404FA">
        <w:rPr>
          <w:rFonts w:ascii="Times New Roman" w:hAnsi="Times New Roman" w:cs="Times New Roman"/>
          <w:sz w:val="24"/>
          <w:szCs w:val="24"/>
        </w:rPr>
        <w:t>упражняване на права</w:t>
      </w:r>
      <w:r w:rsidR="003D5432" w:rsidRPr="007404FA">
        <w:rPr>
          <w:rFonts w:ascii="Times New Roman" w:hAnsi="Times New Roman" w:cs="Times New Roman"/>
          <w:sz w:val="24"/>
          <w:szCs w:val="24"/>
        </w:rPr>
        <w:t xml:space="preserve"> (вкл. правото на жалба)</w:t>
      </w:r>
      <w:r w:rsidRPr="007404FA">
        <w:rPr>
          <w:rFonts w:ascii="Times New Roman" w:hAnsi="Times New Roman" w:cs="Times New Roman"/>
          <w:sz w:val="24"/>
          <w:szCs w:val="24"/>
        </w:rPr>
        <w:t>, сроковете за произнасяне от страна на администраторите и възможността за сезиране на КЗЛД.</w:t>
      </w:r>
      <w:r w:rsidR="00157B49">
        <w:rPr>
          <w:rFonts w:ascii="Times New Roman" w:hAnsi="Times New Roman" w:cs="Times New Roman"/>
          <w:sz w:val="24"/>
          <w:szCs w:val="24"/>
        </w:rPr>
        <w:t xml:space="preserve">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Съотношението между </w:t>
      </w:r>
      <w:r w:rsidR="00E472B2" w:rsidRPr="007404FA">
        <w:rPr>
          <w:rFonts w:ascii="Times New Roman" w:hAnsi="Times New Roman" w:cs="Times New Roman"/>
          <w:sz w:val="24"/>
          <w:szCs w:val="24"/>
        </w:rPr>
        <w:t>о</w:t>
      </w:r>
      <w:r w:rsidRPr="007404FA">
        <w:rPr>
          <w:rFonts w:ascii="Times New Roman" w:hAnsi="Times New Roman" w:cs="Times New Roman"/>
          <w:sz w:val="24"/>
          <w:szCs w:val="24"/>
        </w:rPr>
        <w:t>снователни</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неоснователни жалби е д</w:t>
      </w:r>
      <w:r w:rsidR="00337FAC" w:rsidRPr="007404FA">
        <w:rPr>
          <w:rFonts w:ascii="Times New Roman" w:hAnsi="Times New Roman" w:cs="Times New Roman"/>
          <w:sz w:val="24"/>
          <w:szCs w:val="24"/>
        </w:rPr>
        <w:t>адено в следната графика (</w:t>
      </w:r>
      <w:r w:rsidR="0065583F">
        <w:rPr>
          <w:rFonts w:ascii="Times New Roman" w:hAnsi="Times New Roman" w:cs="Times New Roman"/>
          <w:b/>
          <w:sz w:val="24"/>
          <w:szCs w:val="24"/>
        </w:rPr>
        <w:t>ф</w:t>
      </w:r>
      <w:r w:rsidRPr="007404FA">
        <w:rPr>
          <w:rFonts w:ascii="Times New Roman" w:hAnsi="Times New Roman" w:cs="Times New Roman"/>
          <w:b/>
          <w:sz w:val="24"/>
          <w:szCs w:val="24"/>
        </w:rPr>
        <w:t>иг. 2</w:t>
      </w:r>
      <w:r w:rsidRPr="007404FA">
        <w:rPr>
          <w:rFonts w:ascii="Times New Roman" w:hAnsi="Times New Roman" w:cs="Times New Roman"/>
          <w:sz w:val="24"/>
          <w:szCs w:val="24"/>
        </w:rPr>
        <w:t>)</w:t>
      </w:r>
      <w:r w:rsidR="00BD252C">
        <w:rPr>
          <w:rFonts w:ascii="Times New Roman" w:hAnsi="Times New Roman" w:cs="Times New Roman"/>
          <w:sz w:val="24"/>
          <w:szCs w:val="24"/>
        </w:rPr>
        <w:t>:</w:t>
      </w:r>
    </w:p>
    <w:p w:rsidR="00337FAC" w:rsidRPr="007404FA" w:rsidRDefault="00F702F0" w:rsidP="00DB6B05">
      <w:pPr>
        <w:spacing w:line="360" w:lineRule="auto"/>
        <w:ind w:firstLine="709"/>
        <w:jc w:val="both"/>
        <w:rPr>
          <w:rFonts w:ascii="Times New Roman" w:hAnsi="Times New Roman" w:cs="Times New Roman"/>
          <w:sz w:val="24"/>
          <w:szCs w:val="24"/>
        </w:rPr>
      </w:pPr>
      <w:r w:rsidRPr="007404FA">
        <w:rPr>
          <w:rFonts w:eastAsia="Calibri" w:cs="Times New Roman"/>
          <w:noProof/>
          <w:lang w:val="en-US" w:eastAsia="en-US"/>
        </w:rPr>
        <w:drawing>
          <wp:inline distT="0" distB="0" distL="0" distR="0" wp14:anchorId="3B5EEE4E" wp14:editId="43E90A4A">
            <wp:extent cx="5080883" cy="3466769"/>
            <wp:effectExtent l="38100" t="57150" r="43815" b="3873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29B" w:rsidRPr="007404FA" w:rsidRDefault="00337FAC" w:rsidP="00DB6B05">
      <w:pPr>
        <w:spacing w:line="360" w:lineRule="auto"/>
        <w:ind w:firstLine="709"/>
        <w:jc w:val="center"/>
        <w:rPr>
          <w:rFonts w:ascii="Times New Roman" w:hAnsi="Times New Roman" w:cs="Times New Roman"/>
          <w:b/>
          <w:sz w:val="24"/>
          <w:szCs w:val="24"/>
        </w:rPr>
      </w:pPr>
      <w:r w:rsidRPr="007404FA">
        <w:rPr>
          <w:rFonts w:ascii="Times New Roman" w:hAnsi="Times New Roman" w:cs="Times New Roman"/>
          <w:b/>
          <w:sz w:val="24"/>
          <w:szCs w:val="24"/>
        </w:rPr>
        <w:t>Фиг. 2</w:t>
      </w:r>
    </w:p>
    <w:p w:rsidR="00175922" w:rsidRDefault="00175922" w:rsidP="00DB6B05">
      <w:pPr>
        <w:spacing w:line="360" w:lineRule="auto"/>
        <w:ind w:firstLine="709"/>
        <w:jc w:val="both"/>
        <w:rPr>
          <w:rFonts w:ascii="Times New Roman" w:hAnsi="Times New Roman" w:cs="Times New Roman"/>
          <w:b/>
          <w:sz w:val="24"/>
          <w:szCs w:val="24"/>
        </w:rPr>
      </w:pPr>
    </w:p>
    <w:p w:rsidR="007B480F" w:rsidRPr="007404FA" w:rsidRDefault="007B480F" w:rsidP="007B480F">
      <w:pPr>
        <w:tabs>
          <w:tab w:val="left" w:pos="8647"/>
        </w:tabs>
        <w:spacing w:line="360" w:lineRule="auto"/>
        <w:ind w:firstLine="709"/>
        <w:jc w:val="both"/>
        <w:rPr>
          <w:rFonts w:ascii="Times New Roman" w:hAnsi="Times New Roman" w:cs="Times New Roman"/>
          <w:b/>
          <w:sz w:val="24"/>
          <w:szCs w:val="24"/>
        </w:rPr>
      </w:pPr>
    </w:p>
    <w:p w:rsidR="001F2700" w:rsidRPr="007404FA" w:rsidRDefault="001F2700" w:rsidP="00DB6B05">
      <w:pPr>
        <w:spacing w:line="360" w:lineRule="auto"/>
        <w:ind w:firstLine="709"/>
        <w:jc w:val="both"/>
        <w:rPr>
          <w:rFonts w:ascii="Times New Roman" w:hAnsi="Times New Roman" w:cs="Times New Roman"/>
          <w:b/>
          <w:sz w:val="24"/>
          <w:szCs w:val="24"/>
        </w:rPr>
      </w:pPr>
      <w:r w:rsidRPr="007404FA">
        <w:rPr>
          <w:rFonts w:ascii="Times New Roman" w:hAnsi="Times New Roman" w:cs="Times New Roman"/>
          <w:b/>
          <w:sz w:val="24"/>
          <w:szCs w:val="24"/>
        </w:rPr>
        <w:lastRenderedPageBreak/>
        <w:t>3. Специфични казуси и практика на КЗЛД.</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Що се касае за специфични казуси по жалби</w:t>
      </w:r>
      <w:r w:rsidR="00251F8F">
        <w:rPr>
          <w:rFonts w:ascii="Times New Roman" w:hAnsi="Times New Roman" w:cs="Times New Roman"/>
          <w:sz w:val="24"/>
          <w:szCs w:val="24"/>
        </w:rPr>
        <w:t>,</w:t>
      </w:r>
      <w:r w:rsidRPr="007404FA">
        <w:rPr>
          <w:rFonts w:ascii="Times New Roman" w:hAnsi="Times New Roman" w:cs="Times New Roman"/>
          <w:sz w:val="24"/>
          <w:szCs w:val="24"/>
        </w:rPr>
        <w:t xml:space="preserve"> разгледани през отчетния период, могат да се посочат следните случаи: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b/>
          <w:sz w:val="24"/>
          <w:szCs w:val="24"/>
        </w:rPr>
        <w:t>3.1.</w:t>
      </w:r>
      <w:r w:rsidRPr="007404FA">
        <w:rPr>
          <w:rFonts w:ascii="Times New Roman" w:hAnsi="Times New Roman" w:cs="Times New Roman"/>
          <w:sz w:val="24"/>
          <w:szCs w:val="24"/>
        </w:rPr>
        <w:t xml:space="preserve"> </w:t>
      </w:r>
      <w:r w:rsidRPr="007404FA">
        <w:rPr>
          <w:rFonts w:ascii="Times New Roman" w:hAnsi="Times New Roman" w:cs="Times New Roman"/>
          <w:b/>
          <w:sz w:val="24"/>
          <w:szCs w:val="24"/>
        </w:rPr>
        <w:t>Комисията за защита на личните данни е сезирана с жалба</w:t>
      </w:r>
      <w:r w:rsidR="00251F8F">
        <w:rPr>
          <w:rFonts w:ascii="Times New Roman" w:hAnsi="Times New Roman" w:cs="Times New Roman"/>
          <w:b/>
          <w:sz w:val="24"/>
          <w:szCs w:val="24"/>
        </w:rPr>
        <w:t>,</w:t>
      </w:r>
      <w:r w:rsidRPr="007404FA">
        <w:rPr>
          <w:rFonts w:ascii="Times New Roman" w:hAnsi="Times New Roman" w:cs="Times New Roman"/>
          <w:b/>
          <w:sz w:val="24"/>
          <w:szCs w:val="24"/>
        </w:rPr>
        <w:t xml:space="preserve"> подадена от физическо лице, действащ народен представител</w:t>
      </w:r>
      <w:r w:rsidRPr="007404FA">
        <w:rPr>
          <w:rFonts w:ascii="Times New Roman" w:hAnsi="Times New Roman" w:cs="Times New Roman"/>
          <w:sz w:val="24"/>
          <w:szCs w:val="24"/>
        </w:rPr>
        <w:t>, с изложени твърдения за неправомерно</w:t>
      </w:r>
      <w:r w:rsidR="00157B49">
        <w:rPr>
          <w:rFonts w:ascii="Times New Roman" w:hAnsi="Times New Roman" w:cs="Times New Roman"/>
          <w:sz w:val="24"/>
          <w:szCs w:val="24"/>
        </w:rPr>
        <w:t xml:space="preserve"> </w:t>
      </w:r>
      <w:r w:rsidRPr="007404FA">
        <w:rPr>
          <w:rFonts w:ascii="Times New Roman" w:hAnsi="Times New Roman" w:cs="Times New Roman"/>
          <w:sz w:val="24"/>
          <w:szCs w:val="24"/>
        </w:rPr>
        <w:t>разпространение в ефира на национална медия на специална категория лични данни</w:t>
      </w:r>
      <w:r w:rsidR="00251F8F">
        <w:rPr>
          <w:rFonts w:ascii="Times New Roman" w:hAnsi="Times New Roman" w:cs="Times New Roman"/>
          <w:sz w:val="24"/>
          <w:szCs w:val="24"/>
        </w:rPr>
        <w:t>,</w:t>
      </w:r>
      <w:r w:rsidRPr="007404FA">
        <w:rPr>
          <w:rFonts w:ascii="Times New Roman" w:hAnsi="Times New Roman" w:cs="Times New Roman"/>
          <w:sz w:val="24"/>
          <w:szCs w:val="24"/>
        </w:rPr>
        <w:t xml:space="preserve"> свързани със здравословното му състояние</w:t>
      </w:r>
      <w:r w:rsidR="00251F8F">
        <w:rPr>
          <w:rFonts w:ascii="Times New Roman" w:hAnsi="Times New Roman" w:cs="Times New Roman"/>
          <w:sz w:val="24"/>
          <w:szCs w:val="24"/>
        </w:rPr>
        <w:t>,</w:t>
      </w:r>
      <w:r w:rsidRPr="007404FA">
        <w:rPr>
          <w:rFonts w:ascii="Times New Roman" w:hAnsi="Times New Roman" w:cs="Times New Roman"/>
          <w:sz w:val="24"/>
          <w:szCs w:val="24"/>
        </w:rPr>
        <w:t xml:space="preserve"> и по-конкретно</w:t>
      </w:r>
      <w:r w:rsidR="00251F8F">
        <w:rPr>
          <w:rFonts w:ascii="Times New Roman" w:hAnsi="Times New Roman" w:cs="Times New Roman"/>
          <w:sz w:val="24"/>
          <w:szCs w:val="24"/>
        </w:rPr>
        <w:t>,</w:t>
      </w:r>
      <w:r w:rsidRPr="007404FA">
        <w:rPr>
          <w:rFonts w:ascii="Times New Roman" w:hAnsi="Times New Roman" w:cs="Times New Roman"/>
          <w:sz w:val="24"/>
          <w:szCs w:val="24"/>
        </w:rPr>
        <w:t xml:space="preserve"> ваксинационния му статус</w:t>
      </w:r>
      <w:r w:rsidR="00251F8F">
        <w:rPr>
          <w:rFonts w:ascii="Times New Roman" w:hAnsi="Times New Roman" w:cs="Times New Roman"/>
          <w:sz w:val="24"/>
          <w:szCs w:val="24"/>
        </w:rPr>
        <w:t>,</w:t>
      </w:r>
      <w:r w:rsidRPr="007404FA">
        <w:rPr>
          <w:rFonts w:ascii="Times New Roman" w:hAnsi="Times New Roman" w:cs="Times New Roman"/>
          <w:sz w:val="24"/>
          <w:szCs w:val="24"/>
        </w:rPr>
        <w:t xml:space="preserve"> свързан с C</w:t>
      </w:r>
      <w:r w:rsidR="00251F8F" w:rsidRPr="007404FA">
        <w:rPr>
          <w:rFonts w:ascii="Times New Roman" w:hAnsi="Times New Roman" w:cs="Times New Roman"/>
          <w:sz w:val="24"/>
          <w:szCs w:val="24"/>
        </w:rPr>
        <w:t>OVID</w:t>
      </w:r>
      <w:r w:rsidRPr="007404FA">
        <w:rPr>
          <w:rFonts w:ascii="Times New Roman" w:hAnsi="Times New Roman" w:cs="Times New Roman"/>
          <w:sz w:val="24"/>
          <w:szCs w:val="24"/>
        </w:rPr>
        <w:t>-19, в това число дата и конкретен вид препарат</w:t>
      </w:r>
      <w:r w:rsidR="00251F8F">
        <w:rPr>
          <w:rFonts w:ascii="Times New Roman" w:hAnsi="Times New Roman" w:cs="Times New Roman"/>
          <w:sz w:val="24"/>
          <w:szCs w:val="24"/>
        </w:rPr>
        <w:t>,</w:t>
      </w:r>
      <w:r w:rsidRPr="007404FA">
        <w:rPr>
          <w:rFonts w:ascii="Times New Roman" w:hAnsi="Times New Roman" w:cs="Times New Roman"/>
          <w:sz w:val="24"/>
          <w:szCs w:val="24"/>
        </w:rPr>
        <w:t xml:space="preserve"> който е инжектиран на лицето. Жалбоподателят твърди, че данните са разпространение без негово съгласие.</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От събраните по преписката </w:t>
      </w:r>
      <w:r w:rsidR="00035B04" w:rsidRPr="007404FA">
        <w:rPr>
          <w:rFonts w:ascii="Times New Roman" w:hAnsi="Times New Roman" w:cs="Times New Roman"/>
          <w:sz w:val="24"/>
          <w:szCs w:val="24"/>
        </w:rPr>
        <w:t>доказателства се установява</w:t>
      </w:r>
      <w:r w:rsidRPr="007404FA">
        <w:rPr>
          <w:rFonts w:ascii="Times New Roman" w:hAnsi="Times New Roman" w:cs="Times New Roman"/>
          <w:sz w:val="24"/>
          <w:szCs w:val="24"/>
        </w:rPr>
        <w:t>, а и между страните в производството не е спорно, че на 09.01.2022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в предаване</w:t>
      </w:r>
      <w:r w:rsidR="00251F8F">
        <w:rPr>
          <w:rFonts w:ascii="Times New Roman" w:hAnsi="Times New Roman" w:cs="Times New Roman"/>
          <w:sz w:val="24"/>
          <w:szCs w:val="24"/>
        </w:rPr>
        <w:t>,</w:t>
      </w:r>
      <w:r w:rsidRPr="007404FA">
        <w:rPr>
          <w:rFonts w:ascii="Times New Roman" w:hAnsi="Times New Roman" w:cs="Times New Roman"/>
          <w:sz w:val="24"/>
          <w:szCs w:val="24"/>
        </w:rPr>
        <w:t xml:space="preserve"> излъчено в ефира на национална медия</w:t>
      </w:r>
      <w:r w:rsidR="00251F8F">
        <w:rPr>
          <w:rFonts w:ascii="Times New Roman" w:hAnsi="Times New Roman" w:cs="Times New Roman"/>
          <w:sz w:val="24"/>
          <w:szCs w:val="24"/>
        </w:rPr>
        <w:t>,</w:t>
      </w:r>
      <w:r w:rsidR="00157B49">
        <w:rPr>
          <w:rFonts w:ascii="Times New Roman" w:hAnsi="Times New Roman" w:cs="Times New Roman"/>
          <w:sz w:val="24"/>
          <w:szCs w:val="24"/>
        </w:rPr>
        <w:t xml:space="preserve"> </w:t>
      </w:r>
      <w:r w:rsidRPr="007404FA">
        <w:rPr>
          <w:rFonts w:ascii="Times New Roman" w:hAnsi="Times New Roman" w:cs="Times New Roman"/>
          <w:sz w:val="24"/>
          <w:szCs w:val="24"/>
        </w:rPr>
        <w:t>е представен журналистически материал</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репортаж с последващ коментар на гост в студиото, който се отнася по темата за пандемията C</w:t>
      </w:r>
      <w:r w:rsidR="00251F8F" w:rsidRPr="007404FA">
        <w:rPr>
          <w:rFonts w:ascii="Times New Roman" w:hAnsi="Times New Roman" w:cs="Times New Roman"/>
          <w:sz w:val="24"/>
          <w:szCs w:val="24"/>
        </w:rPr>
        <w:t>OVID</w:t>
      </w:r>
      <w:r w:rsidRPr="007404FA">
        <w:rPr>
          <w:rFonts w:ascii="Times New Roman" w:hAnsi="Times New Roman" w:cs="Times New Roman"/>
          <w:sz w:val="24"/>
          <w:szCs w:val="24"/>
        </w:rPr>
        <w:t xml:space="preserve">-19 и въпросите за отношението към: 1) ваксинацията и ваксинираните </w:t>
      </w:r>
      <w:r w:rsidR="00251F8F">
        <w:rPr>
          <w:rFonts w:ascii="Times New Roman" w:hAnsi="Times New Roman" w:cs="Times New Roman"/>
          <w:sz w:val="24"/>
          <w:szCs w:val="24"/>
        </w:rPr>
        <w:t>срещу</w:t>
      </w:r>
      <w:r w:rsidRPr="007404FA">
        <w:rPr>
          <w:rFonts w:ascii="Times New Roman" w:hAnsi="Times New Roman" w:cs="Times New Roman"/>
          <w:sz w:val="24"/>
          <w:szCs w:val="24"/>
        </w:rPr>
        <w:t xml:space="preserve"> C</w:t>
      </w:r>
      <w:r w:rsidR="00251F8F" w:rsidRPr="007404FA">
        <w:rPr>
          <w:rFonts w:ascii="Times New Roman" w:hAnsi="Times New Roman" w:cs="Times New Roman"/>
          <w:sz w:val="24"/>
          <w:szCs w:val="24"/>
        </w:rPr>
        <w:t>OVID</w:t>
      </w:r>
      <w:r w:rsidRPr="007404FA">
        <w:rPr>
          <w:rFonts w:ascii="Times New Roman" w:hAnsi="Times New Roman" w:cs="Times New Roman"/>
          <w:sz w:val="24"/>
          <w:szCs w:val="24"/>
        </w:rPr>
        <w:t>-19; 2) предприетите от държавата противоепидемични мерки във връзка с пандемията C</w:t>
      </w:r>
      <w:r w:rsidR="00251F8F" w:rsidRPr="007404FA">
        <w:rPr>
          <w:rFonts w:ascii="Times New Roman" w:hAnsi="Times New Roman" w:cs="Times New Roman"/>
          <w:sz w:val="24"/>
          <w:szCs w:val="24"/>
        </w:rPr>
        <w:t>OVID</w:t>
      </w:r>
      <w:r w:rsidRPr="007404FA">
        <w:rPr>
          <w:rFonts w:ascii="Times New Roman" w:hAnsi="Times New Roman" w:cs="Times New Roman"/>
          <w:sz w:val="24"/>
          <w:szCs w:val="24"/>
        </w:rPr>
        <w:t>-19; 3) предстоящо въвеждане на ограничителни мерки за допускане в</w:t>
      </w:r>
      <w:r w:rsidR="00251F8F">
        <w:rPr>
          <w:rFonts w:ascii="Times New Roman" w:hAnsi="Times New Roman" w:cs="Times New Roman"/>
          <w:sz w:val="24"/>
          <w:szCs w:val="24"/>
        </w:rPr>
        <w:t xml:space="preserve"> сградата на Народното събрание</w:t>
      </w:r>
      <w:r w:rsidRPr="007404FA">
        <w:rPr>
          <w:rFonts w:ascii="Times New Roman" w:hAnsi="Times New Roman" w:cs="Times New Roman"/>
          <w:sz w:val="24"/>
          <w:szCs w:val="24"/>
        </w:rPr>
        <w:t xml:space="preserve"> след представяне на</w:t>
      </w:r>
      <w:r w:rsidR="00F06583" w:rsidRPr="007404FA">
        <w:rPr>
          <w:rFonts w:ascii="Times New Roman" w:hAnsi="Times New Roman" w:cs="Times New Roman"/>
          <w:sz w:val="24"/>
          <w:szCs w:val="24"/>
        </w:rPr>
        <w:t xml:space="preserve"> т.</w:t>
      </w:r>
      <w:r w:rsidRPr="007404FA">
        <w:rPr>
          <w:rFonts w:ascii="Times New Roman" w:hAnsi="Times New Roman" w:cs="Times New Roman"/>
          <w:sz w:val="24"/>
          <w:szCs w:val="24"/>
        </w:rPr>
        <w:t>нар. „Зелен сертификат“</w:t>
      </w:r>
      <w:r w:rsidR="00157B49">
        <w:rPr>
          <w:rFonts w:ascii="Times New Roman" w:hAnsi="Times New Roman" w:cs="Times New Roman"/>
          <w:sz w:val="24"/>
          <w:szCs w:val="24"/>
        </w:rPr>
        <w:t xml:space="preserve"> </w:t>
      </w:r>
      <w:r w:rsidRPr="007404FA">
        <w:rPr>
          <w:rFonts w:ascii="Times New Roman" w:hAnsi="Times New Roman" w:cs="Times New Roman"/>
          <w:sz w:val="24"/>
          <w:szCs w:val="24"/>
        </w:rPr>
        <w:t>и 4) предстоящ на 12.01.2022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протест срещу „Зеления сертификат“, организиран от парламентарно представената политическа партия.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Видно от съдържанието на репортажа е, че репортерът и автор на предаването съобщава, че жалбоподателят е ваксиниран срещу C</w:t>
      </w:r>
      <w:r w:rsidR="00251F8F" w:rsidRPr="007404FA">
        <w:rPr>
          <w:rFonts w:ascii="Times New Roman" w:hAnsi="Times New Roman" w:cs="Times New Roman"/>
          <w:sz w:val="24"/>
          <w:szCs w:val="24"/>
        </w:rPr>
        <w:t>OVID</w:t>
      </w:r>
      <w:r w:rsidRPr="007404FA">
        <w:rPr>
          <w:rFonts w:ascii="Times New Roman" w:hAnsi="Times New Roman" w:cs="Times New Roman"/>
          <w:sz w:val="24"/>
          <w:szCs w:val="24"/>
        </w:rPr>
        <w:t xml:space="preserve">-19, като </w:t>
      </w:r>
      <w:r w:rsidR="00251F8F">
        <w:rPr>
          <w:rFonts w:ascii="Times New Roman" w:hAnsi="Times New Roman" w:cs="Times New Roman"/>
          <w:sz w:val="24"/>
          <w:szCs w:val="24"/>
        </w:rPr>
        <w:t>са посочени</w:t>
      </w:r>
      <w:r w:rsidRPr="007404FA">
        <w:rPr>
          <w:rFonts w:ascii="Times New Roman" w:hAnsi="Times New Roman" w:cs="Times New Roman"/>
          <w:sz w:val="24"/>
          <w:szCs w:val="24"/>
        </w:rPr>
        <w:t xml:space="preserve"> дата на ваксинацията</w:t>
      </w:r>
      <w:r w:rsidR="00251F8F">
        <w:rPr>
          <w:rFonts w:ascii="Times New Roman" w:hAnsi="Times New Roman" w:cs="Times New Roman"/>
          <w:sz w:val="24"/>
          <w:szCs w:val="24"/>
        </w:rPr>
        <w:t> –</w:t>
      </w:r>
      <w:r w:rsidR="00F06583" w:rsidRPr="007404FA">
        <w:rPr>
          <w:rFonts w:ascii="Times New Roman" w:hAnsi="Times New Roman" w:cs="Times New Roman"/>
          <w:sz w:val="24"/>
          <w:szCs w:val="24"/>
        </w:rPr>
        <w:t xml:space="preserve"> </w:t>
      </w:r>
      <w:r w:rsidRPr="007404FA">
        <w:rPr>
          <w:rFonts w:ascii="Times New Roman" w:hAnsi="Times New Roman" w:cs="Times New Roman"/>
          <w:sz w:val="24"/>
          <w:szCs w:val="24"/>
        </w:rPr>
        <w:t>19 август 2021</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и самия</w:t>
      </w:r>
      <w:r w:rsidR="00251F8F">
        <w:rPr>
          <w:rFonts w:ascii="Times New Roman" w:hAnsi="Times New Roman" w:cs="Times New Roman"/>
          <w:sz w:val="24"/>
          <w:szCs w:val="24"/>
        </w:rPr>
        <w:t>т</w:t>
      </w:r>
      <w:r w:rsidRPr="007404FA">
        <w:rPr>
          <w:rFonts w:ascii="Times New Roman" w:hAnsi="Times New Roman" w:cs="Times New Roman"/>
          <w:sz w:val="24"/>
          <w:szCs w:val="24"/>
        </w:rPr>
        <w:t xml:space="preserve"> препарат. Изявлението е направено в кулоарите на Н</w:t>
      </w:r>
      <w:r w:rsidR="00442E46" w:rsidRPr="007404FA">
        <w:rPr>
          <w:rFonts w:ascii="Times New Roman" w:hAnsi="Times New Roman" w:cs="Times New Roman"/>
          <w:sz w:val="24"/>
          <w:szCs w:val="24"/>
        </w:rPr>
        <w:t>ародното събрание</w:t>
      </w:r>
      <w:r w:rsidRPr="007404FA">
        <w:rPr>
          <w:rFonts w:ascii="Times New Roman" w:hAnsi="Times New Roman" w:cs="Times New Roman"/>
          <w:sz w:val="24"/>
          <w:szCs w:val="24"/>
        </w:rPr>
        <w:t xml:space="preserve"> в интервю със самия жалбоподател. Интервюто е от дата 07.01.2022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и е излъчено два дни по-късно в ефира на медията.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С оглед съдържанието, характера и периодичността на предаването, а и предвид нег</w:t>
      </w:r>
      <w:r w:rsidR="00251F8F">
        <w:rPr>
          <w:rFonts w:ascii="Times New Roman" w:hAnsi="Times New Roman" w:cs="Times New Roman"/>
          <w:sz w:val="24"/>
          <w:szCs w:val="24"/>
        </w:rPr>
        <w:t>овото разпространяване и достъп К</w:t>
      </w:r>
      <w:r w:rsidRPr="007404FA">
        <w:rPr>
          <w:rFonts w:ascii="Times New Roman" w:hAnsi="Times New Roman" w:cs="Times New Roman"/>
          <w:sz w:val="24"/>
          <w:szCs w:val="24"/>
        </w:rPr>
        <w:t>омисията намира за безспорно, че информацията е разпространена за журналистически цели във връзка с журналистическо разследване, разпространено в програмата на доставчика на медийни услуги.</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В конкретния случай е безспорно, че субектът на данни е публична личност</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 xml:space="preserve">депутат, и като такава се ползва с по-ниска степен на защита на личните му данни, но само и доколкото същите са относими и свързани с упражняваните от него функции на народен представител и </w:t>
      </w:r>
      <w:r w:rsidR="00251F8F" w:rsidRPr="007404FA">
        <w:rPr>
          <w:rFonts w:ascii="Times New Roman" w:hAnsi="Times New Roman" w:cs="Times New Roman"/>
          <w:sz w:val="24"/>
          <w:szCs w:val="24"/>
        </w:rPr>
        <w:t>позициите, които</w:t>
      </w:r>
      <w:r w:rsidRPr="007404FA">
        <w:rPr>
          <w:rFonts w:ascii="Times New Roman" w:hAnsi="Times New Roman" w:cs="Times New Roman"/>
          <w:sz w:val="24"/>
          <w:szCs w:val="24"/>
        </w:rPr>
        <w:t xml:space="preserve"> изразява като такъв и в това си качество към избирателите. Безспорно е, че личните данни за здравословното състояние на жалбоподателя</w:t>
      </w:r>
      <w:r w:rsidR="00251F8F">
        <w:rPr>
          <w:rFonts w:ascii="Times New Roman" w:hAnsi="Times New Roman" w:cs="Times New Roman"/>
          <w:sz w:val="24"/>
          <w:szCs w:val="24"/>
        </w:rPr>
        <w:t>,</w:t>
      </w:r>
      <w:r w:rsidRPr="007404FA">
        <w:rPr>
          <w:rFonts w:ascii="Times New Roman" w:hAnsi="Times New Roman" w:cs="Times New Roman"/>
          <w:sz w:val="24"/>
          <w:szCs w:val="24"/>
        </w:rPr>
        <w:t xml:space="preserve"> що се отнася до ваксинацията срещу C</w:t>
      </w:r>
      <w:r w:rsidR="00251F8F" w:rsidRPr="007404FA">
        <w:rPr>
          <w:rFonts w:ascii="Times New Roman" w:hAnsi="Times New Roman" w:cs="Times New Roman"/>
          <w:sz w:val="24"/>
          <w:szCs w:val="24"/>
        </w:rPr>
        <w:t>OVID</w:t>
      </w:r>
      <w:r w:rsidRPr="007404FA">
        <w:rPr>
          <w:rFonts w:ascii="Times New Roman" w:hAnsi="Times New Roman" w:cs="Times New Roman"/>
          <w:sz w:val="24"/>
          <w:szCs w:val="24"/>
        </w:rPr>
        <w:t>-19</w:t>
      </w:r>
      <w:r w:rsidR="00251F8F">
        <w:rPr>
          <w:rFonts w:ascii="Times New Roman" w:hAnsi="Times New Roman" w:cs="Times New Roman"/>
          <w:sz w:val="24"/>
          <w:szCs w:val="24"/>
        </w:rPr>
        <w:t>,</w:t>
      </w:r>
      <w:r w:rsidRPr="007404FA">
        <w:rPr>
          <w:rFonts w:ascii="Times New Roman" w:hAnsi="Times New Roman" w:cs="Times New Roman"/>
          <w:sz w:val="24"/>
          <w:szCs w:val="24"/>
        </w:rPr>
        <w:t xml:space="preserve"> са разпространени от медията без знанието и съгласието </w:t>
      </w:r>
      <w:r w:rsidRPr="007404FA">
        <w:rPr>
          <w:rFonts w:ascii="Times New Roman" w:hAnsi="Times New Roman" w:cs="Times New Roman"/>
          <w:sz w:val="24"/>
          <w:szCs w:val="24"/>
        </w:rPr>
        <w:lastRenderedPageBreak/>
        <w:t>на лицето. Липсват доказателства същите да са публично оповестени от жалбоподателя или здравните органи, но същото е неотносимо</w:t>
      </w:r>
      <w:r w:rsidR="00251F8F">
        <w:rPr>
          <w:rFonts w:ascii="Times New Roman" w:hAnsi="Times New Roman" w:cs="Times New Roman"/>
          <w:sz w:val="24"/>
          <w:szCs w:val="24"/>
        </w:rPr>
        <w:t>,</w:t>
      </w:r>
      <w:r w:rsidRPr="007404FA">
        <w:rPr>
          <w:rFonts w:ascii="Times New Roman" w:hAnsi="Times New Roman" w:cs="Times New Roman"/>
          <w:sz w:val="24"/>
          <w:szCs w:val="24"/>
        </w:rPr>
        <w:t xml:space="preserve"> доколкото в конкретния случай разпоредбите на</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 xml:space="preserve">9 от ОРЗД са неприложими.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Събраните по преписката доказателства и изяснената фактическа обстановка </w:t>
      </w:r>
      <w:r w:rsidR="00251F8F">
        <w:rPr>
          <w:rFonts w:ascii="Times New Roman" w:hAnsi="Times New Roman" w:cs="Times New Roman"/>
          <w:sz w:val="24"/>
          <w:szCs w:val="24"/>
        </w:rPr>
        <w:t xml:space="preserve">водят </w:t>
      </w:r>
      <w:r w:rsidRPr="007404FA">
        <w:rPr>
          <w:rFonts w:ascii="Times New Roman" w:hAnsi="Times New Roman" w:cs="Times New Roman"/>
          <w:sz w:val="24"/>
          <w:szCs w:val="24"/>
        </w:rPr>
        <w:t xml:space="preserve">до извода, че е налице преимуществен обществен интерес </w:t>
      </w:r>
      <w:r w:rsidR="00251F8F">
        <w:rPr>
          <w:rFonts w:ascii="Times New Roman" w:hAnsi="Times New Roman" w:cs="Times New Roman"/>
          <w:sz w:val="24"/>
          <w:szCs w:val="24"/>
        </w:rPr>
        <w:t>от оповестяване на информацията</w:t>
      </w:r>
      <w:r w:rsidRPr="007404FA">
        <w:rPr>
          <w:rFonts w:ascii="Times New Roman" w:hAnsi="Times New Roman" w:cs="Times New Roman"/>
          <w:sz w:val="24"/>
          <w:szCs w:val="24"/>
        </w:rPr>
        <w:t xml:space="preserve"> предвид правото на информираност на обществото и заявената и афиширана от жалбоподателя категорична позиция против ваксинацията срещу C</w:t>
      </w:r>
      <w:r w:rsidR="00251F8F" w:rsidRPr="007404FA">
        <w:rPr>
          <w:rFonts w:ascii="Times New Roman" w:hAnsi="Times New Roman" w:cs="Times New Roman"/>
          <w:sz w:val="24"/>
          <w:szCs w:val="24"/>
        </w:rPr>
        <w:t>OVID</w:t>
      </w:r>
      <w:r w:rsidRPr="007404FA">
        <w:rPr>
          <w:rFonts w:ascii="Times New Roman" w:hAnsi="Times New Roman" w:cs="Times New Roman"/>
          <w:sz w:val="24"/>
          <w:szCs w:val="24"/>
        </w:rPr>
        <w:t>-19</w:t>
      </w:r>
      <w:r w:rsidR="00157B49">
        <w:rPr>
          <w:rFonts w:ascii="Times New Roman" w:hAnsi="Times New Roman" w:cs="Times New Roman"/>
          <w:sz w:val="24"/>
          <w:szCs w:val="24"/>
        </w:rPr>
        <w:t xml:space="preserve"> </w:t>
      </w:r>
      <w:r w:rsidRPr="007404FA">
        <w:rPr>
          <w:rFonts w:ascii="Times New Roman" w:hAnsi="Times New Roman" w:cs="Times New Roman"/>
          <w:sz w:val="24"/>
          <w:szCs w:val="24"/>
        </w:rPr>
        <w:t>и зелените сертификати, която не кореспондира с действията на народния представител, който е ваксиниран към дата преди изказванията си кат</w:t>
      </w:r>
      <w:r w:rsidR="00251F8F">
        <w:rPr>
          <w:rFonts w:ascii="Times New Roman" w:hAnsi="Times New Roman" w:cs="Times New Roman"/>
          <w:sz w:val="24"/>
          <w:szCs w:val="24"/>
        </w:rPr>
        <w:t>о народен представител, въпреки</w:t>
      </w:r>
      <w:r w:rsidRPr="007404FA">
        <w:rPr>
          <w:rFonts w:ascii="Times New Roman" w:hAnsi="Times New Roman" w:cs="Times New Roman"/>
          <w:sz w:val="24"/>
          <w:szCs w:val="24"/>
        </w:rPr>
        <w:t xml:space="preserve"> че призовава и агитира лицата в противното, твърдейки, че ваксините „са експериментална течност“, която никога не би ползвал.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Информацията касае обществена фигура и е необходима за изпълнение на задача в обществен интерес, доколкото същия</w:t>
      </w:r>
      <w:r w:rsidR="00251F8F">
        <w:rPr>
          <w:rFonts w:ascii="Times New Roman" w:hAnsi="Times New Roman" w:cs="Times New Roman"/>
          <w:sz w:val="24"/>
          <w:szCs w:val="24"/>
        </w:rPr>
        <w:t>т</w:t>
      </w:r>
      <w:r w:rsidRPr="007404FA">
        <w:rPr>
          <w:rFonts w:ascii="Times New Roman" w:hAnsi="Times New Roman" w:cs="Times New Roman"/>
          <w:sz w:val="24"/>
          <w:szCs w:val="24"/>
        </w:rPr>
        <w:t xml:space="preserve"> не би бил задоволен без оповестяване на тези данни. Журналистическият материал е подготвен и излъчен в ситуация на пандемия,</w:t>
      </w:r>
      <w:r w:rsidR="00157B49">
        <w:rPr>
          <w:rFonts w:ascii="Times New Roman" w:hAnsi="Times New Roman" w:cs="Times New Roman"/>
          <w:sz w:val="24"/>
          <w:szCs w:val="24"/>
        </w:rPr>
        <w:t xml:space="preserve"> </w:t>
      </w:r>
      <w:r w:rsidRPr="007404FA">
        <w:rPr>
          <w:rFonts w:ascii="Times New Roman" w:hAnsi="Times New Roman" w:cs="Times New Roman"/>
          <w:sz w:val="24"/>
          <w:szCs w:val="24"/>
        </w:rPr>
        <w:t>в която приносът на медиите е представяне на трибуна за активно говорене и разискване на темата, активно търсене и изясняване на различни, включително противоречиви</w:t>
      </w:r>
      <w:r w:rsidR="00251F8F">
        <w:rPr>
          <w:rFonts w:ascii="Times New Roman" w:hAnsi="Times New Roman" w:cs="Times New Roman"/>
          <w:sz w:val="24"/>
          <w:szCs w:val="24"/>
        </w:rPr>
        <w:t>,</w:t>
      </w:r>
      <w:r w:rsidRPr="007404FA">
        <w:rPr>
          <w:rFonts w:ascii="Times New Roman" w:hAnsi="Times New Roman" w:cs="Times New Roman"/>
          <w:sz w:val="24"/>
          <w:szCs w:val="24"/>
        </w:rPr>
        <w:t xml:space="preserve"> мнения и позиции, представяне на аргументи на отделни групи в обществото, като акцентът е върху истината, разкриване и излагане на реална фактическа обстановка, като израз на правото на обществото да получава вярна, пълна и разбираема информация, която да му помогне да направи информирана и разумна преценка на база на конкретни факти и обстоятелства, а не на невярно поднесена информация.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Репортажът разкрива публично изразеното мнение и твърдение на жалбоподателя не в лично качество, а като народен представител с влияни</w:t>
      </w:r>
      <w:r w:rsidR="00251F8F">
        <w:rPr>
          <w:rFonts w:ascii="Times New Roman" w:hAnsi="Times New Roman" w:cs="Times New Roman"/>
          <w:sz w:val="24"/>
          <w:szCs w:val="24"/>
        </w:rPr>
        <w:t>е и авторитет пред избирателите</w:t>
      </w:r>
      <w:r w:rsidRPr="007404FA">
        <w:rPr>
          <w:rFonts w:ascii="Times New Roman" w:hAnsi="Times New Roman" w:cs="Times New Roman"/>
          <w:sz w:val="24"/>
          <w:szCs w:val="24"/>
        </w:rPr>
        <w:t xml:space="preserve"> относно същността на пандемията и противопоставяне в качеството му на публична личност спрямо предприетите от държавата мерки за справяне с пандемията, но същевременно реализирайки личностно поведение, което е в разрез с изразеното публично противопоставяне. В тази връзка изнасянето на показ на противоречие между поведение и публично изразено мнение е предмет на упражняване на граждански контрол със средствата на масово осведомяване с цел информираност на обществото и дебат по безспорно обществено значима тема. И макар ОРЗД да е предназначен за защита на личните данни на физическите лица, то същия</w:t>
      </w:r>
      <w:r w:rsidR="00251F8F">
        <w:rPr>
          <w:rFonts w:ascii="Times New Roman" w:hAnsi="Times New Roman" w:cs="Times New Roman"/>
          <w:sz w:val="24"/>
          <w:szCs w:val="24"/>
        </w:rPr>
        <w:t>т</w:t>
      </w:r>
      <w:r w:rsidRPr="007404FA">
        <w:rPr>
          <w:rFonts w:ascii="Times New Roman" w:hAnsi="Times New Roman" w:cs="Times New Roman"/>
          <w:sz w:val="24"/>
          <w:szCs w:val="24"/>
        </w:rPr>
        <w:t xml:space="preserve"> не може и не следва да се ползва за инструмент за манипулиране на обществото и прикриване на поведение, каквото безспорно е изказването на неистини от публична личност по въпроси</w:t>
      </w:r>
      <w:r w:rsidR="00251F8F">
        <w:rPr>
          <w:rFonts w:ascii="Times New Roman" w:hAnsi="Times New Roman" w:cs="Times New Roman"/>
          <w:sz w:val="24"/>
          <w:szCs w:val="24"/>
        </w:rPr>
        <w:t>,</w:t>
      </w:r>
      <w:r w:rsidRPr="007404FA">
        <w:rPr>
          <w:rFonts w:ascii="Times New Roman" w:hAnsi="Times New Roman" w:cs="Times New Roman"/>
          <w:sz w:val="24"/>
          <w:szCs w:val="24"/>
        </w:rPr>
        <w:t xml:space="preserve"> свързани с общественото здраве.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Комисията приема, че в конкретния случай при баланс между две конкуриращи се права в обстановка на пандемия данните за здравния статус на лицето са оповестени от </w:t>
      </w:r>
      <w:r w:rsidRPr="007404FA">
        <w:rPr>
          <w:rFonts w:ascii="Times New Roman" w:hAnsi="Times New Roman" w:cs="Times New Roman"/>
          <w:sz w:val="24"/>
          <w:szCs w:val="24"/>
        </w:rPr>
        <w:lastRenderedPageBreak/>
        <w:t>медията в съответствие с</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25 з от ЗЗЛД, доколкото са относими и свързани с гарантиране правото на информация на гражданите със степента на защита на личния живот на публичните фигури и влиянието им в обществото</w:t>
      </w:r>
      <w:r w:rsidR="00251F8F">
        <w:rPr>
          <w:rFonts w:ascii="Times New Roman" w:hAnsi="Times New Roman" w:cs="Times New Roman"/>
          <w:sz w:val="24"/>
          <w:szCs w:val="24"/>
        </w:rPr>
        <w:t>. Подобно на схващането на СЕМ К</w:t>
      </w:r>
      <w:r w:rsidRPr="007404FA">
        <w:rPr>
          <w:rFonts w:ascii="Times New Roman" w:hAnsi="Times New Roman" w:cs="Times New Roman"/>
          <w:sz w:val="24"/>
          <w:szCs w:val="24"/>
        </w:rPr>
        <w:t>омисията приема, че журналистическият аудио-визуален материал</w:t>
      </w:r>
      <w:r w:rsidR="00157B49">
        <w:rPr>
          <w:rFonts w:ascii="Times New Roman" w:hAnsi="Times New Roman" w:cs="Times New Roman"/>
          <w:sz w:val="24"/>
          <w:szCs w:val="24"/>
        </w:rPr>
        <w:t xml:space="preserve"> </w:t>
      </w:r>
      <w:r w:rsidRPr="007404FA">
        <w:rPr>
          <w:rFonts w:ascii="Times New Roman" w:hAnsi="Times New Roman" w:cs="Times New Roman"/>
          <w:sz w:val="24"/>
          <w:szCs w:val="24"/>
        </w:rPr>
        <w:t>има принос в развитието на публичния диалог за политиката в сферата на здравеопазването и отговорността на демократично избраните фигури пред техните избиратели, като в контекста на</w:t>
      </w:r>
      <w:r w:rsidR="00F06583" w:rsidRPr="007404FA">
        <w:rPr>
          <w:rFonts w:ascii="Times New Roman" w:hAnsi="Times New Roman" w:cs="Times New Roman"/>
          <w:sz w:val="24"/>
          <w:szCs w:val="24"/>
        </w:rPr>
        <w:t xml:space="preserve"> чл. </w:t>
      </w:r>
      <w:r w:rsidR="00251F8F">
        <w:rPr>
          <w:rFonts w:ascii="Times New Roman" w:hAnsi="Times New Roman" w:cs="Times New Roman"/>
          <w:sz w:val="24"/>
          <w:szCs w:val="24"/>
        </w:rPr>
        <w:t>25</w:t>
      </w:r>
      <w:r w:rsidRPr="007404FA">
        <w:rPr>
          <w:rFonts w:ascii="Times New Roman" w:hAnsi="Times New Roman" w:cs="Times New Roman"/>
          <w:sz w:val="24"/>
          <w:szCs w:val="24"/>
        </w:rPr>
        <w:t xml:space="preserve">з от ОРЗД се извършва в изпълнение на правото на информация на обществото до обществено значима информация.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В случая е налице засилен обществен интерес към информацията, съдържаща се в репортажа. Регламент 2016/679 дава засилена защита на физическите лица във връзка с обработването на личните данни, но и поддържа равновесие с другите основни права, в частност със свободата на изразяване и информация, така както тези права са предвидени в </w:t>
      </w:r>
      <w:r w:rsidR="001A17EE" w:rsidRPr="007404FA">
        <w:rPr>
          <w:rFonts w:ascii="Times New Roman" w:hAnsi="Times New Roman" w:cs="Times New Roman"/>
          <w:sz w:val="24"/>
          <w:szCs w:val="24"/>
        </w:rPr>
        <w:t>Конвенцията за защита на правата на човека и основните свободи и в Хартата на основните права на Европейския съюз</w:t>
      </w:r>
      <w:r w:rsidRPr="007404FA">
        <w:rPr>
          <w:rFonts w:ascii="Times New Roman" w:hAnsi="Times New Roman" w:cs="Times New Roman"/>
          <w:sz w:val="24"/>
          <w:szCs w:val="24"/>
        </w:rPr>
        <w:t>. По изложените съображения предвид конкретната фактическа обстановка и качеството</w:t>
      </w:r>
      <w:r w:rsidR="00251F8F">
        <w:rPr>
          <w:rFonts w:ascii="Times New Roman" w:hAnsi="Times New Roman" w:cs="Times New Roman"/>
          <w:sz w:val="24"/>
          <w:szCs w:val="24"/>
        </w:rPr>
        <w:t>,</w:t>
      </w:r>
      <w:r w:rsidRPr="007404FA">
        <w:rPr>
          <w:rFonts w:ascii="Times New Roman" w:hAnsi="Times New Roman" w:cs="Times New Roman"/>
          <w:sz w:val="24"/>
          <w:szCs w:val="24"/>
        </w:rPr>
        <w:t xml:space="preserve"> което лицето има като публична личност</w:t>
      </w:r>
      <w:r w:rsidR="00251F8F">
        <w:rPr>
          <w:rFonts w:ascii="Times New Roman" w:hAnsi="Times New Roman" w:cs="Times New Roman"/>
          <w:sz w:val="24"/>
          <w:szCs w:val="24"/>
        </w:rPr>
        <w:t>, К</w:t>
      </w:r>
      <w:r w:rsidRPr="007404FA">
        <w:rPr>
          <w:rFonts w:ascii="Times New Roman" w:hAnsi="Times New Roman" w:cs="Times New Roman"/>
          <w:sz w:val="24"/>
          <w:szCs w:val="24"/>
        </w:rPr>
        <w:t>омисията намира, че разпространяването на информация за здравния статус на лицето, касателно ваксинацията срещу C</w:t>
      </w:r>
      <w:r w:rsidR="00251F8F" w:rsidRPr="007404FA">
        <w:rPr>
          <w:rFonts w:ascii="Times New Roman" w:hAnsi="Times New Roman" w:cs="Times New Roman"/>
          <w:sz w:val="24"/>
          <w:szCs w:val="24"/>
        </w:rPr>
        <w:t>OVID</w:t>
      </w:r>
      <w:r w:rsidRPr="007404FA">
        <w:rPr>
          <w:rFonts w:ascii="Times New Roman" w:hAnsi="Times New Roman" w:cs="Times New Roman"/>
          <w:sz w:val="24"/>
          <w:szCs w:val="24"/>
        </w:rPr>
        <w:t>-19, е в обществен интерес и правото на общество да бъдат информирано.</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 Публикуването в конкретния случай на такава информация представлява неразделна част от задачата на медиите в демократичното общество, доколкото изнесената информация е вярна и провокирана, видно от репортажа, от невярната информация</w:t>
      </w:r>
      <w:r w:rsidR="00251F8F">
        <w:rPr>
          <w:rFonts w:ascii="Times New Roman" w:hAnsi="Times New Roman" w:cs="Times New Roman"/>
          <w:sz w:val="24"/>
          <w:szCs w:val="24"/>
        </w:rPr>
        <w:t>,</w:t>
      </w:r>
      <w:r w:rsidRPr="007404FA">
        <w:rPr>
          <w:rFonts w:ascii="Times New Roman" w:hAnsi="Times New Roman" w:cs="Times New Roman"/>
          <w:sz w:val="24"/>
          <w:szCs w:val="24"/>
        </w:rPr>
        <w:t xml:space="preserve"> която лицето представя. Действията на жалбоподателя и отправените от него призиви против ваксинация и заявеното в конкретния репортаж, и не само</w:t>
      </w:r>
      <w:r w:rsidR="00157B49">
        <w:rPr>
          <w:rFonts w:ascii="Times New Roman" w:hAnsi="Times New Roman" w:cs="Times New Roman"/>
          <w:sz w:val="24"/>
          <w:szCs w:val="24"/>
        </w:rPr>
        <w:t xml:space="preserve"> </w:t>
      </w:r>
      <w:r w:rsidRPr="007404FA">
        <w:rPr>
          <w:rFonts w:ascii="Times New Roman" w:hAnsi="Times New Roman" w:cs="Times New Roman"/>
          <w:sz w:val="24"/>
          <w:szCs w:val="24"/>
        </w:rPr>
        <w:t>там</w:t>
      </w:r>
      <w:r w:rsidR="00251F8F">
        <w:rPr>
          <w:rFonts w:ascii="Times New Roman" w:hAnsi="Times New Roman" w:cs="Times New Roman"/>
          <w:sz w:val="24"/>
          <w:szCs w:val="24"/>
        </w:rPr>
        <w:t>,</w:t>
      </w:r>
      <w:r w:rsidRPr="007404FA">
        <w:rPr>
          <w:rFonts w:ascii="Times New Roman" w:hAnsi="Times New Roman" w:cs="Times New Roman"/>
          <w:sz w:val="24"/>
          <w:szCs w:val="24"/>
        </w:rPr>
        <w:t xml:space="preserve"> твърдени</w:t>
      </w:r>
      <w:r w:rsidR="00251F8F">
        <w:rPr>
          <w:rFonts w:ascii="Times New Roman" w:hAnsi="Times New Roman" w:cs="Times New Roman"/>
          <w:sz w:val="24"/>
          <w:szCs w:val="24"/>
        </w:rPr>
        <w:t>е</w:t>
      </w:r>
      <w:r w:rsidRPr="007404FA">
        <w:rPr>
          <w:rFonts w:ascii="Times New Roman" w:hAnsi="Times New Roman" w:cs="Times New Roman"/>
          <w:sz w:val="24"/>
          <w:szCs w:val="24"/>
        </w:rPr>
        <w:t>, че никога не би си поставил тази „течност“, не съотве</w:t>
      </w:r>
      <w:r w:rsidR="00251F8F">
        <w:rPr>
          <w:rFonts w:ascii="Times New Roman" w:hAnsi="Times New Roman" w:cs="Times New Roman"/>
          <w:sz w:val="24"/>
          <w:szCs w:val="24"/>
        </w:rPr>
        <w:t>тства на фактическите действия</w:t>
      </w:r>
      <w:r w:rsidRPr="007404FA">
        <w:rPr>
          <w:rFonts w:ascii="Times New Roman" w:hAnsi="Times New Roman" w:cs="Times New Roman"/>
          <w:sz w:val="24"/>
          <w:szCs w:val="24"/>
        </w:rPr>
        <w:t xml:space="preserve"> на жалбоподателя и същите могат </w:t>
      </w:r>
      <w:r w:rsidR="00251F8F">
        <w:rPr>
          <w:rFonts w:ascii="Times New Roman" w:hAnsi="Times New Roman" w:cs="Times New Roman"/>
          <w:sz w:val="24"/>
          <w:szCs w:val="24"/>
        </w:rPr>
        <w:t>да въведат в заблуда обществото</w:t>
      </w:r>
      <w:r w:rsidRPr="007404FA">
        <w:rPr>
          <w:rFonts w:ascii="Times New Roman" w:hAnsi="Times New Roman" w:cs="Times New Roman"/>
          <w:sz w:val="24"/>
          <w:szCs w:val="24"/>
        </w:rPr>
        <w:t xml:space="preserve"> предвид качеството му на публична личност</w:t>
      </w:r>
      <w:r w:rsidR="00157B49">
        <w:rPr>
          <w:rFonts w:ascii="Times New Roman" w:hAnsi="Times New Roman" w:cs="Times New Roman"/>
          <w:sz w:val="24"/>
          <w:szCs w:val="24"/>
        </w:rPr>
        <w:t xml:space="preserve"> </w:t>
      </w:r>
      <w:r w:rsidRPr="007404FA">
        <w:rPr>
          <w:rFonts w:ascii="Times New Roman" w:hAnsi="Times New Roman" w:cs="Times New Roman"/>
          <w:sz w:val="24"/>
          <w:szCs w:val="24"/>
        </w:rPr>
        <w:t>и въздействието</w:t>
      </w:r>
      <w:r w:rsidR="00251F8F">
        <w:rPr>
          <w:rFonts w:ascii="Times New Roman" w:hAnsi="Times New Roman" w:cs="Times New Roman"/>
          <w:sz w:val="24"/>
          <w:szCs w:val="24"/>
        </w:rPr>
        <w:t>,</w:t>
      </w:r>
      <w:r w:rsidRPr="007404FA">
        <w:rPr>
          <w:rFonts w:ascii="Times New Roman" w:hAnsi="Times New Roman" w:cs="Times New Roman"/>
          <w:sz w:val="24"/>
          <w:szCs w:val="24"/>
        </w:rPr>
        <w:t xml:space="preserve"> което има върху част от гражданите на Република България. </w:t>
      </w:r>
    </w:p>
    <w:p w:rsidR="001F2700" w:rsidRPr="007404FA" w:rsidRDefault="00251F8F" w:rsidP="00DB6B0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тази връзка К</w:t>
      </w:r>
      <w:r w:rsidR="001F2700" w:rsidRPr="007404FA">
        <w:rPr>
          <w:rFonts w:ascii="Times New Roman" w:hAnsi="Times New Roman" w:cs="Times New Roman"/>
          <w:sz w:val="24"/>
          <w:szCs w:val="24"/>
        </w:rPr>
        <w:t>омисията счита, че обработването е законосъобразно и в съответствие с</w:t>
      </w:r>
      <w:r w:rsidR="00F06583" w:rsidRPr="007404FA">
        <w:rPr>
          <w:rFonts w:ascii="Times New Roman" w:hAnsi="Times New Roman" w:cs="Times New Roman"/>
          <w:sz w:val="24"/>
          <w:szCs w:val="24"/>
        </w:rPr>
        <w:t xml:space="preserve"> чл. </w:t>
      </w:r>
      <w:r>
        <w:rPr>
          <w:rFonts w:ascii="Times New Roman" w:hAnsi="Times New Roman" w:cs="Times New Roman"/>
          <w:sz w:val="24"/>
          <w:szCs w:val="24"/>
        </w:rPr>
        <w:t>25</w:t>
      </w:r>
      <w:r w:rsidR="001F2700" w:rsidRPr="007404FA">
        <w:rPr>
          <w:rFonts w:ascii="Times New Roman" w:hAnsi="Times New Roman" w:cs="Times New Roman"/>
          <w:sz w:val="24"/>
          <w:szCs w:val="24"/>
        </w:rPr>
        <w:t>з,</w:t>
      </w:r>
      <w:r w:rsidR="00F06583" w:rsidRPr="007404FA">
        <w:rPr>
          <w:rFonts w:ascii="Times New Roman" w:hAnsi="Times New Roman" w:cs="Times New Roman"/>
          <w:sz w:val="24"/>
          <w:szCs w:val="24"/>
        </w:rPr>
        <w:t xml:space="preserve"> ал. </w:t>
      </w:r>
      <w:r w:rsidR="001F2700" w:rsidRPr="007404FA">
        <w:rPr>
          <w:rFonts w:ascii="Times New Roman" w:hAnsi="Times New Roman" w:cs="Times New Roman"/>
          <w:sz w:val="24"/>
          <w:szCs w:val="24"/>
        </w:rPr>
        <w:t>1 от ЗЗЛД и не е налице соченото от жалбоподателя наруш</w:t>
      </w:r>
      <w:r>
        <w:rPr>
          <w:rFonts w:ascii="Times New Roman" w:hAnsi="Times New Roman" w:cs="Times New Roman"/>
          <w:sz w:val="24"/>
          <w:szCs w:val="24"/>
        </w:rPr>
        <w:t>ение</w:t>
      </w:r>
      <w:r w:rsidR="001F2700" w:rsidRPr="007404FA">
        <w:rPr>
          <w:rFonts w:ascii="Times New Roman" w:hAnsi="Times New Roman" w:cs="Times New Roman"/>
          <w:sz w:val="24"/>
          <w:szCs w:val="24"/>
        </w:rPr>
        <w:t xml:space="preserve"> предвид обстоятелството, че съгласието на лицето не е елемент от законосъобразността на обработването на лични данни за журналистически цели, а обработването се извършва за осъществяване на свободата на изразяване и правото на информация в едно демократично общество.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В хода на производство са установени нарушения в процеса на обработване на лични дан</w:t>
      </w:r>
      <w:r w:rsidR="00251F8F">
        <w:rPr>
          <w:rFonts w:ascii="Times New Roman" w:hAnsi="Times New Roman" w:cs="Times New Roman"/>
          <w:sz w:val="24"/>
          <w:szCs w:val="24"/>
        </w:rPr>
        <w:t>ни от лекар и лечебно заведение</w:t>
      </w:r>
      <w:r w:rsidRPr="007404FA">
        <w:rPr>
          <w:rFonts w:ascii="Times New Roman" w:hAnsi="Times New Roman" w:cs="Times New Roman"/>
          <w:sz w:val="24"/>
          <w:szCs w:val="24"/>
        </w:rPr>
        <w:t xml:space="preserve"> в качеството им на самостоятелни администратори на лични данни.</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lastRenderedPageBreak/>
        <w:t>От събраните по преписката доказателства безспорно е установено, че посредством личен електронен подпис на лекар</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ответна страна в производството, са достъпени данни за ваксинационния статус на жалбоподателя, а именно дата на регистриране на имунизацията, национален референтен номер на имунизацията, поредност на дозата, дата на следваща ваксина и наличие на сертификат. Каналът за достъп до данните е immunо.his.bg, входът в системата е осъществен чрез</w:t>
      </w:r>
      <w:r w:rsidR="00251F8F">
        <w:rPr>
          <w:rFonts w:ascii="Times New Roman" w:hAnsi="Times New Roman" w:cs="Times New Roman"/>
          <w:sz w:val="24"/>
          <w:szCs w:val="24"/>
        </w:rPr>
        <w:t xml:space="preserve"> квалифициран електронен подпис</w:t>
      </w:r>
      <w:r w:rsidRPr="007404FA">
        <w:rPr>
          <w:rFonts w:ascii="Times New Roman" w:hAnsi="Times New Roman" w:cs="Times New Roman"/>
          <w:sz w:val="24"/>
          <w:szCs w:val="24"/>
        </w:rPr>
        <w:t xml:space="preserve"> след проверка дали съответния</w:t>
      </w:r>
      <w:r w:rsidR="00251F8F">
        <w:rPr>
          <w:rFonts w:ascii="Times New Roman" w:hAnsi="Times New Roman" w:cs="Times New Roman"/>
          <w:sz w:val="24"/>
          <w:szCs w:val="24"/>
        </w:rPr>
        <w:t>т</w:t>
      </w:r>
      <w:r w:rsidRPr="007404FA">
        <w:rPr>
          <w:rFonts w:ascii="Times New Roman" w:hAnsi="Times New Roman" w:cs="Times New Roman"/>
          <w:sz w:val="24"/>
          <w:szCs w:val="24"/>
        </w:rPr>
        <w:t xml:space="preserve"> лекар притежава активна регистрация в Българския лекарски съюз. Безспорно установено е, че достъпът е осъществен от външен IP адрес на лече</w:t>
      </w:r>
      <w:r w:rsidR="00251F8F">
        <w:rPr>
          <w:rFonts w:ascii="Times New Roman" w:hAnsi="Times New Roman" w:cs="Times New Roman"/>
          <w:sz w:val="24"/>
          <w:szCs w:val="24"/>
        </w:rPr>
        <w:t>б</w:t>
      </w:r>
      <w:r w:rsidRPr="007404FA">
        <w:rPr>
          <w:rFonts w:ascii="Times New Roman" w:hAnsi="Times New Roman" w:cs="Times New Roman"/>
          <w:sz w:val="24"/>
          <w:szCs w:val="24"/>
        </w:rPr>
        <w:t>ното заведение, в което лекарят работи към дата</w:t>
      </w:r>
      <w:r w:rsidR="002B6687" w:rsidRPr="007404FA">
        <w:rPr>
          <w:rFonts w:ascii="Times New Roman" w:hAnsi="Times New Roman" w:cs="Times New Roman"/>
          <w:sz w:val="24"/>
          <w:szCs w:val="24"/>
        </w:rPr>
        <w:t>та</w:t>
      </w:r>
      <w:r w:rsidRPr="007404FA">
        <w:rPr>
          <w:rFonts w:ascii="Times New Roman" w:hAnsi="Times New Roman" w:cs="Times New Roman"/>
          <w:sz w:val="24"/>
          <w:szCs w:val="24"/>
        </w:rPr>
        <w:t xml:space="preserve"> на достъпа.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Достъпените данни безспорно са специална категория</w:t>
      </w:r>
      <w:r w:rsidR="00251F8F">
        <w:rPr>
          <w:rFonts w:ascii="Times New Roman" w:hAnsi="Times New Roman" w:cs="Times New Roman"/>
          <w:sz w:val="24"/>
          <w:szCs w:val="24"/>
        </w:rPr>
        <w:t>,</w:t>
      </w:r>
      <w:r w:rsidRPr="007404FA">
        <w:rPr>
          <w:rFonts w:ascii="Times New Roman" w:hAnsi="Times New Roman" w:cs="Times New Roman"/>
          <w:sz w:val="24"/>
          <w:szCs w:val="24"/>
        </w:rPr>
        <w:t xml:space="preserve"> свързана със здравословното състояние на лицето. По отношение на последните ОРЗД въвежда забрана за тяхното обработване (чл. 9,</w:t>
      </w:r>
      <w:r w:rsidR="00F06583" w:rsidRPr="007404FA">
        <w:rPr>
          <w:rFonts w:ascii="Times New Roman" w:hAnsi="Times New Roman" w:cs="Times New Roman"/>
          <w:sz w:val="24"/>
          <w:szCs w:val="24"/>
        </w:rPr>
        <w:t xml:space="preserve"> ал. </w:t>
      </w:r>
      <w:r w:rsidRPr="007404FA">
        <w:rPr>
          <w:rFonts w:ascii="Times New Roman" w:hAnsi="Times New Roman" w:cs="Times New Roman"/>
          <w:sz w:val="24"/>
          <w:szCs w:val="24"/>
        </w:rPr>
        <w:t>1 от ОРЗД), като допуска изрично и лимитативно посочени изключения (чл. 9,</w:t>
      </w:r>
      <w:r w:rsidR="00F06583" w:rsidRPr="007404FA">
        <w:rPr>
          <w:rFonts w:ascii="Times New Roman" w:hAnsi="Times New Roman" w:cs="Times New Roman"/>
          <w:sz w:val="24"/>
          <w:szCs w:val="24"/>
        </w:rPr>
        <w:t xml:space="preserve"> ал. </w:t>
      </w:r>
      <w:r w:rsidRPr="007404FA">
        <w:rPr>
          <w:rFonts w:ascii="Times New Roman" w:hAnsi="Times New Roman" w:cs="Times New Roman"/>
          <w:sz w:val="24"/>
          <w:szCs w:val="24"/>
        </w:rPr>
        <w:t>2 от ОРЗД). В конкретния случай по преписката липсват доказателства за наличието на което и да било от въведените от законодателя изключения</w:t>
      </w:r>
      <w:r w:rsidR="00251F8F">
        <w:rPr>
          <w:rFonts w:ascii="Times New Roman" w:hAnsi="Times New Roman" w:cs="Times New Roman"/>
          <w:sz w:val="24"/>
          <w:szCs w:val="24"/>
        </w:rPr>
        <w:t>,</w:t>
      </w:r>
      <w:r w:rsidRPr="007404FA">
        <w:rPr>
          <w:rFonts w:ascii="Times New Roman" w:hAnsi="Times New Roman" w:cs="Times New Roman"/>
          <w:sz w:val="24"/>
          <w:szCs w:val="24"/>
        </w:rPr>
        <w:t xml:space="preserve"> визирани в</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9,</w:t>
      </w:r>
      <w:r w:rsidR="00F06583" w:rsidRPr="007404FA">
        <w:rPr>
          <w:rFonts w:ascii="Times New Roman" w:hAnsi="Times New Roman" w:cs="Times New Roman"/>
          <w:sz w:val="24"/>
          <w:szCs w:val="24"/>
        </w:rPr>
        <w:t xml:space="preserve"> ал. </w:t>
      </w:r>
      <w:r w:rsidRPr="007404FA">
        <w:rPr>
          <w:rFonts w:ascii="Times New Roman" w:hAnsi="Times New Roman" w:cs="Times New Roman"/>
          <w:sz w:val="24"/>
          <w:szCs w:val="24"/>
        </w:rPr>
        <w:t>2, буква „а“</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„й“ по отношение на лекаря. Данните са достъпени без знанието и съгл</w:t>
      </w:r>
      <w:r w:rsidR="00251F8F">
        <w:rPr>
          <w:rFonts w:ascii="Times New Roman" w:hAnsi="Times New Roman" w:cs="Times New Roman"/>
          <w:sz w:val="24"/>
          <w:szCs w:val="24"/>
        </w:rPr>
        <w:t>асието на лицето, като ответникът</w:t>
      </w:r>
      <w:r w:rsidRPr="007404FA">
        <w:rPr>
          <w:rFonts w:ascii="Times New Roman" w:hAnsi="Times New Roman" w:cs="Times New Roman"/>
          <w:sz w:val="24"/>
          <w:szCs w:val="24"/>
        </w:rPr>
        <w:t xml:space="preserve"> не е личен и/или лекуващ лекар на жалбоподателя, не е пациент на лечебното заведение, не е извършвал медицински прегледи или манипулации в лечебното заведение.</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Събраните по преписката доказателства свидетелстват, че в резултат на груба небрежност</w:t>
      </w:r>
      <w:r w:rsidR="00251F8F">
        <w:rPr>
          <w:rFonts w:ascii="Times New Roman" w:hAnsi="Times New Roman" w:cs="Times New Roman"/>
          <w:sz w:val="24"/>
          <w:szCs w:val="24"/>
        </w:rPr>
        <w:t>,</w:t>
      </w:r>
      <w:r w:rsidRPr="007404FA">
        <w:rPr>
          <w:rFonts w:ascii="Times New Roman" w:hAnsi="Times New Roman" w:cs="Times New Roman"/>
          <w:sz w:val="24"/>
          <w:szCs w:val="24"/>
        </w:rPr>
        <w:t xml:space="preserve"> проявена от лекаря по отношение на съхранението и ползването на личния му електронен подпис</w:t>
      </w:r>
      <w:r w:rsidR="00251F8F">
        <w:rPr>
          <w:rFonts w:ascii="Times New Roman" w:hAnsi="Times New Roman" w:cs="Times New Roman"/>
          <w:sz w:val="24"/>
          <w:szCs w:val="24"/>
        </w:rPr>
        <w:t>,</w:t>
      </w:r>
      <w:r w:rsidRPr="007404FA">
        <w:rPr>
          <w:rFonts w:ascii="Times New Roman" w:hAnsi="Times New Roman" w:cs="Times New Roman"/>
          <w:sz w:val="24"/>
          <w:szCs w:val="24"/>
        </w:rPr>
        <w:t xml:space="preserve"> е осъществен неправомерен достъп до чувствителни лични данни за жалбоподателя</w:t>
      </w:r>
      <w:r w:rsidR="00251F8F">
        <w:rPr>
          <w:rFonts w:ascii="Times New Roman" w:hAnsi="Times New Roman" w:cs="Times New Roman"/>
          <w:sz w:val="24"/>
          <w:szCs w:val="24"/>
        </w:rPr>
        <w:t>,</w:t>
      </w:r>
      <w:r w:rsidRPr="007404FA">
        <w:rPr>
          <w:rFonts w:ascii="Times New Roman" w:hAnsi="Times New Roman" w:cs="Times New Roman"/>
          <w:sz w:val="24"/>
          <w:szCs w:val="24"/>
        </w:rPr>
        <w:t xml:space="preserve"> свързани с ваксинационния му статус. Отговоре</w:t>
      </w:r>
      <w:r w:rsidR="00251F8F">
        <w:rPr>
          <w:rFonts w:ascii="Times New Roman" w:hAnsi="Times New Roman" w:cs="Times New Roman"/>
          <w:sz w:val="24"/>
          <w:szCs w:val="24"/>
        </w:rPr>
        <w:t>н за последното е администраторът</w:t>
      </w:r>
      <w:r w:rsidRPr="007404FA">
        <w:rPr>
          <w:rFonts w:ascii="Times New Roman" w:hAnsi="Times New Roman" w:cs="Times New Roman"/>
          <w:sz w:val="24"/>
          <w:szCs w:val="24"/>
        </w:rPr>
        <w:t xml:space="preserve"> на лични данни</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съответния</w:t>
      </w:r>
      <w:r w:rsidR="00251F8F">
        <w:rPr>
          <w:rFonts w:ascii="Times New Roman" w:hAnsi="Times New Roman" w:cs="Times New Roman"/>
          <w:sz w:val="24"/>
          <w:szCs w:val="24"/>
        </w:rPr>
        <w:t>т</w:t>
      </w:r>
      <w:r w:rsidRPr="007404FA">
        <w:rPr>
          <w:rFonts w:ascii="Times New Roman" w:hAnsi="Times New Roman" w:cs="Times New Roman"/>
          <w:sz w:val="24"/>
          <w:szCs w:val="24"/>
        </w:rPr>
        <w:t xml:space="preserve"> лекар, доколкото ползвания</w:t>
      </w:r>
      <w:r w:rsidR="00251F8F">
        <w:rPr>
          <w:rFonts w:ascii="Times New Roman" w:hAnsi="Times New Roman" w:cs="Times New Roman"/>
          <w:sz w:val="24"/>
          <w:szCs w:val="24"/>
        </w:rPr>
        <w:t>т</w:t>
      </w:r>
      <w:r w:rsidRPr="007404FA">
        <w:rPr>
          <w:rFonts w:ascii="Times New Roman" w:hAnsi="Times New Roman" w:cs="Times New Roman"/>
          <w:sz w:val="24"/>
          <w:szCs w:val="24"/>
        </w:rPr>
        <w:t xml:space="preserve"> за достъп подпис е личен и отговорността за ползването и съхранението му също. Комисията приема, че в конкретния случай лекарят не е предприел подходящи мерки, за да гарантира и да е в състояние да докаже, че личните данни на жалбоподателя са обработени/достъпени в съответствие с ОРЗД. Не могат да се кредитират като относими и верни твърденията, че предоставянето на подписа за ползване от служител на администрацията на лечебното заведение е в изпълнение на вменено задължение на лекаря от страна на лечебното заведение</w:t>
      </w:r>
      <w:r w:rsidR="00251F8F">
        <w:rPr>
          <w:rFonts w:ascii="Times New Roman" w:hAnsi="Times New Roman" w:cs="Times New Roman"/>
          <w:sz w:val="24"/>
          <w:szCs w:val="24"/>
        </w:rPr>
        <w:t>,</w:t>
      </w:r>
      <w:r w:rsidRPr="007404FA">
        <w:rPr>
          <w:rFonts w:ascii="Times New Roman" w:hAnsi="Times New Roman" w:cs="Times New Roman"/>
          <w:sz w:val="24"/>
          <w:szCs w:val="24"/>
        </w:rPr>
        <w:t xml:space="preserve"> в което работи. На първо място</w:t>
      </w:r>
      <w:r w:rsidR="00251F8F">
        <w:rPr>
          <w:rFonts w:ascii="Times New Roman" w:hAnsi="Times New Roman" w:cs="Times New Roman"/>
          <w:sz w:val="24"/>
          <w:szCs w:val="24"/>
        </w:rPr>
        <w:t>,</w:t>
      </w:r>
      <w:r w:rsidRPr="007404FA">
        <w:rPr>
          <w:rFonts w:ascii="Times New Roman" w:hAnsi="Times New Roman" w:cs="Times New Roman"/>
          <w:sz w:val="24"/>
          <w:szCs w:val="24"/>
        </w:rPr>
        <w:t xml:space="preserve"> доказателства в тази насока липсват, твърденията са оспорени от лечебното заведение, което с категоричност сочи, че дружеството предоставя на всеки лекар съдействие при администриране на услуги, но при желание и инициатива от страна на лекаря, а не по задължение. Отделно от това дори и обратното да е вярно, то доколкото подписът е личен, администраторът на лични данни, в случая лекарят,</w:t>
      </w:r>
      <w:r w:rsidR="00157B49">
        <w:rPr>
          <w:rFonts w:ascii="Times New Roman" w:hAnsi="Times New Roman" w:cs="Times New Roman"/>
          <w:sz w:val="24"/>
          <w:szCs w:val="24"/>
        </w:rPr>
        <w:t xml:space="preserve"> </w:t>
      </w:r>
      <w:r w:rsidRPr="007404FA">
        <w:rPr>
          <w:rFonts w:ascii="Times New Roman" w:hAnsi="Times New Roman" w:cs="Times New Roman"/>
          <w:sz w:val="24"/>
          <w:szCs w:val="24"/>
        </w:rPr>
        <w:t xml:space="preserve">е </w:t>
      </w:r>
      <w:r w:rsidR="00251F8F" w:rsidRPr="007404FA">
        <w:rPr>
          <w:rFonts w:ascii="Times New Roman" w:hAnsi="Times New Roman" w:cs="Times New Roman"/>
          <w:sz w:val="24"/>
          <w:szCs w:val="24"/>
        </w:rPr>
        <w:t>този, който</w:t>
      </w:r>
      <w:r w:rsidRPr="007404FA">
        <w:rPr>
          <w:rFonts w:ascii="Times New Roman" w:hAnsi="Times New Roman" w:cs="Times New Roman"/>
          <w:sz w:val="24"/>
          <w:szCs w:val="24"/>
        </w:rPr>
        <w:t xml:space="preserve"> следва да определя целите, начините и реда</w:t>
      </w:r>
      <w:r w:rsidR="00251F8F">
        <w:rPr>
          <w:rFonts w:ascii="Times New Roman" w:hAnsi="Times New Roman" w:cs="Times New Roman"/>
          <w:sz w:val="24"/>
          <w:szCs w:val="24"/>
        </w:rPr>
        <w:t>,</w:t>
      </w:r>
      <w:r w:rsidRPr="007404FA">
        <w:rPr>
          <w:rFonts w:ascii="Times New Roman" w:hAnsi="Times New Roman" w:cs="Times New Roman"/>
          <w:sz w:val="24"/>
          <w:szCs w:val="24"/>
        </w:rPr>
        <w:t xml:space="preserve"> по които </w:t>
      </w:r>
      <w:r w:rsidRPr="007404FA">
        <w:rPr>
          <w:rFonts w:ascii="Times New Roman" w:hAnsi="Times New Roman" w:cs="Times New Roman"/>
          <w:sz w:val="24"/>
          <w:szCs w:val="24"/>
        </w:rPr>
        <w:lastRenderedPageBreak/>
        <w:t>посредством електронния му подпис ще се обработват/до</w:t>
      </w:r>
      <w:r w:rsidR="00251F8F">
        <w:rPr>
          <w:rFonts w:ascii="Times New Roman" w:hAnsi="Times New Roman" w:cs="Times New Roman"/>
          <w:sz w:val="24"/>
          <w:szCs w:val="24"/>
        </w:rPr>
        <w:t>стъпват лични данни. Още повече</w:t>
      </w:r>
      <w:r w:rsidRPr="007404FA">
        <w:rPr>
          <w:rFonts w:ascii="Times New Roman" w:hAnsi="Times New Roman" w:cs="Times New Roman"/>
          <w:sz w:val="24"/>
          <w:szCs w:val="24"/>
        </w:rPr>
        <w:t xml:space="preserve"> че посредством подписа се достъпва с</w:t>
      </w:r>
      <w:r w:rsidR="00251F8F">
        <w:rPr>
          <w:rFonts w:ascii="Times New Roman" w:hAnsi="Times New Roman" w:cs="Times New Roman"/>
          <w:sz w:val="24"/>
          <w:szCs w:val="24"/>
        </w:rPr>
        <w:t>пецифична категория лични данни,</w:t>
      </w:r>
      <w:r w:rsidRPr="007404FA">
        <w:rPr>
          <w:rFonts w:ascii="Times New Roman" w:hAnsi="Times New Roman" w:cs="Times New Roman"/>
          <w:sz w:val="24"/>
          <w:szCs w:val="24"/>
        </w:rPr>
        <w:t xml:space="preserve"> свързани със здравословното състояние, поради и което контролът и мерките</w:t>
      </w:r>
      <w:r w:rsidR="00251F8F">
        <w:rPr>
          <w:rFonts w:ascii="Times New Roman" w:hAnsi="Times New Roman" w:cs="Times New Roman"/>
          <w:sz w:val="24"/>
          <w:szCs w:val="24"/>
        </w:rPr>
        <w:t>,</w:t>
      </w:r>
      <w:r w:rsidRPr="007404FA">
        <w:rPr>
          <w:rFonts w:ascii="Times New Roman" w:hAnsi="Times New Roman" w:cs="Times New Roman"/>
          <w:sz w:val="24"/>
          <w:szCs w:val="24"/>
        </w:rPr>
        <w:t xml:space="preserve"> въведени от администратора</w:t>
      </w:r>
      <w:r w:rsidR="00251F8F">
        <w:rPr>
          <w:rFonts w:ascii="Times New Roman" w:hAnsi="Times New Roman" w:cs="Times New Roman"/>
          <w:sz w:val="24"/>
          <w:szCs w:val="24"/>
        </w:rPr>
        <w:t>,</w:t>
      </w:r>
      <w:r w:rsidRPr="007404FA">
        <w:rPr>
          <w:rFonts w:ascii="Times New Roman" w:hAnsi="Times New Roman" w:cs="Times New Roman"/>
          <w:sz w:val="24"/>
          <w:szCs w:val="24"/>
        </w:rPr>
        <w:t xml:space="preserve"> следва да са завишени. Такива в конкретния случай въ</w:t>
      </w:r>
      <w:r w:rsidR="00251F8F">
        <w:rPr>
          <w:rFonts w:ascii="Times New Roman" w:hAnsi="Times New Roman" w:cs="Times New Roman"/>
          <w:sz w:val="24"/>
          <w:szCs w:val="24"/>
        </w:rPr>
        <w:t>обще липсват, поради което К</w:t>
      </w:r>
      <w:r w:rsidRPr="007404FA">
        <w:rPr>
          <w:rFonts w:ascii="Times New Roman" w:hAnsi="Times New Roman" w:cs="Times New Roman"/>
          <w:sz w:val="24"/>
          <w:szCs w:val="24"/>
        </w:rPr>
        <w:t>омисията квалифицира допуснатото от страна на администратора</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лекаря, нарушение по</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32,</w:t>
      </w:r>
      <w:r w:rsidR="00F06583" w:rsidRPr="007404FA">
        <w:rPr>
          <w:rFonts w:ascii="Times New Roman" w:hAnsi="Times New Roman" w:cs="Times New Roman"/>
          <w:sz w:val="24"/>
          <w:szCs w:val="24"/>
        </w:rPr>
        <w:t xml:space="preserve"> ал. </w:t>
      </w:r>
      <w:r w:rsidRPr="007404FA">
        <w:rPr>
          <w:rFonts w:ascii="Times New Roman" w:hAnsi="Times New Roman" w:cs="Times New Roman"/>
          <w:sz w:val="24"/>
          <w:szCs w:val="24"/>
        </w:rPr>
        <w:t>1 и 2 от ОРЗД. Факт е, че</w:t>
      </w:r>
      <w:r w:rsidR="00251F8F">
        <w:rPr>
          <w:rFonts w:ascii="Times New Roman" w:hAnsi="Times New Roman" w:cs="Times New Roman"/>
          <w:sz w:val="24"/>
          <w:szCs w:val="24"/>
        </w:rPr>
        <w:t xml:space="preserve"> посредством електронния подпис</w:t>
      </w:r>
      <w:r w:rsidRPr="007404FA">
        <w:rPr>
          <w:rFonts w:ascii="Times New Roman" w:hAnsi="Times New Roman" w:cs="Times New Roman"/>
          <w:sz w:val="24"/>
          <w:szCs w:val="24"/>
        </w:rPr>
        <w:t xml:space="preserve"> не еднократн</w:t>
      </w:r>
      <w:r w:rsidR="00251F8F">
        <w:rPr>
          <w:rFonts w:ascii="Times New Roman" w:hAnsi="Times New Roman" w:cs="Times New Roman"/>
          <w:sz w:val="24"/>
          <w:szCs w:val="24"/>
        </w:rPr>
        <w:t>о, а на две последователни дати</w:t>
      </w:r>
      <w:r w:rsidRPr="007404FA">
        <w:rPr>
          <w:rFonts w:ascii="Times New Roman" w:hAnsi="Times New Roman" w:cs="Times New Roman"/>
          <w:sz w:val="24"/>
          <w:szCs w:val="24"/>
        </w:rPr>
        <w:t xml:space="preserve"> са достъпени неправомерно и без основание чувствителни лични данни на жалбоподателя в електронна среда от IP адрес на лечебното заведение</w:t>
      </w:r>
      <w:r w:rsidR="00251F8F">
        <w:rPr>
          <w:rFonts w:ascii="Times New Roman" w:hAnsi="Times New Roman" w:cs="Times New Roman"/>
          <w:sz w:val="24"/>
          <w:szCs w:val="24"/>
        </w:rPr>
        <w:t>,</w:t>
      </w:r>
      <w:r w:rsidRPr="007404FA">
        <w:rPr>
          <w:rFonts w:ascii="Times New Roman" w:hAnsi="Times New Roman" w:cs="Times New Roman"/>
          <w:sz w:val="24"/>
          <w:szCs w:val="24"/>
        </w:rPr>
        <w:t xml:space="preserve"> в което лекаря</w:t>
      </w:r>
      <w:r w:rsidR="00251F8F">
        <w:rPr>
          <w:rFonts w:ascii="Times New Roman" w:hAnsi="Times New Roman" w:cs="Times New Roman"/>
          <w:sz w:val="24"/>
          <w:szCs w:val="24"/>
        </w:rPr>
        <w:t>т</w:t>
      </w:r>
      <w:r w:rsidRPr="007404FA">
        <w:rPr>
          <w:rFonts w:ascii="Times New Roman" w:hAnsi="Times New Roman" w:cs="Times New Roman"/>
          <w:sz w:val="24"/>
          <w:szCs w:val="24"/>
        </w:rPr>
        <w:t xml:space="preserve"> работи, което доказва</w:t>
      </w:r>
      <w:r w:rsidR="00251F8F">
        <w:rPr>
          <w:rFonts w:ascii="Times New Roman" w:hAnsi="Times New Roman" w:cs="Times New Roman"/>
          <w:sz w:val="24"/>
          <w:szCs w:val="24"/>
        </w:rPr>
        <w:t>,</w:t>
      </w:r>
      <w:r w:rsidRPr="007404FA">
        <w:rPr>
          <w:rFonts w:ascii="Times New Roman" w:hAnsi="Times New Roman" w:cs="Times New Roman"/>
          <w:sz w:val="24"/>
          <w:szCs w:val="24"/>
        </w:rPr>
        <w:t xml:space="preserve"> че липсва текущ контрол от страна на администратора, като освен текущ липсва и последващ контрол от лекаря относно достъпа, който твърди, че е узнал за нарушението едва след уведомяването от страна на КЗЛД за </w:t>
      </w:r>
      <w:r w:rsidR="002B6687" w:rsidRPr="007404FA">
        <w:rPr>
          <w:rFonts w:ascii="Times New Roman" w:hAnsi="Times New Roman" w:cs="Times New Roman"/>
          <w:sz w:val="24"/>
          <w:szCs w:val="24"/>
        </w:rPr>
        <w:t>съответното административно</w:t>
      </w:r>
      <w:r w:rsidRPr="007404FA">
        <w:rPr>
          <w:rFonts w:ascii="Times New Roman" w:hAnsi="Times New Roman" w:cs="Times New Roman"/>
          <w:sz w:val="24"/>
          <w:szCs w:val="24"/>
        </w:rPr>
        <w:t xml:space="preserve"> производство, т.е месеци след извършването му.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Комисията приема, че твърдението, че друго лице е злоупотребило и неправомерно достъпило личните данни</w:t>
      </w:r>
      <w:r w:rsidR="00D34602">
        <w:rPr>
          <w:rFonts w:ascii="Times New Roman" w:hAnsi="Times New Roman" w:cs="Times New Roman"/>
          <w:sz w:val="24"/>
          <w:szCs w:val="24"/>
        </w:rPr>
        <w:t>,</w:t>
      </w:r>
      <w:r w:rsidRPr="007404FA">
        <w:rPr>
          <w:rFonts w:ascii="Times New Roman" w:hAnsi="Times New Roman" w:cs="Times New Roman"/>
          <w:sz w:val="24"/>
          <w:szCs w:val="24"/>
        </w:rPr>
        <w:t xml:space="preserve"> ползвайки електронния подпис на лекаря, дори и основателно, въпреки че по преписката липсват такива д</w:t>
      </w:r>
      <w:r w:rsidR="009C3EEB" w:rsidRPr="007404FA">
        <w:rPr>
          <w:rFonts w:ascii="Times New Roman" w:hAnsi="Times New Roman" w:cs="Times New Roman"/>
          <w:sz w:val="24"/>
          <w:szCs w:val="24"/>
        </w:rPr>
        <w:t>оказателства, не може да санира</w:t>
      </w:r>
      <w:r w:rsidRPr="007404FA">
        <w:rPr>
          <w:rFonts w:ascii="Times New Roman" w:hAnsi="Times New Roman" w:cs="Times New Roman"/>
          <w:sz w:val="24"/>
          <w:szCs w:val="24"/>
        </w:rPr>
        <w:t xml:space="preserve"> нарушението, доколкото е вмен</w:t>
      </w:r>
      <w:r w:rsidR="009C3EEB" w:rsidRPr="007404FA">
        <w:rPr>
          <w:rFonts w:ascii="Times New Roman" w:hAnsi="Times New Roman" w:cs="Times New Roman"/>
          <w:sz w:val="24"/>
          <w:szCs w:val="24"/>
        </w:rPr>
        <w:t>ено в отговорност на администратора</w:t>
      </w:r>
      <w:r w:rsidRPr="007404FA">
        <w:rPr>
          <w:rFonts w:ascii="Times New Roman" w:hAnsi="Times New Roman" w:cs="Times New Roman"/>
          <w:sz w:val="24"/>
          <w:szCs w:val="24"/>
        </w:rPr>
        <w:t xml:space="preserve"> (чл. 32,</w:t>
      </w:r>
      <w:r w:rsidR="00F06583" w:rsidRPr="007404FA">
        <w:rPr>
          <w:rFonts w:ascii="Times New Roman" w:hAnsi="Times New Roman" w:cs="Times New Roman"/>
          <w:sz w:val="24"/>
          <w:szCs w:val="24"/>
        </w:rPr>
        <w:t xml:space="preserve"> ал. </w:t>
      </w:r>
      <w:r w:rsidRPr="007404FA">
        <w:rPr>
          <w:rFonts w:ascii="Times New Roman" w:hAnsi="Times New Roman" w:cs="Times New Roman"/>
          <w:sz w:val="24"/>
          <w:szCs w:val="24"/>
        </w:rPr>
        <w:t>1 и 2 от ОРЗД) да прилага мерки</w:t>
      </w:r>
      <w:r w:rsidR="00D34602">
        <w:rPr>
          <w:rFonts w:ascii="Times New Roman" w:hAnsi="Times New Roman" w:cs="Times New Roman"/>
          <w:sz w:val="24"/>
          <w:szCs w:val="24"/>
        </w:rPr>
        <w:t>,</w:t>
      </w:r>
      <w:r w:rsidRPr="007404FA">
        <w:rPr>
          <w:rFonts w:ascii="Times New Roman" w:hAnsi="Times New Roman" w:cs="Times New Roman"/>
          <w:sz w:val="24"/>
          <w:szCs w:val="24"/>
        </w:rPr>
        <w:t xml:space="preserve"> подходящи, за да не допуска неправомерно обработване на лични</w:t>
      </w:r>
      <w:r w:rsidR="00D34602">
        <w:rPr>
          <w:rFonts w:ascii="Times New Roman" w:hAnsi="Times New Roman" w:cs="Times New Roman"/>
          <w:sz w:val="24"/>
          <w:szCs w:val="24"/>
        </w:rPr>
        <w:t xml:space="preserve"> данни, като има предвид обхвата, контекста</w:t>
      </w:r>
      <w:r w:rsidRPr="007404FA">
        <w:rPr>
          <w:rFonts w:ascii="Times New Roman" w:hAnsi="Times New Roman" w:cs="Times New Roman"/>
          <w:sz w:val="24"/>
          <w:szCs w:val="24"/>
        </w:rPr>
        <w:t xml:space="preserve"> и целите на обработването, както и рисковете с различна вероятност и тежест за правата на физическите лица. Мерки в случая въобще липсват, обстоятелство</w:t>
      </w:r>
      <w:r w:rsidR="00D34602">
        <w:rPr>
          <w:rFonts w:ascii="Times New Roman" w:hAnsi="Times New Roman" w:cs="Times New Roman"/>
          <w:sz w:val="24"/>
          <w:szCs w:val="24"/>
        </w:rPr>
        <w:t>,</w:t>
      </w:r>
      <w:r w:rsidRPr="007404FA">
        <w:rPr>
          <w:rFonts w:ascii="Times New Roman" w:hAnsi="Times New Roman" w:cs="Times New Roman"/>
          <w:sz w:val="24"/>
          <w:szCs w:val="24"/>
        </w:rPr>
        <w:t xml:space="preserve"> което потвърждава и процесуалния</w:t>
      </w:r>
      <w:r w:rsidR="00D34602">
        <w:rPr>
          <w:rFonts w:ascii="Times New Roman" w:hAnsi="Times New Roman" w:cs="Times New Roman"/>
          <w:sz w:val="24"/>
          <w:szCs w:val="24"/>
        </w:rPr>
        <w:t>т</w:t>
      </w:r>
      <w:r w:rsidRPr="007404FA">
        <w:rPr>
          <w:rFonts w:ascii="Times New Roman" w:hAnsi="Times New Roman" w:cs="Times New Roman"/>
          <w:sz w:val="24"/>
          <w:szCs w:val="24"/>
        </w:rPr>
        <w:t xml:space="preserve"> представител на лекаря, който заявява, че доверителя</w:t>
      </w:r>
      <w:r w:rsidR="00D34602">
        <w:rPr>
          <w:rFonts w:ascii="Times New Roman" w:hAnsi="Times New Roman" w:cs="Times New Roman"/>
          <w:sz w:val="24"/>
          <w:szCs w:val="24"/>
        </w:rPr>
        <w:t>т</w:t>
      </w:r>
      <w:r w:rsidRPr="007404FA">
        <w:rPr>
          <w:rFonts w:ascii="Times New Roman" w:hAnsi="Times New Roman" w:cs="Times New Roman"/>
          <w:sz w:val="24"/>
          <w:szCs w:val="24"/>
        </w:rPr>
        <w:t xml:space="preserve"> му не ползва подписа си, респективно не регулира осъществявания чрез него достъп до immunо.his.bg</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огромна база данни с ч</w:t>
      </w:r>
      <w:r w:rsidR="00D34602">
        <w:rPr>
          <w:rFonts w:ascii="Times New Roman" w:hAnsi="Times New Roman" w:cs="Times New Roman"/>
          <w:sz w:val="24"/>
          <w:szCs w:val="24"/>
        </w:rPr>
        <w:t>увствителни лични данни, достъпът</w:t>
      </w:r>
      <w:r w:rsidRPr="007404FA">
        <w:rPr>
          <w:rFonts w:ascii="Times New Roman" w:hAnsi="Times New Roman" w:cs="Times New Roman"/>
          <w:sz w:val="24"/>
          <w:szCs w:val="24"/>
        </w:rPr>
        <w:t xml:space="preserve"> до която е регулиран и ограничен, предоставен чрез квалифициран електронен подпис, след проверка дали съответния</w:t>
      </w:r>
      <w:r w:rsidR="00D34602">
        <w:rPr>
          <w:rFonts w:ascii="Times New Roman" w:hAnsi="Times New Roman" w:cs="Times New Roman"/>
          <w:sz w:val="24"/>
          <w:szCs w:val="24"/>
        </w:rPr>
        <w:t>т</w:t>
      </w:r>
      <w:r w:rsidRPr="007404FA">
        <w:rPr>
          <w:rFonts w:ascii="Times New Roman" w:hAnsi="Times New Roman" w:cs="Times New Roman"/>
          <w:sz w:val="24"/>
          <w:szCs w:val="24"/>
        </w:rPr>
        <w:t xml:space="preserve"> лекар притежава активна регистрация в Българския лекарски съюз. Комисията приема за безспорно е, че лекарят не е организирал съхранението на подписа, който е вход за базата данни</w:t>
      </w:r>
      <w:r w:rsidR="00D34602">
        <w:rPr>
          <w:rFonts w:ascii="Times New Roman" w:hAnsi="Times New Roman" w:cs="Times New Roman"/>
          <w:sz w:val="24"/>
          <w:szCs w:val="24"/>
        </w:rPr>
        <w:t>,</w:t>
      </w:r>
      <w:r w:rsidRPr="007404FA">
        <w:rPr>
          <w:rFonts w:ascii="Times New Roman" w:hAnsi="Times New Roman" w:cs="Times New Roman"/>
          <w:sz w:val="24"/>
          <w:szCs w:val="24"/>
        </w:rPr>
        <w:t xml:space="preserve"> съдържаща информация за здравословното състояния на лицата, респективно не е създал, нито пък прилага подходящи технически и организационни мерки, не е извършил преценка, не е оценил рисковете</w:t>
      </w:r>
      <w:r w:rsidR="00D34602">
        <w:rPr>
          <w:rFonts w:ascii="Times New Roman" w:hAnsi="Times New Roman" w:cs="Times New Roman"/>
          <w:sz w:val="24"/>
          <w:szCs w:val="24"/>
        </w:rPr>
        <w:t>,</w:t>
      </w:r>
      <w:r w:rsidRPr="007404FA">
        <w:rPr>
          <w:rFonts w:ascii="Times New Roman" w:hAnsi="Times New Roman" w:cs="Times New Roman"/>
          <w:sz w:val="24"/>
          <w:szCs w:val="24"/>
        </w:rPr>
        <w:t xml:space="preserve"> свързани с ползването на подписа и достъпването на тази специална категория лични данни.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w:t>
      </w:r>
      <w:r w:rsidR="00D34602">
        <w:rPr>
          <w:rFonts w:ascii="Times New Roman" w:hAnsi="Times New Roman" w:cs="Times New Roman"/>
          <w:sz w:val="24"/>
          <w:szCs w:val="24"/>
        </w:rPr>
        <w:t>редвид констатираното нарушение на лекаря</w:t>
      </w:r>
      <w:r w:rsidRPr="007404FA">
        <w:rPr>
          <w:rFonts w:ascii="Times New Roman" w:hAnsi="Times New Roman" w:cs="Times New Roman"/>
          <w:sz w:val="24"/>
          <w:szCs w:val="24"/>
        </w:rPr>
        <w:t xml:space="preserve"> в качеството му на администратор на лични данни</w:t>
      </w:r>
      <w:r w:rsidR="00D34602">
        <w:rPr>
          <w:rFonts w:ascii="Times New Roman" w:hAnsi="Times New Roman" w:cs="Times New Roman"/>
          <w:sz w:val="24"/>
          <w:szCs w:val="24"/>
        </w:rPr>
        <w:t xml:space="preserve"> е наложена глоба</w:t>
      </w:r>
      <w:r w:rsidRPr="007404FA">
        <w:rPr>
          <w:rFonts w:ascii="Times New Roman" w:hAnsi="Times New Roman" w:cs="Times New Roman"/>
          <w:sz w:val="24"/>
          <w:szCs w:val="24"/>
        </w:rPr>
        <w:t xml:space="preserve"> в размер на 500</w:t>
      </w:r>
      <w:r w:rsidR="003742EB" w:rsidRPr="007404FA">
        <w:rPr>
          <w:rFonts w:ascii="Times New Roman" w:hAnsi="Times New Roman" w:cs="Times New Roman"/>
          <w:sz w:val="24"/>
          <w:szCs w:val="24"/>
        </w:rPr>
        <w:t> лв.</w:t>
      </w:r>
      <w:r w:rsidRPr="007404FA">
        <w:rPr>
          <w:rFonts w:ascii="Times New Roman" w:hAnsi="Times New Roman" w:cs="Times New Roman"/>
          <w:sz w:val="24"/>
          <w:szCs w:val="24"/>
        </w:rPr>
        <w:t xml:space="preserve">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Събраните по преписката доказателства свидетелстват и за допуснато от лечебното заведение нарушение на</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 xml:space="preserve">32 от ОРЗД касателно практиките в лечебното заведение за допускане ползване на електронни подписи на лекари за обработване на чувствителни лични данни, свързани със здравето, включително достъп до такива. Безспорно лечебното </w:t>
      </w:r>
      <w:r w:rsidRPr="007404FA">
        <w:rPr>
          <w:rFonts w:ascii="Times New Roman" w:hAnsi="Times New Roman" w:cs="Times New Roman"/>
          <w:sz w:val="24"/>
          <w:szCs w:val="24"/>
        </w:rPr>
        <w:lastRenderedPageBreak/>
        <w:t>заведение, като отделен администратор на лични данни, към дата</w:t>
      </w:r>
      <w:r w:rsidR="00B47EDC" w:rsidRPr="007404FA">
        <w:rPr>
          <w:rFonts w:ascii="Times New Roman" w:hAnsi="Times New Roman" w:cs="Times New Roman"/>
          <w:sz w:val="24"/>
          <w:szCs w:val="24"/>
        </w:rPr>
        <w:t>та</w:t>
      </w:r>
      <w:r w:rsidRPr="007404FA">
        <w:rPr>
          <w:rFonts w:ascii="Times New Roman" w:hAnsi="Times New Roman" w:cs="Times New Roman"/>
          <w:sz w:val="24"/>
          <w:szCs w:val="24"/>
        </w:rPr>
        <w:t xml:space="preserve"> на нарушението</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януари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не е създало подходящи технически и организационни мерки за обработване на чувствителни лични данни от страна на администрацията на лече</w:t>
      </w:r>
      <w:r w:rsidR="00D34602">
        <w:rPr>
          <w:rFonts w:ascii="Times New Roman" w:hAnsi="Times New Roman" w:cs="Times New Roman"/>
          <w:sz w:val="24"/>
          <w:szCs w:val="24"/>
        </w:rPr>
        <w:t>б</w:t>
      </w:r>
      <w:r w:rsidRPr="007404FA">
        <w:rPr>
          <w:rFonts w:ascii="Times New Roman" w:hAnsi="Times New Roman" w:cs="Times New Roman"/>
          <w:sz w:val="24"/>
          <w:szCs w:val="24"/>
        </w:rPr>
        <w:t>ното заведение или създадените такива не са в състояние да гарантират и докажат, че обработването се извършва в съответствие с ОРЗД, още повече че липсва</w:t>
      </w:r>
      <w:r w:rsidR="00D34602">
        <w:rPr>
          <w:rFonts w:ascii="Times New Roman" w:hAnsi="Times New Roman" w:cs="Times New Roman"/>
          <w:sz w:val="24"/>
          <w:szCs w:val="24"/>
        </w:rPr>
        <w:t>т</w:t>
      </w:r>
      <w:r w:rsidRPr="007404FA">
        <w:rPr>
          <w:rFonts w:ascii="Times New Roman" w:hAnsi="Times New Roman" w:cs="Times New Roman"/>
          <w:sz w:val="24"/>
          <w:szCs w:val="24"/>
        </w:rPr>
        <w:t xml:space="preserve"> обучение и контрол относно процедурата, макар и формално неразписана, която</w:t>
      </w:r>
      <w:r w:rsidR="00D34602">
        <w:rPr>
          <w:rFonts w:ascii="Times New Roman" w:hAnsi="Times New Roman" w:cs="Times New Roman"/>
          <w:sz w:val="24"/>
          <w:szCs w:val="24"/>
        </w:rPr>
        <w:t>,</w:t>
      </w:r>
      <w:r w:rsidRPr="007404FA">
        <w:rPr>
          <w:rFonts w:ascii="Times New Roman" w:hAnsi="Times New Roman" w:cs="Times New Roman"/>
          <w:sz w:val="24"/>
          <w:szCs w:val="24"/>
        </w:rPr>
        <w:t xml:space="preserve"> явно от доказателства</w:t>
      </w:r>
      <w:r w:rsidR="00D34602">
        <w:rPr>
          <w:rFonts w:ascii="Times New Roman" w:hAnsi="Times New Roman" w:cs="Times New Roman"/>
          <w:sz w:val="24"/>
          <w:szCs w:val="24"/>
        </w:rPr>
        <w:t>,</w:t>
      </w:r>
      <w:r w:rsidRPr="007404FA">
        <w:rPr>
          <w:rFonts w:ascii="Times New Roman" w:hAnsi="Times New Roman" w:cs="Times New Roman"/>
          <w:sz w:val="24"/>
          <w:szCs w:val="24"/>
        </w:rPr>
        <w:t xml:space="preserve"> се е наложила като нерегламентирана и нерегулирана практика, като е безспорно, че за неправомерния достъп е изпол</w:t>
      </w:r>
      <w:r w:rsidR="00D34602">
        <w:rPr>
          <w:rFonts w:ascii="Times New Roman" w:hAnsi="Times New Roman" w:cs="Times New Roman"/>
          <w:sz w:val="24"/>
          <w:szCs w:val="24"/>
        </w:rPr>
        <w:t>звана инфраструктурата/IP адресът</w:t>
      </w:r>
      <w:r w:rsidRPr="007404FA">
        <w:rPr>
          <w:rFonts w:ascii="Times New Roman" w:hAnsi="Times New Roman" w:cs="Times New Roman"/>
          <w:sz w:val="24"/>
          <w:szCs w:val="24"/>
        </w:rPr>
        <w:t xml:space="preserve"> на лечебното заведение, което не е създало подходящ контролен механизъм. След образуване на </w:t>
      </w:r>
      <w:r w:rsidR="007138F4" w:rsidRPr="007404FA">
        <w:rPr>
          <w:rFonts w:ascii="Times New Roman" w:hAnsi="Times New Roman" w:cs="Times New Roman"/>
          <w:sz w:val="24"/>
          <w:szCs w:val="24"/>
        </w:rPr>
        <w:t>съответното</w:t>
      </w:r>
      <w:r w:rsidRPr="007404FA">
        <w:rPr>
          <w:rFonts w:ascii="Times New Roman" w:hAnsi="Times New Roman" w:cs="Times New Roman"/>
          <w:sz w:val="24"/>
          <w:szCs w:val="24"/>
        </w:rPr>
        <w:t xml:space="preserve"> производство</w:t>
      </w:r>
      <w:r w:rsidR="007138F4" w:rsidRPr="007404FA">
        <w:rPr>
          <w:rFonts w:ascii="Times New Roman" w:hAnsi="Times New Roman" w:cs="Times New Roman"/>
          <w:sz w:val="24"/>
          <w:szCs w:val="24"/>
        </w:rPr>
        <w:t xml:space="preserve"> пред КЗЛД</w:t>
      </w:r>
      <w:r w:rsidRPr="007404FA">
        <w:rPr>
          <w:rFonts w:ascii="Times New Roman" w:hAnsi="Times New Roman" w:cs="Times New Roman"/>
          <w:sz w:val="24"/>
          <w:szCs w:val="24"/>
        </w:rPr>
        <w:t xml:space="preserve"> лечебното заведение е „предприело действия по коригиране на начина на работа в дружеството“ и е </w:t>
      </w:r>
      <w:r w:rsidR="00D34602">
        <w:rPr>
          <w:rFonts w:ascii="Times New Roman" w:hAnsi="Times New Roman" w:cs="Times New Roman"/>
          <w:sz w:val="24"/>
          <w:szCs w:val="24"/>
        </w:rPr>
        <w:t>изготвена</w:t>
      </w:r>
      <w:r w:rsidRPr="007404FA">
        <w:rPr>
          <w:rFonts w:ascii="Times New Roman" w:hAnsi="Times New Roman" w:cs="Times New Roman"/>
          <w:sz w:val="24"/>
          <w:szCs w:val="24"/>
        </w:rPr>
        <w:t xml:space="preserve"> програма за обучение и инструктаж на всички служители на дружеството относно приложението на ОРЗД и нововъведените от лечебното заведение правила, </w:t>
      </w:r>
      <w:r w:rsidR="00D34602">
        <w:rPr>
          <w:rFonts w:ascii="Times New Roman" w:hAnsi="Times New Roman" w:cs="Times New Roman"/>
          <w:sz w:val="24"/>
          <w:szCs w:val="24"/>
        </w:rPr>
        <w:t xml:space="preserve">като </w:t>
      </w:r>
      <w:r w:rsidRPr="007404FA">
        <w:rPr>
          <w:rFonts w:ascii="Times New Roman" w:hAnsi="Times New Roman" w:cs="Times New Roman"/>
          <w:sz w:val="24"/>
          <w:szCs w:val="24"/>
        </w:rPr>
        <w:t>част от промените касаят ползването на електронни подписи. Въведените допълнителни мерки не могат да санират бездействието от страна на здравното заведение, което с пасивното си поведение е допринесло за допуснатото нарушение, но са основание за налагане на корективна мярка по</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 xml:space="preserve">58, </w:t>
      </w:r>
      <w:r w:rsidR="00D34602">
        <w:rPr>
          <w:rFonts w:ascii="Times New Roman" w:hAnsi="Times New Roman" w:cs="Times New Roman"/>
          <w:sz w:val="24"/>
          <w:szCs w:val="24"/>
        </w:rPr>
        <w:t>§</w:t>
      </w:r>
      <w:r w:rsidRPr="007404FA">
        <w:rPr>
          <w:rFonts w:ascii="Times New Roman" w:hAnsi="Times New Roman" w:cs="Times New Roman"/>
          <w:sz w:val="24"/>
          <w:szCs w:val="24"/>
        </w:rPr>
        <w:t>2, буква „б“ от ОРЗД</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официално предупреждение на дружеството предвид обстоятелството, че макар и на по-късен етап, мерките са преразгледани и актуализирани в съответствие със задължението му по</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24,</w:t>
      </w:r>
      <w:r w:rsidR="00F06583" w:rsidRPr="007404FA">
        <w:rPr>
          <w:rFonts w:ascii="Times New Roman" w:hAnsi="Times New Roman" w:cs="Times New Roman"/>
          <w:sz w:val="24"/>
          <w:szCs w:val="24"/>
        </w:rPr>
        <w:t xml:space="preserve"> ал. </w:t>
      </w:r>
      <w:r w:rsidRPr="007404FA">
        <w:rPr>
          <w:rFonts w:ascii="Times New Roman" w:hAnsi="Times New Roman" w:cs="Times New Roman"/>
          <w:sz w:val="24"/>
          <w:szCs w:val="24"/>
        </w:rPr>
        <w:t xml:space="preserve">1 от ОРЗД.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Решението на КЗЛД не е обжалвано и е влязло в законна сила, а наложена</w:t>
      </w:r>
      <w:r w:rsidR="00056321" w:rsidRPr="007404FA">
        <w:rPr>
          <w:rFonts w:ascii="Times New Roman" w:hAnsi="Times New Roman" w:cs="Times New Roman"/>
          <w:sz w:val="24"/>
          <w:szCs w:val="24"/>
        </w:rPr>
        <w:t>та</w:t>
      </w:r>
      <w:r w:rsidRPr="007404FA">
        <w:rPr>
          <w:rFonts w:ascii="Times New Roman" w:hAnsi="Times New Roman" w:cs="Times New Roman"/>
          <w:sz w:val="24"/>
          <w:szCs w:val="24"/>
        </w:rPr>
        <w:t xml:space="preserve"> глоба е платена доброволно. </w:t>
      </w:r>
    </w:p>
    <w:p w:rsidR="007C5050" w:rsidRPr="007404FA" w:rsidRDefault="007C5050" w:rsidP="00DB6B05">
      <w:pPr>
        <w:spacing w:line="360" w:lineRule="auto"/>
        <w:ind w:firstLine="709"/>
        <w:jc w:val="both"/>
        <w:rPr>
          <w:rFonts w:ascii="Times New Roman" w:hAnsi="Times New Roman" w:cs="Times New Roman"/>
          <w:sz w:val="24"/>
          <w:szCs w:val="24"/>
        </w:rPr>
      </w:pP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b/>
          <w:sz w:val="24"/>
          <w:szCs w:val="24"/>
        </w:rPr>
        <w:t>3.2. Комисията за защита на личните данни е сезирана с жалба</w:t>
      </w:r>
      <w:r w:rsidR="00176B14" w:rsidRPr="007404FA">
        <w:rPr>
          <w:rFonts w:ascii="Times New Roman" w:hAnsi="Times New Roman" w:cs="Times New Roman"/>
          <w:b/>
          <w:sz w:val="24"/>
          <w:szCs w:val="24"/>
        </w:rPr>
        <w:t>,</w:t>
      </w:r>
      <w:r w:rsidRPr="007404FA">
        <w:rPr>
          <w:rFonts w:ascii="Times New Roman" w:hAnsi="Times New Roman" w:cs="Times New Roman"/>
          <w:b/>
          <w:sz w:val="24"/>
          <w:szCs w:val="24"/>
        </w:rPr>
        <w:t xml:space="preserve"> подадена срещу кредитна институция</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банка, с изложени твърдения за неправомерно обработване на личните</w:t>
      </w:r>
      <w:r w:rsidR="00157B49">
        <w:rPr>
          <w:rFonts w:ascii="Times New Roman" w:hAnsi="Times New Roman" w:cs="Times New Roman"/>
          <w:sz w:val="24"/>
          <w:szCs w:val="24"/>
        </w:rPr>
        <w:t xml:space="preserve"> </w:t>
      </w:r>
      <w:r w:rsidRPr="007404FA">
        <w:rPr>
          <w:rFonts w:ascii="Times New Roman" w:hAnsi="Times New Roman" w:cs="Times New Roman"/>
          <w:sz w:val="24"/>
          <w:szCs w:val="24"/>
        </w:rPr>
        <w:t xml:space="preserve">данни на жалбоподателя </w:t>
      </w:r>
      <w:r w:rsidR="00D34602">
        <w:rPr>
          <w:rFonts w:ascii="Times New Roman" w:hAnsi="Times New Roman" w:cs="Times New Roman"/>
          <w:sz w:val="24"/>
          <w:szCs w:val="24"/>
        </w:rPr>
        <w:t>за целите на директен маркетинг</w:t>
      </w:r>
      <w:r w:rsidRPr="007404FA">
        <w:rPr>
          <w:rFonts w:ascii="Times New Roman" w:hAnsi="Times New Roman" w:cs="Times New Roman"/>
          <w:sz w:val="24"/>
          <w:szCs w:val="24"/>
        </w:rPr>
        <w:t xml:space="preserve"> след прекратени договорни отношения.</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Няма спор по фактите. Жалбоподателят е бил клиент на банката по-малко от два месеца, в периода 17.09.2021</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до 05.11.2021</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По негова иници</w:t>
      </w:r>
      <w:r w:rsidR="00D34602">
        <w:rPr>
          <w:rFonts w:ascii="Times New Roman" w:hAnsi="Times New Roman" w:cs="Times New Roman"/>
          <w:sz w:val="24"/>
          <w:szCs w:val="24"/>
        </w:rPr>
        <w:t>атива между страните</w:t>
      </w:r>
      <w:r w:rsidRPr="007404FA">
        <w:rPr>
          <w:rFonts w:ascii="Times New Roman" w:hAnsi="Times New Roman" w:cs="Times New Roman"/>
          <w:sz w:val="24"/>
          <w:szCs w:val="24"/>
        </w:rPr>
        <w:t xml:space="preserve"> на 17.09.2021</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е сключен договор за разкриване на разплащателна сметка в банката. Лицето доброволно е предоставило личните си данни за целите на договора, в това число електронен адрес</w:t>
      </w:r>
      <w:r w:rsidR="00D34602" w:rsidRPr="007404FA">
        <w:rPr>
          <w:rFonts w:ascii="Times New Roman" w:hAnsi="Times New Roman" w:cs="Times New Roman"/>
          <w:sz w:val="24"/>
          <w:szCs w:val="24"/>
        </w:rPr>
        <w:t>, посочен</w:t>
      </w:r>
      <w:r w:rsidRPr="007404FA">
        <w:rPr>
          <w:rFonts w:ascii="Times New Roman" w:hAnsi="Times New Roman" w:cs="Times New Roman"/>
          <w:sz w:val="24"/>
          <w:szCs w:val="24"/>
        </w:rPr>
        <w:t xml:space="preserve"> в попълнен от жалбоподателя въпросник за идентификация на клиент физическо лице при откриване на сметката. На 05.11.2021</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сметката е закрита по инициатива на жалбоподателя и след тази дата същият не е клиент на банката. Отправено от жалбоподателя до банката заявление за изтриване на лични данни от дата 05.11.2021</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е оставено без уважение, като в отговор на заявлението администраторът информира </w:t>
      </w:r>
      <w:r w:rsidRPr="007404FA">
        <w:rPr>
          <w:rFonts w:ascii="Times New Roman" w:hAnsi="Times New Roman" w:cs="Times New Roman"/>
          <w:sz w:val="24"/>
          <w:szCs w:val="24"/>
        </w:rPr>
        <w:lastRenderedPageBreak/>
        <w:t>жалбоподателя, че данните му „ще бъдат обработвани за ограничени цели в изпълнение на законовите изисквания“ с уточнението, че банката е възприела като общ срок за обработване</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съхранение на лични данни на клиентите си</w:t>
      </w:r>
      <w:r w:rsidR="00D34602">
        <w:rPr>
          <w:rFonts w:ascii="Times New Roman" w:hAnsi="Times New Roman" w:cs="Times New Roman"/>
          <w:sz w:val="24"/>
          <w:szCs w:val="24"/>
        </w:rPr>
        <w:t>,</w:t>
      </w:r>
      <w:r w:rsidRPr="007404FA">
        <w:rPr>
          <w:rFonts w:ascii="Times New Roman" w:hAnsi="Times New Roman" w:cs="Times New Roman"/>
          <w:sz w:val="24"/>
          <w:szCs w:val="24"/>
        </w:rPr>
        <w:t xml:space="preserve"> 10 години, считано от дата</w:t>
      </w:r>
      <w:r w:rsidR="00DE0D11" w:rsidRPr="007404FA">
        <w:rPr>
          <w:rFonts w:ascii="Times New Roman" w:hAnsi="Times New Roman" w:cs="Times New Roman"/>
          <w:sz w:val="24"/>
          <w:szCs w:val="24"/>
        </w:rPr>
        <w:t>та</w:t>
      </w:r>
      <w:r w:rsidRPr="007404FA">
        <w:rPr>
          <w:rFonts w:ascii="Times New Roman" w:hAnsi="Times New Roman" w:cs="Times New Roman"/>
          <w:sz w:val="24"/>
          <w:szCs w:val="24"/>
        </w:rPr>
        <w:t xml:space="preserve"> на прекратяване на отношенията с банката. В отговора изрично е посочено, че „за оставащия период от време банката ще ограничи обработването на личните данни само за посочената цел и на посоченото правно основание“.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Безспорно установено е обаче, че на 06.12.2021</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месец след прекратяване на взаимоотношенията между страните, закриване на банковата сметка и след като жалбоподателят вече не е клиент на банката, дружеството е обработило личните му данни </w:t>
      </w:r>
      <w:r w:rsidR="00D34602">
        <w:rPr>
          <w:rFonts w:ascii="Times New Roman" w:hAnsi="Times New Roman" w:cs="Times New Roman"/>
          <w:sz w:val="24"/>
          <w:szCs w:val="24"/>
        </w:rPr>
        <w:t>за целите на директен маркетинг</w:t>
      </w:r>
      <w:r w:rsidRPr="007404FA">
        <w:rPr>
          <w:rFonts w:ascii="Times New Roman" w:hAnsi="Times New Roman" w:cs="Times New Roman"/>
          <w:sz w:val="24"/>
          <w:szCs w:val="24"/>
        </w:rPr>
        <w:t xml:space="preserve"> въпреки отговора до лицето </w:t>
      </w:r>
      <w:r w:rsidR="00D34602">
        <w:rPr>
          <w:rFonts w:ascii="Times New Roman" w:hAnsi="Times New Roman" w:cs="Times New Roman"/>
          <w:sz w:val="24"/>
          <w:szCs w:val="24"/>
        </w:rPr>
        <w:t>о</w:t>
      </w:r>
      <w:r w:rsidRPr="007404FA">
        <w:rPr>
          <w:rFonts w:ascii="Times New Roman" w:hAnsi="Times New Roman" w:cs="Times New Roman"/>
          <w:sz w:val="24"/>
          <w:szCs w:val="24"/>
        </w:rPr>
        <w:t>т 19.11.2021</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че обработването на личните му данни ще бъде ограничено. До жалбоподателя н</w:t>
      </w:r>
      <w:r w:rsidR="00D34602">
        <w:rPr>
          <w:rFonts w:ascii="Times New Roman" w:hAnsi="Times New Roman" w:cs="Times New Roman"/>
          <w:sz w:val="24"/>
          <w:szCs w:val="24"/>
        </w:rPr>
        <w:t>а посочения от него имейл адрес</w:t>
      </w:r>
      <w:r w:rsidRPr="007404FA">
        <w:rPr>
          <w:rFonts w:ascii="Times New Roman" w:hAnsi="Times New Roman" w:cs="Times New Roman"/>
          <w:sz w:val="24"/>
          <w:szCs w:val="24"/>
        </w:rPr>
        <w:t xml:space="preserve"> е изпратено предложение за потребителски кредит</w:t>
      </w:r>
      <w:r w:rsidR="00D34602">
        <w:rPr>
          <w:rFonts w:ascii="Times New Roman" w:hAnsi="Times New Roman" w:cs="Times New Roman"/>
          <w:sz w:val="24"/>
          <w:szCs w:val="24"/>
        </w:rPr>
        <w:t>,</w:t>
      </w:r>
      <w:r w:rsidRPr="007404FA">
        <w:rPr>
          <w:rFonts w:ascii="Times New Roman" w:hAnsi="Times New Roman" w:cs="Times New Roman"/>
          <w:sz w:val="24"/>
          <w:szCs w:val="24"/>
        </w:rPr>
        <w:t xml:space="preserve"> предлаган от дружеството „изцяло дигитално“.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Съобщението е персонифицирано и</w:t>
      </w:r>
      <w:r w:rsidR="00D34602">
        <w:rPr>
          <w:rFonts w:ascii="Times New Roman" w:hAnsi="Times New Roman" w:cs="Times New Roman"/>
          <w:sz w:val="24"/>
          <w:szCs w:val="24"/>
        </w:rPr>
        <w:t>,</w:t>
      </w:r>
      <w:r w:rsidRPr="007404FA">
        <w:rPr>
          <w:rFonts w:ascii="Times New Roman" w:hAnsi="Times New Roman" w:cs="Times New Roman"/>
          <w:sz w:val="24"/>
          <w:szCs w:val="24"/>
        </w:rPr>
        <w:t xml:space="preserve"> видно от съдържанието му, има характера на директен маркетинг</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предлагане на стоки и услуги, в конкретния случай предлагани от банката кредитни услуги. Съобщението е част от кампания на банката</w:t>
      </w:r>
      <w:r w:rsidR="00D34602">
        <w:rPr>
          <w:rFonts w:ascii="Times New Roman" w:hAnsi="Times New Roman" w:cs="Times New Roman"/>
          <w:sz w:val="24"/>
          <w:szCs w:val="24"/>
        </w:rPr>
        <w:t>,</w:t>
      </w:r>
      <w:r w:rsidRPr="007404FA">
        <w:rPr>
          <w:rFonts w:ascii="Times New Roman" w:hAnsi="Times New Roman" w:cs="Times New Roman"/>
          <w:sz w:val="24"/>
          <w:szCs w:val="24"/>
        </w:rPr>
        <w:t xml:space="preserve"> проведена за периода 02.12.2021</w:t>
      </w:r>
      <w:r w:rsidR="00D34602">
        <w:rPr>
          <w:rFonts w:ascii="Times New Roman" w:hAnsi="Times New Roman" w:cs="Times New Roman"/>
          <w:sz w:val="24"/>
          <w:szCs w:val="24"/>
        </w:rPr>
        <w:t> –</w:t>
      </w:r>
      <w:r w:rsidR="00F06583" w:rsidRPr="007404FA">
        <w:rPr>
          <w:rFonts w:ascii="Times New Roman" w:hAnsi="Times New Roman" w:cs="Times New Roman"/>
          <w:sz w:val="24"/>
          <w:szCs w:val="24"/>
        </w:rPr>
        <w:t xml:space="preserve"> </w:t>
      </w:r>
      <w:r w:rsidRPr="007404FA">
        <w:rPr>
          <w:rFonts w:ascii="Times New Roman" w:hAnsi="Times New Roman" w:cs="Times New Roman"/>
          <w:sz w:val="24"/>
          <w:szCs w:val="24"/>
        </w:rPr>
        <w:t>10.12.2021</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с включени по данни на ответника 107 636 клиенти, при изрично определение от банката условия, едно от които </w:t>
      </w:r>
      <w:r w:rsidR="00D34602">
        <w:rPr>
          <w:rFonts w:ascii="Times New Roman" w:hAnsi="Times New Roman" w:cs="Times New Roman"/>
          <w:sz w:val="24"/>
          <w:szCs w:val="24"/>
        </w:rPr>
        <w:t xml:space="preserve">е </w:t>
      </w:r>
      <w:r w:rsidRPr="007404FA">
        <w:rPr>
          <w:rFonts w:ascii="Times New Roman" w:hAnsi="Times New Roman" w:cs="Times New Roman"/>
          <w:sz w:val="24"/>
          <w:szCs w:val="24"/>
        </w:rPr>
        <w:t>адресатите на съобщенията да са клиенти на банката. Въпреки</w:t>
      </w:r>
      <w:r w:rsidR="00D34602">
        <w:rPr>
          <w:rFonts w:ascii="Times New Roman" w:hAnsi="Times New Roman" w:cs="Times New Roman"/>
          <w:sz w:val="24"/>
          <w:szCs w:val="24"/>
        </w:rPr>
        <w:t xml:space="preserve"> въведените от банката критерии</w:t>
      </w:r>
      <w:r w:rsidRPr="007404FA">
        <w:rPr>
          <w:rFonts w:ascii="Times New Roman" w:hAnsi="Times New Roman" w:cs="Times New Roman"/>
          <w:sz w:val="24"/>
          <w:szCs w:val="24"/>
        </w:rPr>
        <w:t xml:space="preserve"> към дата</w:t>
      </w:r>
      <w:r w:rsidR="00D34602">
        <w:rPr>
          <w:rFonts w:ascii="Times New Roman" w:hAnsi="Times New Roman" w:cs="Times New Roman"/>
          <w:sz w:val="24"/>
          <w:szCs w:val="24"/>
        </w:rPr>
        <w:t>та</w:t>
      </w:r>
      <w:r w:rsidRPr="007404FA">
        <w:rPr>
          <w:rFonts w:ascii="Times New Roman" w:hAnsi="Times New Roman" w:cs="Times New Roman"/>
          <w:sz w:val="24"/>
          <w:szCs w:val="24"/>
        </w:rPr>
        <w:t xml:space="preserve"> на изпращане </w:t>
      </w:r>
      <w:r w:rsidR="00D34602">
        <w:rPr>
          <w:rFonts w:ascii="Times New Roman" w:hAnsi="Times New Roman" w:cs="Times New Roman"/>
          <w:sz w:val="24"/>
          <w:szCs w:val="24"/>
        </w:rPr>
        <w:t>на съобщението до жалбоподателя</w:t>
      </w:r>
      <w:r w:rsidRPr="007404FA">
        <w:rPr>
          <w:rFonts w:ascii="Times New Roman" w:hAnsi="Times New Roman" w:cs="Times New Roman"/>
          <w:sz w:val="24"/>
          <w:szCs w:val="24"/>
        </w:rPr>
        <w:t xml:space="preserve"> той не е клиент на банката, рес</w:t>
      </w:r>
      <w:r w:rsidR="00D34602">
        <w:rPr>
          <w:rFonts w:ascii="Times New Roman" w:hAnsi="Times New Roman" w:cs="Times New Roman"/>
          <w:sz w:val="24"/>
          <w:szCs w:val="24"/>
        </w:rPr>
        <w:t>пективно не следва да е адресат</w:t>
      </w:r>
      <w:r w:rsidRPr="007404FA">
        <w:rPr>
          <w:rFonts w:ascii="Times New Roman" w:hAnsi="Times New Roman" w:cs="Times New Roman"/>
          <w:sz w:val="24"/>
          <w:szCs w:val="24"/>
        </w:rPr>
        <w:t xml:space="preserve"> на предложението, обстоятелство</w:t>
      </w:r>
      <w:r w:rsidR="00D34602">
        <w:rPr>
          <w:rFonts w:ascii="Times New Roman" w:hAnsi="Times New Roman" w:cs="Times New Roman"/>
          <w:sz w:val="24"/>
          <w:szCs w:val="24"/>
        </w:rPr>
        <w:t>,</w:t>
      </w:r>
      <w:r w:rsidRPr="007404FA">
        <w:rPr>
          <w:rFonts w:ascii="Times New Roman" w:hAnsi="Times New Roman" w:cs="Times New Roman"/>
          <w:sz w:val="24"/>
          <w:szCs w:val="24"/>
        </w:rPr>
        <w:t xml:space="preserve"> което се потвърждава и от банката в становище до КЗЛД при направени вътрешна проверка.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Комисията приема, че към дата</w:t>
      </w:r>
      <w:r w:rsidR="00DE0D11" w:rsidRPr="007404FA">
        <w:rPr>
          <w:rFonts w:ascii="Times New Roman" w:hAnsi="Times New Roman" w:cs="Times New Roman"/>
          <w:sz w:val="24"/>
          <w:szCs w:val="24"/>
        </w:rPr>
        <w:t>та</w:t>
      </w:r>
      <w:r w:rsidRPr="007404FA">
        <w:rPr>
          <w:rFonts w:ascii="Times New Roman" w:hAnsi="Times New Roman" w:cs="Times New Roman"/>
          <w:sz w:val="24"/>
          <w:szCs w:val="24"/>
        </w:rPr>
        <w:t xml:space="preserve"> на обработване на данните за банката липсва основание за обработване на личните му данни за целите на конкретната кампания, още повече че лицето не отговаря на изрично зададените от банката критерии. Обработването на личните данни на жалбоподателя за конкретната цел не се извършва в съответствие с ОРЗД. Причина за последното са въвед</w:t>
      </w:r>
      <w:r w:rsidR="00D34602">
        <w:rPr>
          <w:rFonts w:ascii="Times New Roman" w:hAnsi="Times New Roman" w:cs="Times New Roman"/>
          <w:sz w:val="24"/>
          <w:szCs w:val="24"/>
        </w:rPr>
        <w:t>ен</w:t>
      </w:r>
      <w:r w:rsidRPr="007404FA">
        <w:rPr>
          <w:rFonts w:ascii="Times New Roman" w:hAnsi="Times New Roman" w:cs="Times New Roman"/>
          <w:sz w:val="24"/>
          <w:szCs w:val="24"/>
        </w:rPr>
        <w:t>и от банката технически и организационни мерки</w:t>
      </w:r>
      <w:r w:rsidR="00D34602">
        <w:rPr>
          <w:rFonts w:ascii="Times New Roman" w:hAnsi="Times New Roman" w:cs="Times New Roman"/>
          <w:sz w:val="24"/>
          <w:szCs w:val="24"/>
        </w:rPr>
        <w:t> –</w:t>
      </w:r>
      <w:r w:rsidR="00F06583" w:rsidRPr="007404FA">
        <w:rPr>
          <w:rFonts w:ascii="Times New Roman" w:hAnsi="Times New Roman" w:cs="Times New Roman"/>
          <w:sz w:val="24"/>
          <w:szCs w:val="24"/>
        </w:rPr>
        <w:t xml:space="preserve"> </w:t>
      </w:r>
      <w:r w:rsidRPr="007404FA">
        <w:rPr>
          <w:rFonts w:ascii="Times New Roman" w:hAnsi="Times New Roman" w:cs="Times New Roman"/>
          <w:sz w:val="24"/>
          <w:szCs w:val="24"/>
        </w:rPr>
        <w:t>приложен допълнителен контролен механизъм, който променя по</w:t>
      </w:r>
      <w:r w:rsidR="00D34602">
        <w:rPr>
          <w:rFonts w:ascii="Times New Roman" w:hAnsi="Times New Roman" w:cs="Times New Roman"/>
          <w:sz w:val="24"/>
          <w:szCs w:val="24"/>
        </w:rPr>
        <w:t>-</w:t>
      </w:r>
      <w:r w:rsidRPr="007404FA">
        <w:rPr>
          <w:rFonts w:ascii="Times New Roman" w:hAnsi="Times New Roman" w:cs="Times New Roman"/>
          <w:sz w:val="24"/>
          <w:szCs w:val="24"/>
        </w:rPr>
        <w:t>късно статусите на клиентите, закрили сметките си необичайно бързо след извършване на няколко трансакции по тях, а именно за тези от тях, които са били в отношения с банката за период</w:t>
      </w:r>
      <w:r w:rsidR="00D34602">
        <w:rPr>
          <w:rFonts w:ascii="Times New Roman" w:hAnsi="Times New Roman" w:cs="Times New Roman"/>
          <w:sz w:val="24"/>
          <w:szCs w:val="24"/>
        </w:rPr>
        <w:t>,</w:t>
      </w:r>
      <w:r w:rsidRPr="007404FA">
        <w:rPr>
          <w:rFonts w:ascii="Times New Roman" w:hAnsi="Times New Roman" w:cs="Times New Roman"/>
          <w:sz w:val="24"/>
          <w:szCs w:val="24"/>
        </w:rPr>
        <w:t xml:space="preserve"> по-кратък от три месеца. Този механизъм, който по мнение на банката е въведен и свързан с евентуална необходимост от последващ мониторинг на клиентското поведение непосредствено след закриването на сметките </w:t>
      </w:r>
      <w:r w:rsidR="00D34602">
        <w:rPr>
          <w:rFonts w:ascii="Times New Roman" w:hAnsi="Times New Roman" w:cs="Times New Roman"/>
          <w:sz w:val="24"/>
          <w:szCs w:val="24"/>
        </w:rPr>
        <w:t>и прекратяването на отношенията</w:t>
      </w:r>
      <w:r w:rsidRPr="007404FA">
        <w:rPr>
          <w:rFonts w:ascii="Times New Roman" w:hAnsi="Times New Roman" w:cs="Times New Roman"/>
          <w:sz w:val="24"/>
          <w:szCs w:val="24"/>
        </w:rPr>
        <w:t xml:space="preserve"> с цел подпомагане за изпълнението на задълженията на банката по противодействие изпирането на пари, обаче от гледна точна на ОРЗД се явява неподходяща мярка по отношение на </w:t>
      </w:r>
      <w:r w:rsidRPr="007404FA">
        <w:rPr>
          <w:rFonts w:ascii="Times New Roman" w:hAnsi="Times New Roman" w:cs="Times New Roman"/>
          <w:sz w:val="24"/>
          <w:szCs w:val="24"/>
        </w:rPr>
        <w:lastRenderedPageBreak/>
        <w:t>обработването на лични данни на лица</w:t>
      </w:r>
      <w:r w:rsidR="00D34602">
        <w:rPr>
          <w:rFonts w:ascii="Times New Roman" w:hAnsi="Times New Roman" w:cs="Times New Roman"/>
          <w:sz w:val="24"/>
          <w:szCs w:val="24"/>
        </w:rPr>
        <w:t>,</w:t>
      </w:r>
      <w:r w:rsidRPr="007404FA">
        <w:rPr>
          <w:rFonts w:ascii="Times New Roman" w:hAnsi="Times New Roman" w:cs="Times New Roman"/>
          <w:sz w:val="24"/>
          <w:szCs w:val="24"/>
        </w:rPr>
        <w:t xml:space="preserve"> които не са клиенти на банката</w:t>
      </w:r>
      <w:r w:rsidR="00D34602">
        <w:rPr>
          <w:rFonts w:ascii="Times New Roman" w:hAnsi="Times New Roman" w:cs="Times New Roman"/>
          <w:sz w:val="24"/>
          <w:szCs w:val="24"/>
        </w:rPr>
        <w:t>,</w:t>
      </w:r>
      <w:r w:rsidRPr="007404FA">
        <w:rPr>
          <w:rFonts w:ascii="Times New Roman" w:hAnsi="Times New Roman" w:cs="Times New Roman"/>
          <w:sz w:val="24"/>
          <w:szCs w:val="24"/>
        </w:rPr>
        <w:t xml:space="preserve"> без значение от продължителността на договорните им отношения с банката. Поради въведената функционалност</w:t>
      </w:r>
      <w:r w:rsidR="00D34602">
        <w:rPr>
          <w:rFonts w:ascii="Times New Roman" w:hAnsi="Times New Roman" w:cs="Times New Roman"/>
          <w:sz w:val="24"/>
          <w:szCs w:val="24"/>
        </w:rPr>
        <w:t>,</w:t>
      </w:r>
      <w:r w:rsidRPr="007404FA">
        <w:rPr>
          <w:rFonts w:ascii="Times New Roman" w:hAnsi="Times New Roman" w:cs="Times New Roman"/>
          <w:sz w:val="24"/>
          <w:szCs w:val="24"/>
        </w:rPr>
        <w:t xml:space="preserve"> в резултат на която статусът на клиента не е променен от „активен“ на „неактивен“ повече от месец след прекратяване на правоотношенията с банката</w:t>
      </w:r>
      <w:r w:rsidR="00D34602">
        <w:rPr>
          <w:rFonts w:ascii="Times New Roman" w:hAnsi="Times New Roman" w:cs="Times New Roman"/>
          <w:sz w:val="24"/>
          <w:szCs w:val="24"/>
        </w:rPr>
        <w:t>,</w:t>
      </w:r>
      <w:r w:rsidRPr="007404FA">
        <w:rPr>
          <w:rFonts w:ascii="Times New Roman" w:hAnsi="Times New Roman" w:cs="Times New Roman"/>
          <w:sz w:val="24"/>
          <w:szCs w:val="24"/>
        </w:rPr>
        <w:t xml:space="preserve"> личните му данни са обработени от дружеството за целите на директния маркетинг в нарушение на ОРЗД.</w:t>
      </w:r>
      <w:r w:rsidR="00157B49">
        <w:rPr>
          <w:rFonts w:ascii="Times New Roman" w:hAnsi="Times New Roman" w:cs="Times New Roman"/>
          <w:sz w:val="24"/>
          <w:szCs w:val="24"/>
        </w:rPr>
        <w:t xml:space="preserve">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Комисията приема, че въведените от администратора мерки не са подходящи и в състояние да гарантират и да докажат, че обработването се извършва в съответствие </w:t>
      </w:r>
      <w:r w:rsidR="00D34602">
        <w:rPr>
          <w:rFonts w:ascii="Times New Roman" w:hAnsi="Times New Roman" w:cs="Times New Roman"/>
          <w:sz w:val="24"/>
          <w:szCs w:val="24"/>
        </w:rPr>
        <w:t>с</w:t>
      </w:r>
      <w:r w:rsidRPr="007404FA">
        <w:rPr>
          <w:rFonts w:ascii="Times New Roman" w:hAnsi="Times New Roman" w:cs="Times New Roman"/>
          <w:sz w:val="24"/>
          <w:szCs w:val="24"/>
        </w:rPr>
        <w:t xml:space="preserve"> ОРЗД, каквото е задължението на администратора по смисъла на</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24 от ОРЗД. Дори напротив, именно в резултат на мерките е допуснато констатираното и от банката</w:t>
      </w:r>
      <w:r w:rsidR="00157B49">
        <w:rPr>
          <w:rFonts w:ascii="Times New Roman" w:hAnsi="Times New Roman" w:cs="Times New Roman"/>
          <w:sz w:val="24"/>
          <w:szCs w:val="24"/>
        </w:rPr>
        <w:t xml:space="preserve"> </w:t>
      </w:r>
      <w:r w:rsidRPr="007404FA">
        <w:rPr>
          <w:rFonts w:ascii="Times New Roman" w:hAnsi="Times New Roman" w:cs="Times New Roman"/>
          <w:sz w:val="24"/>
          <w:szCs w:val="24"/>
        </w:rPr>
        <w:t>нарушение</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допуснат</w:t>
      </w:r>
      <w:r w:rsidR="00E84514" w:rsidRPr="007404FA">
        <w:rPr>
          <w:rFonts w:ascii="Times New Roman" w:hAnsi="Times New Roman" w:cs="Times New Roman"/>
          <w:sz w:val="24"/>
          <w:szCs w:val="24"/>
        </w:rPr>
        <w:t>а</w:t>
      </w:r>
      <w:r w:rsidRPr="007404FA">
        <w:rPr>
          <w:rFonts w:ascii="Times New Roman" w:hAnsi="Times New Roman" w:cs="Times New Roman"/>
          <w:sz w:val="24"/>
          <w:szCs w:val="24"/>
        </w:rPr>
        <w:t xml:space="preserve"> грешка при изпращане на съобщението, респективно обработване на личните данни на жалбоподателя за целите на директния маркетинг, без той д</w:t>
      </w:r>
      <w:r w:rsidR="00D34602">
        <w:rPr>
          <w:rFonts w:ascii="Times New Roman" w:hAnsi="Times New Roman" w:cs="Times New Roman"/>
          <w:sz w:val="24"/>
          <w:szCs w:val="24"/>
        </w:rPr>
        <w:t>а е клиент на банката и адресат</w:t>
      </w:r>
      <w:r w:rsidRPr="007404FA">
        <w:rPr>
          <w:rFonts w:ascii="Times New Roman" w:hAnsi="Times New Roman" w:cs="Times New Roman"/>
          <w:sz w:val="24"/>
          <w:szCs w:val="24"/>
        </w:rPr>
        <w:t xml:space="preserve"> на кампанията.</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След сезиране на КЗЛД със случая мерките са преразгледани и актуализирани и към 12.10.2022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са предприети стъпки за имплементиране на технологичното решение, чрез което статусът на клиентите, прекратили отношенията си с </w:t>
      </w:r>
      <w:r w:rsidR="00D34602">
        <w:rPr>
          <w:rFonts w:ascii="Times New Roman" w:hAnsi="Times New Roman" w:cs="Times New Roman"/>
          <w:sz w:val="24"/>
          <w:szCs w:val="24"/>
        </w:rPr>
        <w:t>б</w:t>
      </w:r>
      <w:r w:rsidRPr="007404FA">
        <w:rPr>
          <w:rFonts w:ascii="Times New Roman" w:hAnsi="Times New Roman" w:cs="Times New Roman"/>
          <w:sz w:val="24"/>
          <w:szCs w:val="24"/>
        </w:rPr>
        <w:t>анката, да се маркира от „активен</w:t>
      </w:r>
      <w:r w:rsidR="00D34602">
        <w:rPr>
          <w:rFonts w:ascii="Times New Roman" w:hAnsi="Times New Roman" w:cs="Times New Roman"/>
          <w:sz w:val="24"/>
          <w:szCs w:val="24"/>
        </w:rPr>
        <w:t>“</w:t>
      </w:r>
      <w:r w:rsidRPr="007404FA">
        <w:rPr>
          <w:rFonts w:ascii="Times New Roman" w:hAnsi="Times New Roman" w:cs="Times New Roman"/>
          <w:sz w:val="24"/>
          <w:szCs w:val="24"/>
        </w:rPr>
        <w:t xml:space="preserve"> на „неактивен“ незабавно след закриване на сметка в дружеството, независимо колко дълго дадено лице е продължило да бъде клиент на </w:t>
      </w:r>
      <w:r w:rsidR="00D34602">
        <w:rPr>
          <w:rFonts w:ascii="Times New Roman" w:hAnsi="Times New Roman" w:cs="Times New Roman"/>
          <w:sz w:val="24"/>
          <w:szCs w:val="24"/>
        </w:rPr>
        <w:t>б</w:t>
      </w:r>
      <w:r w:rsidRPr="007404FA">
        <w:rPr>
          <w:rFonts w:ascii="Times New Roman" w:hAnsi="Times New Roman" w:cs="Times New Roman"/>
          <w:sz w:val="24"/>
          <w:szCs w:val="24"/>
        </w:rPr>
        <w:t xml:space="preserve">анката.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Издадено е официално предупреждение по</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 xml:space="preserve">58, </w:t>
      </w:r>
      <w:r w:rsidR="00D34602">
        <w:rPr>
          <w:rFonts w:ascii="Times New Roman" w:hAnsi="Times New Roman" w:cs="Times New Roman"/>
          <w:sz w:val="24"/>
          <w:szCs w:val="24"/>
        </w:rPr>
        <w:t>§</w:t>
      </w:r>
      <w:r w:rsidRPr="007404FA">
        <w:rPr>
          <w:rFonts w:ascii="Times New Roman" w:hAnsi="Times New Roman" w:cs="Times New Roman"/>
          <w:sz w:val="24"/>
          <w:szCs w:val="24"/>
        </w:rPr>
        <w:t>2, буква „б“ от ОРЗД на администратора.</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Решението не е обжалвано и е влязло в законна сила. </w:t>
      </w:r>
    </w:p>
    <w:p w:rsidR="001F2700" w:rsidRPr="007404FA" w:rsidRDefault="001F2700" w:rsidP="00DB6B05">
      <w:pPr>
        <w:spacing w:line="360" w:lineRule="auto"/>
        <w:ind w:firstLine="709"/>
        <w:jc w:val="both"/>
        <w:rPr>
          <w:rFonts w:ascii="Times New Roman" w:hAnsi="Times New Roman" w:cs="Times New Roman"/>
          <w:sz w:val="24"/>
          <w:szCs w:val="24"/>
        </w:rPr>
      </w:pP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b/>
          <w:sz w:val="24"/>
          <w:szCs w:val="24"/>
        </w:rPr>
        <w:t>3.3. Комисията е сезирана с три жалби, подадени от различни физически лица, срещу един и същ администратор на лични данни</w:t>
      </w:r>
      <w:r w:rsidR="00553661" w:rsidRPr="007404FA">
        <w:rPr>
          <w:rFonts w:ascii="Times New Roman" w:hAnsi="Times New Roman" w:cs="Times New Roman"/>
          <w:b/>
          <w:sz w:val="24"/>
          <w:szCs w:val="24"/>
        </w:rPr>
        <w:t xml:space="preserve"> – </w:t>
      </w:r>
      <w:r w:rsidRPr="007404FA">
        <w:rPr>
          <w:rFonts w:ascii="Times New Roman" w:hAnsi="Times New Roman" w:cs="Times New Roman"/>
          <w:b/>
          <w:sz w:val="24"/>
          <w:szCs w:val="24"/>
        </w:rPr>
        <w:t>политическа партия</w:t>
      </w:r>
      <w:r w:rsidRPr="007404FA">
        <w:rPr>
          <w:rFonts w:ascii="Times New Roman" w:hAnsi="Times New Roman" w:cs="Times New Roman"/>
          <w:sz w:val="24"/>
          <w:szCs w:val="24"/>
        </w:rPr>
        <w:t>, с изложени идентични твърдения</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неправомерно обработване на личните данни на жалбоподателите чрез включването им в списък на лицата, подкрепящи регистрацията на политическия субект за участие в проведените на 04.04.2021</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избори за народни представители. Жалбите са обединени за разглеждането в едно об</w:t>
      </w:r>
      <w:r w:rsidR="00D34602">
        <w:rPr>
          <w:rFonts w:ascii="Times New Roman" w:hAnsi="Times New Roman" w:cs="Times New Roman"/>
          <w:sz w:val="24"/>
          <w:szCs w:val="24"/>
        </w:rPr>
        <w:t>що административно производство</w:t>
      </w:r>
      <w:r w:rsidRPr="007404FA">
        <w:rPr>
          <w:rFonts w:ascii="Times New Roman" w:hAnsi="Times New Roman" w:cs="Times New Roman"/>
          <w:sz w:val="24"/>
          <w:szCs w:val="24"/>
        </w:rPr>
        <w:t xml:space="preserve"> с оглед обстоятелството, че правата и задълженията на страните произтичат от еднакво фактическо състояние, подадени са срещу едно и също лице и са от компетентността на един и същ административен орган</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КЗЛД.</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С оглед застъпените в административния процес принципи на ра</w:t>
      </w:r>
      <w:r w:rsidR="00D34602">
        <w:rPr>
          <w:rFonts w:ascii="Times New Roman" w:hAnsi="Times New Roman" w:cs="Times New Roman"/>
          <w:sz w:val="24"/>
          <w:szCs w:val="24"/>
        </w:rPr>
        <w:t>венство на страните и истинност</w:t>
      </w:r>
      <w:r w:rsidRPr="007404FA">
        <w:rPr>
          <w:rFonts w:ascii="Times New Roman" w:hAnsi="Times New Roman" w:cs="Times New Roman"/>
          <w:sz w:val="24"/>
          <w:szCs w:val="24"/>
        </w:rPr>
        <w:t xml:space="preserve"> политическата партия е информирана за подадените жалби, указана ѝ е възможността да ангажира писмено становище по изложените в жалбите твърдения. Изискани са относими по случая доказателства за законосъобразно обработване на личните </w:t>
      </w:r>
      <w:r w:rsidRPr="007404FA">
        <w:rPr>
          <w:rFonts w:ascii="Times New Roman" w:hAnsi="Times New Roman" w:cs="Times New Roman"/>
          <w:sz w:val="24"/>
          <w:szCs w:val="24"/>
        </w:rPr>
        <w:lastRenderedPageBreak/>
        <w:t>данни на жалбоподателите, заверено к</w:t>
      </w:r>
      <w:r w:rsidR="00D34602">
        <w:rPr>
          <w:rFonts w:ascii="Times New Roman" w:hAnsi="Times New Roman" w:cs="Times New Roman"/>
          <w:sz w:val="24"/>
          <w:szCs w:val="24"/>
        </w:rPr>
        <w:t>опие на вътрешни правила и/или п</w:t>
      </w:r>
      <w:r w:rsidRPr="007404FA">
        <w:rPr>
          <w:rFonts w:ascii="Times New Roman" w:hAnsi="Times New Roman" w:cs="Times New Roman"/>
          <w:sz w:val="24"/>
          <w:szCs w:val="24"/>
        </w:rPr>
        <w:t xml:space="preserve">олитика за защита на личните данни относно обработването на лични данни от политическа партия в изборния процес, предприети технически и организационни мерки за защита на личните данни, инструкция, заповед или друг акт за обучение на представителите на партията за събиране на лични данни в изборния процес, а също и информация и резултати от извършените по случая вътрешни проверки, ако такива са възложени.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Липсва активно участие на политическия субект в производството, изисканите доказателства не са представени. В хода на производството</w:t>
      </w:r>
      <w:r w:rsidR="00D34602">
        <w:rPr>
          <w:rFonts w:ascii="Times New Roman" w:hAnsi="Times New Roman" w:cs="Times New Roman"/>
          <w:sz w:val="24"/>
          <w:szCs w:val="24"/>
        </w:rPr>
        <w:t xml:space="preserve"> е изразено лаконично становище</w:t>
      </w:r>
      <w:r w:rsidRPr="007404FA">
        <w:rPr>
          <w:rFonts w:ascii="Times New Roman" w:hAnsi="Times New Roman" w:cs="Times New Roman"/>
          <w:sz w:val="24"/>
          <w:szCs w:val="24"/>
        </w:rPr>
        <w:t xml:space="preserve"> без приложени доказателства, в което се посочва, че списъците с лица</w:t>
      </w:r>
      <w:r w:rsidR="00D34602">
        <w:rPr>
          <w:rFonts w:ascii="Times New Roman" w:hAnsi="Times New Roman" w:cs="Times New Roman"/>
          <w:sz w:val="24"/>
          <w:szCs w:val="24"/>
        </w:rPr>
        <w:t>,</w:t>
      </w:r>
      <w:r w:rsidRPr="007404FA">
        <w:rPr>
          <w:rFonts w:ascii="Times New Roman" w:hAnsi="Times New Roman" w:cs="Times New Roman"/>
          <w:sz w:val="24"/>
          <w:szCs w:val="24"/>
        </w:rPr>
        <w:t xml:space="preserve"> подкрепящи регистрацията на партията в изборния процес</w:t>
      </w:r>
      <w:r w:rsidR="00D34602">
        <w:rPr>
          <w:rFonts w:ascii="Times New Roman" w:hAnsi="Times New Roman" w:cs="Times New Roman"/>
          <w:sz w:val="24"/>
          <w:szCs w:val="24"/>
        </w:rPr>
        <w:t>,</w:t>
      </w:r>
      <w:r w:rsidRPr="007404FA">
        <w:rPr>
          <w:rFonts w:ascii="Times New Roman" w:hAnsi="Times New Roman" w:cs="Times New Roman"/>
          <w:sz w:val="24"/>
          <w:szCs w:val="24"/>
        </w:rPr>
        <w:t xml:space="preserve"> се събират и обработват от членове на партията без нарочното им упълномощаване за целта. Уточнено е, че след като данните са предадени в ЦИК</w:t>
      </w:r>
      <w:r w:rsidR="00D34602">
        <w:rPr>
          <w:rFonts w:ascii="Times New Roman" w:hAnsi="Times New Roman" w:cs="Times New Roman"/>
          <w:sz w:val="24"/>
          <w:szCs w:val="24"/>
        </w:rPr>
        <w:t>,</w:t>
      </w:r>
      <w:r w:rsidRPr="007404FA">
        <w:rPr>
          <w:rFonts w:ascii="Times New Roman" w:hAnsi="Times New Roman" w:cs="Times New Roman"/>
          <w:sz w:val="24"/>
          <w:szCs w:val="24"/>
        </w:rPr>
        <w:t xml:space="preserve"> „са унищожени на шредер и компютър“. Твърди се, че партията е обучила всичките си членове за обработване на лични данни и същите са запознати с ОРЗД.</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С оглед изясняване на случая от правна и фактическа страна е допуснато извършването на почеркови експертизи на подписите</w:t>
      </w:r>
      <w:r w:rsidR="00D34602">
        <w:rPr>
          <w:rFonts w:ascii="Times New Roman" w:hAnsi="Times New Roman" w:cs="Times New Roman"/>
          <w:sz w:val="24"/>
          <w:szCs w:val="24"/>
        </w:rPr>
        <w:t>,</w:t>
      </w:r>
      <w:r w:rsidRPr="007404FA">
        <w:rPr>
          <w:rFonts w:ascii="Times New Roman" w:hAnsi="Times New Roman" w:cs="Times New Roman"/>
          <w:sz w:val="24"/>
          <w:szCs w:val="24"/>
        </w:rPr>
        <w:t xml:space="preserve"> положени в представения в ЦИК списък на избирателите, подкрепящи регистрацията на политическата партия </w:t>
      </w:r>
      <w:r w:rsidR="00D34602">
        <w:rPr>
          <w:rFonts w:ascii="Times New Roman" w:hAnsi="Times New Roman" w:cs="Times New Roman"/>
          <w:sz w:val="24"/>
          <w:szCs w:val="24"/>
        </w:rPr>
        <w:t xml:space="preserve">за </w:t>
      </w:r>
      <w:r w:rsidRPr="007404FA">
        <w:rPr>
          <w:rFonts w:ascii="Times New Roman" w:hAnsi="Times New Roman" w:cs="Times New Roman"/>
          <w:sz w:val="24"/>
          <w:szCs w:val="24"/>
        </w:rPr>
        <w:t>участие в проведените на 04.04.2021</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избори за народни представители. Жалбоподателите са предоставили сравнителен материал за изследване. Изготвени са графически експертизи от НИК-МВР със заключения, че подписите</w:t>
      </w:r>
      <w:r w:rsidR="00D34602">
        <w:rPr>
          <w:rFonts w:ascii="Times New Roman" w:hAnsi="Times New Roman" w:cs="Times New Roman"/>
          <w:sz w:val="24"/>
          <w:szCs w:val="24"/>
        </w:rPr>
        <w:t>,</w:t>
      </w:r>
      <w:r w:rsidRPr="007404FA">
        <w:rPr>
          <w:rFonts w:ascii="Times New Roman" w:hAnsi="Times New Roman" w:cs="Times New Roman"/>
          <w:sz w:val="24"/>
          <w:szCs w:val="24"/>
        </w:rPr>
        <w:t xml:space="preserve"> обект на експертизите</w:t>
      </w:r>
      <w:r w:rsidR="00D34602">
        <w:rPr>
          <w:rFonts w:ascii="Times New Roman" w:hAnsi="Times New Roman" w:cs="Times New Roman"/>
          <w:sz w:val="24"/>
          <w:szCs w:val="24"/>
        </w:rPr>
        <w:t>,</w:t>
      </w:r>
      <w:r w:rsidRPr="007404FA">
        <w:rPr>
          <w:rFonts w:ascii="Times New Roman" w:hAnsi="Times New Roman" w:cs="Times New Roman"/>
          <w:sz w:val="24"/>
          <w:szCs w:val="24"/>
        </w:rPr>
        <w:t xml:space="preserve"> не са положени от жалбоподателите. Експертизите не са оспорени.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Въз основа на събран</w:t>
      </w:r>
      <w:r w:rsidR="00ED225F">
        <w:rPr>
          <w:rFonts w:ascii="Times New Roman" w:hAnsi="Times New Roman" w:cs="Times New Roman"/>
          <w:sz w:val="24"/>
          <w:szCs w:val="24"/>
        </w:rPr>
        <w:t>ите по преписката доказателства К</w:t>
      </w:r>
      <w:r w:rsidRPr="007404FA">
        <w:rPr>
          <w:rFonts w:ascii="Times New Roman" w:hAnsi="Times New Roman" w:cs="Times New Roman"/>
          <w:sz w:val="24"/>
          <w:szCs w:val="24"/>
        </w:rPr>
        <w:t>омисията приема</w:t>
      </w:r>
      <w:r w:rsidR="004A6473" w:rsidRPr="007404FA">
        <w:rPr>
          <w:rFonts w:ascii="Times New Roman" w:hAnsi="Times New Roman" w:cs="Times New Roman"/>
          <w:sz w:val="24"/>
          <w:szCs w:val="24"/>
        </w:rPr>
        <w:t>, че</w:t>
      </w:r>
      <w:r w:rsidR="00157B49">
        <w:rPr>
          <w:rFonts w:ascii="Times New Roman" w:hAnsi="Times New Roman" w:cs="Times New Roman"/>
          <w:sz w:val="24"/>
          <w:szCs w:val="24"/>
        </w:rPr>
        <w:t xml:space="preserve"> </w:t>
      </w:r>
      <w:r w:rsidR="00ED225F">
        <w:rPr>
          <w:rFonts w:ascii="Times New Roman" w:hAnsi="Times New Roman" w:cs="Times New Roman"/>
          <w:sz w:val="24"/>
          <w:szCs w:val="24"/>
        </w:rPr>
        <w:t>твърденията на жалбоподателите</w:t>
      </w:r>
      <w:r w:rsidRPr="007404FA">
        <w:rPr>
          <w:rFonts w:ascii="Times New Roman" w:hAnsi="Times New Roman" w:cs="Times New Roman"/>
          <w:sz w:val="24"/>
          <w:szCs w:val="24"/>
        </w:rPr>
        <w:t xml:space="preserve"> за незаконосъобразно обработване </w:t>
      </w:r>
      <w:r w:rsidR="00ED225F">
        <w:rPr>
          <w:rFonts w:ascii="Times New Roman" w:hAnsi="Times New Roman" w:cs="Times New Roman"/>
          <w:sz w:val="24"/>
          <w:szCs w:val="24"/>
        </w:rPr>
        <w:t>на</w:t>
      </w:r>
      <w:r w:rsidRPr="007404FA">
        <w:rPr>
          <w:rFonts w:ascii="Times New Roman" w:hAnsi="Times New Roman" w:cs="Times New Roman"/>
          <w:sz w:val="24"/>
          <w:szCs w:val="24"/>
        </w:rPr>
        <w:t xml:space="preserve"> данни</w:t>
      </w:r>
      <w:r w:rsidR="00ED225F">
        <w:rPr>
          <w:rFonts w:ascii="Times New Roman" w:hAnsi="Times New Roman" w:cs="Times New Roman"/>
          <w:sz w:val="24"/>
          <w:szCs w:val="24"/>
        </w:rPr>
        <w:t>те им</w:t>
      </w:r>
      <w:r w:rsidRPr="007404FA">
        <w:rPr>
          <w:rFonts w:ascii="Times New Roman" w:hAnsi="Times New Roman" w:cs="Times New Roman"/>
          <w:sz w:val="24"/>
          <w:szCs w:val="24"/>
        </w:rPr>
        <w:t xml:space="preserve"> от политическата партия за регистрацията на политическия субект за участие в проведените на 04.04.2021</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избори са основателни. Заключенията на приетите по административното производство експертизи, че подписите</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 обект на експертизите</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 не са положени от жалбоподателите, свидетелстват, че обработването на личните данни на жалбоподателите е извършено без тяхно съгласие</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 xml:space="preserve">конкретно и информирано волеизявление по смисъла на </w:t>
      </w:r>
      <w:r w:rsidR="00ED225F">
        <w:rPr>
          <w:rFonts w:ascii="Times New Roman" w:hAnsi="Times New Roman" w:cs="Times New Roman"/>
          <w:sz w:val="24"/>
          <w:szCs w:val="24"/>
        </w:rPr>
        <w:t>ч</w:t>
      </w:r>
      <w:r w:rsidRPr="007404FA">
        <w:rPr>
          <w:rFonts w:ascii="Times New Roman" w:hAnsi="Times New Roman" w:cs="Times New Roman"/>
          <w:sz w:val="24"/>
          <w:szCs w:val="24"/>
        </w:rPr>
        <w:t xml:space="preserve">л. 4, </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11 от Регламента.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В конкретния случай не е налице и нито едно от останалите условия</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 посочени</w:t>
      </w:r>
      <w:r w:rsidR="00F06583" w:rsidRPr="007404FA">
        <w:rPr>
          <w:rFonts w:ascii="Times New Roman" w:hAnsi="Times New Roman" w:cs="Times New Roman"/>
          <w:sz w:val="24"/>
          <w:szCs w:val="24"/>
        </w:rPr>
        <w:t xml:space="preserve"> </w:t>
      </w:r>
      <w:r w:rsidR="00ED225F">
        <w:rPr>
          <w:rFonts w:ascii="Times New Roman" w:hAnsi="Times New Roman" w:cs="Times New Roman"/>
          <w:sz w:val="24"/>
          <w:szCs w:val="24"/>
        </w:rPr>
        <w:t xml:space="preserve">в </w:t>
      </w:r>
      <w:r w:rsidR="00F06583" w:rsidRPr="007404FA">
        <w:rPr>
          <w:rFonts w:ascii="Times New Roman" w:hAnsi="Times New Roman" w:cs="Times New Roman"/>
          <w:sz w:val="24"/>
          <w:szCs w:val="24"/>
        </w:rPr>
        <w:t>чл. </w:t>
      </w:r>
      <w:r w:rsidRPr="007404FA">
        <w:rPr>
          <w:rFonts w:ascii="Times New Roman" w:hAnsi="Times New Roman" w:cs="Times New Roman"/>
          <w:sz w:val="24"/>
          <w:szCs w:val="24"/>
        </w:rPr>
        <w:t xml:space="preserve">6, </w:t>
      </w:r>
      <w:r w:rsidR="00ED225F">
        <w:rPr>
          <w:rFonts w:ascii="Times New Roman" w:hAnsi="Times New Roman" w:cs="Times New Roman"/>
          <w:sz w:val="24"/>
          <w:szCs w:val="24"/>
        </w:rPr>
        <w:t>§</w:t>
      </w:r>
      <w:r w:rsidRPr="007404FA">
        <w:rPr>
          <w:rFonts w:ascii="Times New Roman" w:hAnsi="Times New Roman" w:cs="Times New Roman"/>
          <w:sz w:val="24"/>
          <w:szCs w:val="24"/>
        </w:rPr>
        <w:t>1 от Регламента, като доказателства в обратен смисъл не са ангажирани, нито пък такива се твърдят от ответната страна. Въпреки предоставената на ответната страна правна възможност и указанията</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 свързани с разпределяне на доказателствената тежест в процеса, администраторът не е ангажирал доказателства за наличието на условие за законосъобразност на обработване на лични данни на жалбоподателите за конкретната цел. </w:t>
      </w:r>
      <w:r w:rsidRPr="007404FA">
        <w:rPr>
          <w:rFonts w:ascii="Times New Roman" w:hAnsi="Times New Roman" w:cs="Times New Roman"/>
          <w:sz w:val="24"/>
          <w:szCs w:val="24"/>
        </w:rPr>
        <w:lastRenderedPageBreak/>
        <w:t>Липсват доказателствата, които да обосноват приложимостта на</w:t>
      </w:r>
      <w:r w:rsidR="00157B49">
        <w:rPr>
          <w:rFonts w:ascii="Times New Roman" w:hAnsi="Times New Roman" w:cs="Times New Roman"/>
          <w:sz w:val="24"/>
          <w:szCs w:val="24"/>
        </w:rPr>
        <w:t xml:space="preserve"> </w:t>
      </w:r>
      <w:r w:rsidR="00F06583" w:rsidRPr="007404FA">
        <w:rPr>
          <w:rFonts w:ascii="Times New Roman" w:hAnsi="Times New Roman" w:cs="Times New Roman"/>
          <w:sz w:val="24"/>
          <w:szCs w:val="24"/>
        </w:rPr>
        <w:t>чл. </w:t>
      </w:r>
      <w:r w:rsidRPr="007404FA">
        <w:rPr>
          <w:rFonts w:ascii="Times New Roman" w:hAnsi="Times New Roman" w:cs="Times New Roman"/>
          <w:sz w:val="24"/>
          <w:szCs w:val="24"/>
        </w:rPr>
        <w:t xml:space="preserve">6, </w:t>
      </w:r>
      <w:r w:rsidR="00ED225F">
        <w:rPr>
          <w:rFonts w:ascii="Times New Roman" w:hAnsi="Times New Roman" w:cs="Times New Roman"/>
          <w:sz w:val="24"/>
          <w:szCs w:val="24"/>
        </w:rPr>
        <w:t>§</w:t>
      </w:r>
      <w:r w:rsidRPr="007404FA">
        <w:rPr>
          <w:rFonts w:ascii="Times New Roman" w:hAnsi="Times New Roman" w:cs="Times New Roman"/>
          <w:sz w:val="24"/>
          <w:szCs w:val="24"/>
        </w:rPr>
        <w:t>1, буква „б“ от ОРЗД</w:t>
      </w:r>
      <w:r w:rsidR="00ED225F">
        <w:rPr>
          <w:rFonts w:ascii="Times New Roman" w:hAnsi="Times New Roman" w:cs="Times New Roman"/>
          <w:sz w:val="24"/>
          <w:szCs w:val="24"/>
        </w:rPr>
        <w:t> –</w:t>
      </w:r>
      <w:r w:rsidR="00F06583" w:rsidRPr="007404FA">
        <w:rPr>
          <w:rFonts w:ascii="Times New Roman" w:hAnsi="Times New Roman" w:cs="Times New Roman"/>
          <w:sz w:val="24"/>
          <w:szCs w:val="24"/>
        </w:rPr>
        <w:t xml:space="preserve"> </w:t>
      </w:r>
      <w:r w:rsidRPr="007404FA">
        <w:rPr>
          <w:rFonts w:ascii="Times New Roman" w:hAnsi="Times New Roman" w:cs="Times New Roman"/>
          <w:sz w:val="24"/>
          <w:szCs w:val="24"/>
        </w:rPr>
        <w:t>наличие на сключен между страните договор</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 за изпълнението на който да е необходимо обработване на лични данни на жалбоподателите от страна на политическата партия или за предприемане на стъпки по искане на субекта на данни преди сключване на договора. Основанията по</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 xml:space="preserve">6, </w:t>
      </w:r>
      <w:r w:rsidR="00ED225F">
        <w:rPr>
          <w:rFonts w:ascii="Times New Roman" w:hAnsi="Times New Roman" w:cs="Times New Roman"/>
          <w:sz w:val="24"/>
          <w:szCs w:val="24"/>
        </w:rPr>
        <w:t>§</w:t>
      </w:r>
      <w:r w:rsidRPr="007404FA">
        <w:rPr>
          <w:rFonts w:ascii="Times New Roman" w:hAnsi="Times New Roman" w:cs="Times New Roman"/>
          <w:sz w:val="24"/>
          <w:szCs w:val="24"/>
        </w:rPr>
        <w:t>1, буква „г“ и „д“ от ОРЗД са неотносими</w:t>
      </w:r>
      <w:r w:rsidR="00ED225F">
        <w:rPr>
          <w:rFonts w:ascii="Times New Roman" w:hAnsi="Times New Roman" w:cs="Times New Roman"/>
          <w:sz w:val="24"/>
          <w:szCs w:val="24"/>
        </w:rPr>
        <w:t> –</w:t>
      </w:r>
      <w:r w:rsidR="00F06583" w:rsidRPr="007404FA">
        <w:rPr>
          <w:rFonts w:ascii="Times New Roman" w:hAnsi="Times New Roman" w:cs="Times New Roman"/>
          <w:sz w:val="24"/>
          <w:szCs w:val="24"/>
        </w:rPr>
        <w:t xml:space="preserve"> </w:t>
      </w:r>
      <w:r w:rsidRPr="007404FA">
        <w:rPr>
          <w:rFonts w:ascii="Times New Roman" w:hAnsi="Times New Roman" w:cs="Times New Roman"/>
          <w:sz w:val="24"/>
          <w:szCs w:val="24"/>
        </w:rPr>
        <w:t>приложими са в други, различни и несъвместими с настоящата, хипотези</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 касаещи обработване на лични данни за защита на жизненоважни интереси</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 свързани с живота и здравето на субекта на данни, изпълнение на задача от обществен интерес, както и при упражняването на официални правомощия, каквито не с</w:t>
      </w:r>
      <w:r w:rsidR="00ED225F">
        <w:rPr>
          <w:rFonts w:ascii="Times New Roman" w:hAnsi="Times New Roman" w:cs="Times New Roman"/>
          <w:sz w:val="24"/>
          <w:szCs w:val="24"/>
        </w:rPr>
        <w:t>а</w:t>
      </w:r>
      <w:r w:rsidRPr="007404FA">
        <w:rPr>
          <w:rFonts w:ascii="Times New Roman" w:hAnsi="Times New Roman" w:cs="Times New Roman"/>
          <w:sz w:val="24"/>
          <w:szCs w:val="24"/>
        </w:rPr>
        <w:t xml:space="preserve"> делегирани на политическите партии.</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Неприложима е хипотезата на</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 xml:space="preserve">6, </w:t>
      </w:r>
      <w:r w:rsidR="00ED225F">
        <w:rPr>
          <w:rFonts w:ascii="Times New Roman" w:hAnsi="Times New Roman" w:cs="Times New Roman"/>
          <w:sz w:val="24"/>
          <w:szCs w:val="24"/>
        </w:rPr>
        <w:t>§</w:t>
      </w:r>
      <w:r w:rsidRPr="007404FA">
        <w:rPr>
          <w:rFonts w:ascii="Times New Roman" w:hAnsi="Times New Roman" w:cs="Times New Roman"/>
          <w:sz w:val="24"/>
          <w:szCs w:val="24"/>
        </w:rPr>
        <w:t>1, буква „е“ от Регламента</w:t>
      </w:r>
      <w:r w:rsidR="00ED225F">
        <w:rPr>
          <w:rFonts w:ascii="Times New Roman" w:hAnsi="Times New Roman" w:cs="Times New Roman"/>
          <w:sz w:val="24"/>
          <w:szCs w:val="24"/>
        </w:rPr>
        <w:t> –</w:t>
      </w:r>
      <w:r w:rsidR="00F06583" w:rsidRPr="007404FA">
        <w:rPr>
          <w:rFonts w:ascii="Times New Roman" w:hAnsi="Times New Roman" w:cs="Times New Roman"/>
          <w:sz w:val="24"/>
          <w:szCs w:val="24"/>
        </w:rPr>
        <w:t xml:space="preserve"> </w:t>
      </w:r>
      <w:r w:rsidRPr="007404FA">
        <w:rPr>
          <w:rFonts w:ascii="Times New Roman" w:hAnsi="Times New Roman" w:cs="Times New Roman"/>
          <w:sz w:val="24"/>
          <w:szCs w:val="24"/>
        </w:rPr>
        <w:t>интересите на администратора не са преимуществен пред интереса на засегнатото физическо лице, чиито данни са включени в представения в ЦИК списък без негово съгласие, като е безспорно, че последният е приоритетен пред интереса на политическия субект за участие в изборите. Законово задължение за обработване от страна на администратора също липсва, доколкото участието на политическите партии в изборния процес е една правна възможност, при реализирането на която следва да бъдат съобразени нормативно установените правила, в частност тези в сферата на защита на личните данни съгласно нормата на</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133,</w:t>
      </w:r>
      <w:r w:rsidR="00F06583" w:rsidRPr="007404FA">
        <w:rPr>
          <w:rFonts w:ascii="Times New Roman" w:hAnsi="Times New Roman" w:cs="Times New Roman"/>
          <w:sz w:val="24"/>
          <w:szCs w:val="24"/>
        </w:rPr>
        <w:t xml:space="preserve"> ал. </w:t>
      </w:r>
      <w:r w:rsidRPr="007404FA">
        <w:rPr>
          <w:rFonts w:ascii="Times New Roman" w:hAnsi="Times New Roman" w:cs="Times New Roman"/>
          <w:sz w:val="24"/>
          <w:szCs w:val="24"/>
        </w:rPr>
        <w:t xml:space="preserve">4 от </w:t>
      </w:r>
      <w:r w:rsidR="00D55B68" w:rsidRPr="007404FA">
        <w:rPr>
          <w:rFonts w:ascii="Times New Roman" w:hAnsi="Times New Roman" w:cs="Times New Roman"/>
          <w:sz w:val="24"/>
          <w:szCs w:val="24"/>
        </w:rPr>
        <w:t>Изборния кодекс</w:t>
      </w:r>
      <w:r w:rsidRPr="007404FA">
        <w:rPr>
          <w:rFonts w:ascii="Times New Roman" w:hAnsi="Times New Roman" w:cs="Times New Roman"/>
          <w:sz w:val="24"/>
          <w:szCs w:val="24"/>
        </w:rPr>
        <w:t xml:space="preserve">.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Обработването на лични данни в изборния процес е допустимо и строго регламентирано. В Изборния кодекс се съдържат конкретни правила по отношение обработването на лични данни в изборния процес по отношение целите на обработване, категориите лични данни и др. В тази връзка и макар данните на жалбоподателя да са обработени в законоустановена процедура, то изпълнението на нормативно установеното задължение, респективно реализиране на законните интереси на администратора на лични данни, в случая политическата партия</w:t>
      </w:r>
      <w:r w:rsidR="00ED225F">
        <w:rPr>
          <w:rFonts w:ascii="Times New Roman" w:hAnsi="Times New Roman" w:cs="Times New Roman"/>
          <w:sz w:val="24"/>
          <w:szCs w:val="24"/>
        </w:rPr>
        <w:t>, възникват само ако лицето, чии</w:t>
      </w:r>
      <w:r w:rsidRPr="007404FA">
        <w:rPr>
          <w:rFonts w:ascii="Times New Roman" w:hAnsi="Times New Roman" w:cs="Times New Roman"/>
          <w:sz w:val="24"/>
          <w:szCs w:val="24"/>
        </w:rPr>
        <w:t>то лични данни фигурират в списъка на гласоподавателите</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 подкрепящи регистрацията на партията за участие в изборите, е дало съгласието си за тази подкрепа. Когато обаче последната предпоставка не е налице, съответният политически субект не може да си служи с личните данни на лицето, за да реализира законните си интереси по участие в изборния процес. В тази насока са и приети</w:t>
      </w:r>
      <w:r w:rsidR="00ED225F">
        <w:rPr>
          <w:rFonts w:ascii="Times New Roman" w:hAnsi="Times New Roman" w:cs="Times New Roman"/>
          <w:sz w:val="24"/>
          <w:szCs w:val="24"/>
        </w:rPr>
        <w:t>те</w:t>
      </w:r>
      <w:r w:rsidRPr="007404FA">
        <w:rPr>
          <w:rFonts w:ascii="Times New Roman" w:hAnsi="Times New Roman" w:cs="Times New Roman"/>
          <w:sz w:val="24"/>
          <w:szCs w:val="24"/>
        </w:rPr>
        <w:t xml:space="preserve"> от ЦИК и КЗЛД съвместни указания относно обработването и защитата на личните данни в изборния процес. В документа, публикуван на 12.02.2021</w:t>
      </w:r>
      <w:r w:rsidR="00F06583" w:rsidRPr="007404FA">
        <w:rPr>
          <w:rFonts w:ascii="Times New Roman" w:hAnsi="Times New Roman" w:cs="Times New Roman"/>
          <w:sz w:val="24"/>
          <w:szCs w:val="24"/>
        </w:rPr>
        <w:t> г.</w:t>
      </w:r>
      <w:r w:rsidR="00ED225F">
        <w:rPr>
          <w:rFonts w:ascii="Times New Roman" w:hAnsi="Times New Roman" w:cs="Times New Roman"/>
          <w:sz w:val="24"/>
          <w:szCs w:val="24"/>
        </w:rPr>
        <w:t>, достъпен и на сайта на КЗЛД</w:t>
      </w:r>
      <w:r w:rsidRPr="007404FA">
        <w:rPr>
          <w:rFonts w:ascii="Times New Roman" w:hAnsi="Times New Roman" w:cs="Times New Roman"/>
          <w:sz w:val="24"/>
          <w:szCs w:val="24"/>
        </w:rPr>
        <w:t xml:space="preserve"> на адрес </w:t>
      </w:r>
      <w:r w:rsidRPr="00ED225F">
        <w:rPr>
          <w:rFonts w:ascii="Times New Roman" w:hAnsi="Times New Roman" w:cs="Times New Roman"/>
          <w:i/>
          <w:sz w:val="24"/>
          <w:szCs w:val="24"/>
        </w:rPr>
        <w:t>https://www.cpdp.bg/?p=element&amp;aid=1199</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 са дадени подробни разяснения относно правна</w:t>
      </w:r>
      <w:r w:rsidR="00ED225F">
        <w:rPr>
          <w:rFonts w:ascii="Times New Roman" w:hAnsi="Times New Roman" w:cs="Times New Roman"/>
          <w:sz w:val="24"/>
          <w:szCs w:val="24"/>
        </w:rPr>
        <w:t>та</w:t>
      </w:r>
      <w:r w:rsidRPr="007404FA">
        <w:rPr>
          <w:rFonts w:ascii="Times New Roman" w:hAnsi="Times New Roman" w:cs="Times New Roman"/>
          <w:sz w:val="24"/>
          <w:szCs w:val="24"/>
        </w:rPr>
        <w:t xml:space="preserve"> рамка за защита на личните данни, както и относно правата и задълженията на всички участници в изборния процес</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 xml:space="preserve">политически партии, коалиции от партии, инициативни комитети, кандидати, представители, застъпници, </w:t>
      </w:r>
      <w:r w:rsidRPr="007404FA">
        <w:rPr>
          <w:rFonts w:ascii="Times New Roman" w:hAnsi="Times New Roman" w:cs="Times New Roman"/>
          <w:sz w:val="24"/>
          <w:szCs w:val="24"/>
        </w:rPr>
        <w:lastRenderedPageBreak/>
        <w:t>наблюдатели, представители на средствата за масово осведомяване и избирателни комисии</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 в различните видове избори. Указанията имат за цел да улеснят участниците в изборния процес и да предотвратят допускането на нарушения.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По изложените съображения и събраните по преписката доказателства се налага извод</w:t>
      </w:r>
      <w:r w:rsidR="00ED225F">
        <w:rPr>
          <w:rFonts w:ascii="Times New Roman" w:hAnsi="Times New Roman" w:cs="Times New Roman"/>
          <w:sz w:val="24"/>
          <w:szCs w:val="24"/>
        </w:rPr>
        <w:t>ът</w:t>
      </w:r>
      <w:r w:rsidRPr="007404FA">
        <w:rPr>
          <w:rFonts w:ascii="Times New Roman" w:hAnsi="Times New Roman" w:cs="Times New Roman"/>
          <w:sz w:val="24"/>
          <w:szCs w:val="24"/>
        </w:rPr>
        <w:t>, че личните данни на жалбоподателите са обработени, чрез включването им в предоставен в ЦИК списък на лицата, подкрепящи регистрацията на политическия субект за участие в изборите за народни представители</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 проведени в Република България на 04.04.2021</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в нарушение на</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 xml:space="preserve">6, </w:t>
      </w:r>
      <w:r w:rsidR="00ED225F">
        <w:rPr>
          <w:rFonts w:ascii="Times New Roman" w:hAnsi="Times New Roman" w:cs="Times New Roman"/>
          <w:sz w:val="24"/>
          <w:szCs w:val="24"/>
        </w:rPr>
        <w:t>§</w:t>
      </w:r>
      <w:r w:rsidRPr="007404FA">
        <w:rPr>
          <w:rFonts w:ascii="Times New Roman" w:hAnsi="Times New Roman" w:cs="Times New Roman"/>
          <w:sz w:val="24"/>
          <w:szCs w:val="24"/>
        </w:rPr>
        <w:t>1 от ОРЗД, без да е налице нито едно от посочените в разпоредбата условия, като са нарушени правата на лицето</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 сезирало КЗЛД.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ОРЗД и ЗЗЛД вменява в задължение на администратора да обработва лични данни з</w:t>
      </w:r>
      <w:r w:rsidR="00ED225F">
        <w:rPr>
          <w:rFonts w:ascii="Times New Roman" w:hAnsi="Times New Roman" w:cs="Times New Roman"/>
          <w:sz w:val="24"/>
          <w:szCs w:val="24"/>
        </w:rPr>
        <w:t>аконосъобразно, като не допуска</w:t>
      </w:r>
      <w:r w:rsidRPr="007404FA">
        <w:rPr>
          <w:rFonts w:ascii="Times New Roman" w:hAnsi="Times New Roman" w:cs="Times New Roman"/>
          <w:sz w:val="24"/>
          <w:szCs w:val="24"/>
        </w:rPr>
        <w:t xml:space="preserve"> с риск от носене на административн</w:t>
      </w:r>
      <w:r w:rsidR="00ED225F">
        <w:rPr>
          <w:rFonts w:ascii="Times New Roman" w:hAnsi="Times New Roman" w:cs="Times New Roman"/>
          <w:sz w:val="24"/>
          <w:szCs w:val="24"/>
        </w:rPr>
        <w:t>онаказателна отговорност</w:t>
      </w:r>
      <w:r w:rsidRPr="007404FA">
        <w:rPr>
          <w:rFonts w:ascii="Times New Roman" w:hAnsi="Times New Roman" w:cs="Times New Roman"/>
          <w:sz w:val="24"/>
          <w:szCs w:val="24"/>
        </w:rPr>
        <w:t xml:space="preserve"> злоупотреба с лични данни, още по-малко допуска възможността в списъците, попълвани пред лица от партията и ползвани от партията за участие в изборния процес, да се вписват чужди лични данни. В контекста на жалбите и изборния процес тази отговорност включва безспорно идентифициране на лицето</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 което вписва данните, като лицето</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 пред което същите са положени</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 удостоверява с подписа си, положен под списъка, че данните са вписани пред него и от лицето</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 за ко</w:t>
      </w:r>
      <w:r w:rsidR="00ED225F">
        <w:rPr>
          <w:rFonts w:ascii="Times New Roman" w:hAnsi="Times New Roman" w:cs="Times New Roman"/>
          <w:sz w:val="24"/>
          <w:szCs w:val="24"/>
        </w:rPr>
        <w:t>е</w:t>
      </w:r>
      <w:r w:rsidRPr="007404FA">
        <w:rPr>
          <w:rFonts w:ascii="Times New Roman" w:hAnsi="Times New Roman" w:cs="Times New Roman"/>
          <w:sz w:val="24"/>
          <w:szCs w:val="24"/>
        </w:rPr>
        <w:t>то се отнасят. Законово основание и механизъм за проверка верността на вписаните данни и самоличността на лицето не липсват. Допустими и незабранени от закона са например легитимация с документ за самоличност или друг документ със снимка на лицето и тр</w:t>
      </w:r>
      <w:r w:rsidR="00ED225F">
        <w:rPr>
          <w:rFonts w:ascii="Times New Roman" w:hAnsi="Times New Roman" w:cs="Times New Roman"/>
          <w:sz w:val="24"/>
          <w:szCs w:val="24"/>
        </w:rPr>
        <w:t>и имена, който да се предостави</w:t>
      </w:r>
      <w:r w:rsidRPr="007404FA">
        <w:rPr>
          <w:rFonts w:ascii="Times New Roman" w:hAnsi="Times New Roman" w:cs="Times New Roman"/>
          <w:sz w:val="24"/>
          <w:szCs w:val="24"/>
        </w:rPr>
        <w:t xml:space="preserve"> с</w:t>
      </w:r>
      <w:r w:rsidR="00ED225F">
        <w:rPr>
          <w:rFonts w:ascii="Times New Roman" w:hAnsi="Times New Roman" w:cs="Times New Roman"/>
          <w:sz w:val="24"/>
          <w:szCs w:val="24"/>
        </w:rPr>
        <w:t>амо за справка</w:t>
      </w:r>
      <w:r w:rsidRPr="007404FA">
        <w:rPr>
          <w:rFonts w:ascii="Times New Roman" w:hAnsi="Times New Roman" w:cs="Times New Roman"/>
          <w:sz w:val="24"/>
          <w:szCs w:val="24"/>
        </w:rPr>
        <w:t xml:space="preserve"> на лицето</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 пред което се полагат подписите, с оглед удостоверяване на самоличността на избирателя. Безспорно начините за проверка на самоличността на лицата следва да </w:t>
      </w:r>
      <w:r w:rsidR="00ED225F">
        <w:rPr>
          <w:rFonts w:ascii="Times New Roman" w:hAnsi="Times New Roman" w:cs="Times New Roman"/>
          <w:sz w:val="24"/>
          <w:szCs w:val="24"/>
        </w:rPr>
        <w:t>намерят израз в конкретни</w:t>
      </w:r>
      <w:r w:rsidRPr="007404FA">
        <w:rPr>
          <w:rFonts w:ascii="Times New Roman" w:hAnsi="Times New Roman" w:cs="Times New Roman"/>
          <w:sz w:val="24"/>
          <w:szCs w:val="24"/>
        </w:rPr>
        <w:t xml:space="preserve"> указания, заповед или друг акт на администра</w:t>
      </w:r>
      <w:r w:rsidR="00ED225F">
        <w:rPr>
          <w:rFonts w:ascii="Times New Roman" w:hAnsi="Times New Roman" w:cs="Times New Roman"/>
          <w:sz w:val="24"/>
          <w:szCs w:val="24"/>
        </w:rPr>
        <w:t>тора</w:t>
      </w:r>
      <w:r w:rsidRPr="007404FA">
        <w:rPr>
          <w:rFonts w:ascii="Times New Roman" w:hAnsi="Times New Roman" w:cs="Times New Roman"/>
          <w:sz w:val="24"/>
          <w:szCs w:val="24"/>
        </w:rPr>
        <w:t xml:space="preserve"> в израз на задължението му за въвеждане на организационни мерки по смисъла на</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24 от ОРЗД</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 като взема предвид естеството, обхвата, контекста и целите на обработването, както и рисковете с различна вероятност и тежест за правата и свободите на физическите лица, за да гарантира и да е в състояние да докаже, че обработването се извършва в съответс</w:t>
      </w:r>
      <w:r w:rsidR="00ED225F">
        <w:rPr>
          <w:rFonts w:ascii="Times New Roman" w:hAnsi="Times New Roman" w:cs="Times New Roman"/>
          <w:sz w:val="24"/>
          <w:szCs w:val="24"/>
        </w:rPr>
        <w:t>твие с ОРЗД. В конкретния случай</w:t>
      </w:r>
      <w:r w:rsidRPr="007404FA">
        <w:rPr>
          <w:rFonts w:ascii="Times New Roman" w:hAnsi="Times New Roman" w:cs="Times New Roman"/>
          <w:sz w:val="24"/>
          <w:szCs w:val="24"/>
        </w:rPr>
        <w:t xml:space="preserve"> следва да се приеме, че такива мерки, правила и контрол</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 касаещи събирането на лични данни и тяхната употреба в изборния процес</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 липсват</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 доколкото въпреки конкретно отп</w:t>
      </w:r>
      <w:r w:rsidR="00ED225F">
        <w:rPr>
          <w:rFonts w:ascii="Times New Roman" w:hAnsi="Times New Roman" w:cs="Times New Roman"/>
          <w:sz w:val="24"/>
          <w:szCs w:val="24"/>
        </w:rPr>
        <w:t>равено до администратора искане</w:t>
      </w:r>
      <w:r w:rsidRPr="007404FA">
        <w:rPr>
          <w:rFonts w:ascii="Times New Roman" w:hAnsi="Times New Roman" w:cs="Times New Roman"/>
          <w:sz w:val="24"/>
          <w:szCs w:val="24"/>
        </w:rPr>
        <w:t xml:space="preserve"> същия</w:t>
      </w:r>
      <w:r w:rsidR="00ED225F">
        <w:rPr>
          <w:rFonts w:ascii="Times New Roman" w:hAnsi="Times New Roman" w:cs="Times New Roman"/>
          <w:sz w:val="24"/>
          <w:szCs w:val="24"/>
        </w:rPr>
        <w:t>т</w:t>
      </w:r>
      <w:r w:rsidRPr="007404FA">
        <w:rPr>
          <w:rFonts w:ascii="Times New Roman" w:hAnsi="Times New Roman" w:cs="Times New Roman"/>
          <w:sz w:val="24"/>
          <w:szCs w:val="24"/>
        </w:rPr>
        <w:t xml:space="preserve"> не предоставя вътрешни правила и/или </w:t>
      </w:r>
      <w:r w:rsidR="00ED225F">
        <w:rPr>
          <w:rFonts w:ascii="Times New Roman" w:hAnsi="Times New Roman" w:cs="Times New Roman"/>
          <w:sz w:val="24"/>
          <w:szCs w:val="24"/>
        </w:rPr>
        <w:t>п</w:t>
      </w:r>
      <w:r w:rsidRPr="007404FA">
        <w:rPr>
          <w:rFonts w:ascii="Times New Roman" w:hAnsi="Times New Roman" w:cs="Times New Roman"/>
          <w:sz w:val="24"/>
          <w:szCs w:val="24"/>
        </w:rPr>
        <w:t>олитика за защита на личните данни относно обработването на лични данни от политическа партия в изборния процес, предприети технически и организационни мерки за защита на личните данни, инструкция, заповед или друг акт за обучение на представителите на партията за събиране на лични данни в изборния процес. С</w:t>
      </w:r>
      <w:r w:rsidR="00C073A9" w:rsidRPr="007404FA">
        <w:rPr>
          <w:rFonts w:ascii="Times New Roman" w:hAnsi="Times New Roman" w:cs="Times New Roman"/>
          <w:sz w:val="24"/>
          <w:szCs w:val="24"/>
        </w:rPr>
        <w:t>ъ</w:t>
      </w:r>
      <w:r w:rsidRPr="007404FA">
        <w:rPr>
          <w:rFonts w:ascii="Times New Roman" w:hAnsi="Times New Roman" w:cs="Times New Roman"/>
          <w:sz w:val="24"/>
          <w:szCs w:val="24"/>
        </w:rPr>
        <w:t xml:space="preserve">браните по преписката доказателства свидетелстват и за допуснато от администратора </w:t>
      </w:r>
      <w:r w:rsidRPr="007404FA">
        <w:rPr>
          <w:rFonts w:ascii="Times New Roman" w:hAnsi="Times New Roman" w:cs="Times New Roman"/>
          <w:sz w:val="24"/>
          <w:szCs w:val="24"/>
        </w:rPr>
        <w:lastRenderedPageBreak/>
        <w:t>нарушение на</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24 от ОРЗД, както и нарушение на „принципа на отчетност“ по</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 xml:space="preserve">5, </w:t>
      </w:r>
      <w:r w:rsidR="00ED225F">
        <w:rPr>
          <w:rFonts w:ascii="Times New Roman" w:hAnsi="Times New Roman" w:cs="Times New Roman"/>
          <w:sz w:val="24"/>
          <w:szCs w:val="24"/>
        </w:rPr>
        <w:t>§</w:t>
      </w:r>
      <w:r w:rsidRPr="007404FA">
        <w:rPr>
          <w:rFonts w:ascii="Times New Roman" w:hAnsi="Times New Roman" w:cs="Times New Roman"/>
          <w:sz w:val="24"/>
          <w:szCs w:val="24"/>
        </w:rPr>
        <w:t>2 от ОРЗД, доколкото администраторът не е в състояние да докаже обработване на личните данни в съответствие с принципите</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 посочени в ОРЗД, в условията на предприети от него мерки</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обучения, инструктажи, разписани вътрешни правила, заповеди и т.н. За контрол, предварителен и последващ, от страна на администратора също липсват доказателства, доколкото от политическата партия изрично са изискани, но не са предоставени информация и резултати от извършена по случая вътрешна проверка, нито пък информация</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 че такава е възложена, за да се установят причините, пропуските</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 довели до нарушението по</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 xml:space="preserve">6, </w:t>
      </w:r>
      <w:r w:rsidR="00ED225F">
        <w:rPr>
          <w:rFonts w:ascii="Times New Roman" w:hAnsi="Times New Roman" w:cs="Times New Roman"/>
          <w:sz w:val="24"/>
          <w:szCs w:val="24"/>
        </w:rPr>
        <w:t>§</w:t>
      </w:r>
      <w:r w:rsidRPr="007404FA">
        <w:rPr>
          <w:rFonts w:ascii="Times New Roman" w:hAnsi="Times New Roman" w:cs="Times New Roman"/>
          <w:sz w:val="24"/>
          <w:szCs w:val="24"/>
        </w:rPr>
        <w:t>1 от ОРЗД.</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Предвид констатираното нарушение на</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24 от ОРЗД и</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 xml:space="preserve">5, </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2 от ОРЗД на политическата партия </w:t>
      </w:r>
      <w:r w:rsidR="00ED225F">
        <w:rPr>
          <w:rFonts w:ascii="Times New Roman" w:hAnsi="Times New Roman" w:cs="Times New Roman"/>
          <w:sz w:val="24"/>
          <w:szCs w:val="24"/>
        </w:rPr>
        <w:t>е</w:t>
      </w:r>
      <w:r w:rsidRPr="007404FA">
        <w:rPr>
          <w:rFonts w:ascii="Times New Roman" w:hAnsi="Times New Roman" w:cs="Times New Roman"/>
          <w:sz w:val="24"/>
          <w:szCs w:val="24"/>
        </w:rPr>
        <w:t xml:space="preserve"> издадено разпореждане в срок от три месеца да предприеме технически и организационни мерки за защита на личните данни, в това число извършване на обучение, включително непосредствено преди всеки избор, на представителите на партията</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 участващи в процеса за събиране на лични данни в изборния процес; да представи </w:t>
      </w:r>
      <w:r w:rsidR="00ED225F">
        <w:rPr>
          <w:rFonts w:ascii="Times New Roman" w:hAnsi="Times New Roman" w:cs="Times New Roman"/>
          <w:sz w:val="24"/>
          <w:szCs w:val="24"/>
        </w:rPr>
        <w:t>п</w:t>
      </w:r>
      <w:r w:rsidRPr="007404FA">
        <w:rPr>
          <w:rFonts w:ascii="Times New Roman" w:hAnsi="Times New Roman" w:cs="Times New Roman"/>
          <w:sz w:val="24"/>
          <w:szCs w:val="24"/>
        </w:rPr>
        <w:t>олитика за защита на личните данни, съответстваща на регламента, в която следва да бъдат ясно разписани правилата за събиране и обработване на лични данни, включително в подписки за подкрепа на политическия субект за регистрация в изборния процес, както и при събиране на лични данни на лица, подкрепящи регистрацията на партията за участие в референдуми</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 и да въведе механизъм за текущ и последващ контрол и отчетност при обработването на личните данни.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За обработване на личните данни на жалбоподателите в нарушение на</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 xml:space="preserve">6, </w:t>
      </w:r>
      <w:r w:rsidR="00ED225F">
        <w:rPr>
          <w:rFonts w:ascii="Times New Roman" w:hAnsi="Times New Roman" w:cs="Times New Roman"/>
          <w:sz w:val="24"/>
          <w:szCs w:val="24"/>
        </w:rPr>
        <w:t>§</w:t>
      </w:r>
      <w:r w:rsidRPr="007404FA">
        <w:rPr>
          <w:rFonts w:ascii="Times New Roman" w:hAnsi="Times New Roman" w:cs="Times New Roman"/>
          <w:sz w:val="24"/>
          <w:szCs w:val="24"/>
        </w:rPr>
        <w:t>1 от Регламент ЕС 2016/679 е наложена имущ</w:t>
      </w:r>
      <w:r w:rsidR="00D06D21" w:rsidRPr="007404FA">
        <w:rPr>
          <w:rFonts w:ascii="Times New Roman" w:hAnsi="Times New Roman" w:cs="Times New Roman"/>
          <w:sz w:val="24"/>
          <w:szCs w:val="24"/>
        </w:rPr>
        <w:t>ествена санкция</w:t>
      </w:r>
      <w:r w:rsidR="00157B49">
        <w:rPr>
          <w:rFonts w:ascii="Times New Roman" w:hAnsi="Times New Roman" w:cs="Times New Roman"/>
          <w:sz w:val="24"/>
          <w:szCs w:val="24"/>
        </w:rPr>
        <w:t xml:space="preserve"> </w:t>
      </w:r>
      <w:r w:rsidR="00D06D21" w:rsidRPr="007404FA">
        <w:rPr>
          <w:rFonts w:ascii="Times New Roman" w:hAnsi="Times New Roman" w:cs="Times New Roman"/>
          <w:sz w:val="24"/>
          <w:szCs w:val="24"/>
        </w:rPr>
        <w:t>в размер на 25 </w:t>
      </w:r>
      <w:r w:rsidRPr="007404FA">
        <w:rPr>
          <w:rFonts w:ascii="Times New Roman" w:hAnsi="Times New Roman" w:cs="Times New Roman"/>
          <w:sz w:val="24"/>
          <w:szCs w:val="24"/>
        </w:rPr>
        <w:t>000</w:t>
      </w:r>
      <w:r w:rsidR="003742EB" w:rsidRPr="007404FA">
        <w:rPr>
          <w:rFonts w:ascii="Times New Roman" w:hAnsi="Times New Roman" w:cs="Times New Roman"/>
          <w:sz w:val="24"/>
          <w:szCs w:val="24"/>
        </w:rPr>
        <w:t> лв.</w:t>
      </w:r>
      <w:r w:rsidRPr="007404FA">
        <w:rPr>
          <w:rFonts w:ascii="Times New Roman" w:hAnsi="Times New Roman" w:cs="Times New Roman"/>
          <w:sz w:val="24"/>
          <w:szCs w:val="24"/>
        </w:rPr>
        <w:t xml:space="preserve">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Решението не е влязло в сила.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Сле</w:t>
      </w:r>
      <w:r w:rsidR="002C7DA5" w:rsidRPr="007404FA">
        <w:rPr>
          <w:rFonts w:ascii="Times New Roman" w:hAnsi="Times New Roman" w:cs="Times New Roman"/>
          <w:sz w:val="24"/>
          <w:szCs w:val="24"/>
        </w:rPr>
        <w:t>два да се отбележи, че на същия</w:t>
      </w:r>
      <w:r w:rsidRPr="007404FA">
        <w:rPr>
          <w:rFonts w:ascii="Times New Roman" w:hAnsi="Times New Roman" w:cs="Times New Roman"/>
          <w:sz w:val="24"/>
          <w:szCs w:val="24"/>
        </w:rPr>
        <w:t xml:space="preserve"> админ</w:t>
      </w:r>
      <w:r w:rsidR="00ED225F">
        <w:rPr>
          <w:rFonts w:ascii="Times New Roman" w:hAnsi="Times New Roman" w:cs="Times New Roman"/>
          <w:sz w:val="24"/>
          <w:szCs w:val="24"/>
        </w:rPr>
        <w:t>истратор</w:t>
      </w:r>
      <w:r w:rsidRPr="007404FA">
        <w:rPr>
          <w:rFonts w:ascii="Times New Roman" w:hAnsi="Times New Roman" w:cs="Times New Roman"/>
          <w:sz w:val="24"/>
          <w:szCs w:val="24"/>
        </w:rPr>
        <w:t xml:space="preserve"> </w:t>
      </w:r>
      <w:r w:rsidR="00490FAA" w:rsidRPr="007404FA">
        <w:rPr>
          <w:rFonts w:ascii="Times New Roman" w:hAnsi="Times New Roman" w:cs="Times New Roman"/>
          <w:sz w:val="24"/>
          <w:szCs w:val="24"/>
        </w:rPr>
        <w:t>за същото нарушение на</w:t>
      </w:r>
      <w:r w:rsidR="00F06583" w:rsidRPr="007404FA">
        <w:rPr>
          <w:rFonts w:ascii="Times New Roman" w:hAnsi="Times New Roman" w:cs="Times New Roman"/>
          <w:sz w:val="24"/>
          <w:szCs w:val="24"/>
        </w:rPr>
        <w:t xml:space="preserve"> чл. </w:t>
      </w:r>
      <w:r w:rsidR="00490FAA" w:rsidRPr="007404FA">
        <w:rPr>
          <w:rFonts w:ascii="Times New Roman" w:hAnsi="Times New Roman" w:cs="Times New Roman"/>
          <w:sz w:val="24"/>
          <w:szCs w:val="24"/>
        </w:rPr>
        <w:t xml:space="preserve">6, </w:t>
      </w:r>
      <w:r w:rsidR="00ED225F">
        <w:rPr>
          <w:rFonts w:ascii="Times New Roman" w:hAnsi="Times New Roman" w:cs="Times New Roman"/>
          <w:sz w:val="24"/>
          <w:szCs w:val="24"/>
        </w:rPr>
        <w:t>§1 от ОРЗД</w:t>
      </w:r>
      <w:r w:rsidRPr="007404FA">
        <w:rPr>
          <w:rFonts w:ascii="Times New Roman" w:hAnsi="Times New Roman" w:cs="Times New Roman"/>
          <w:sz w:val="24"/>
          <w:szCs w:val="24"/>
        </w:rPr>
        <w:t xml:space="preserve"> е наложена санкция в размер на 35</w:t>
      </w:r>
      <w:r w:rsidR="003742EB" w:rsidRPr="007404FA">
        <w:rPr>
          <w:rFonts w:ascii="Times New Roman" w:hAnsi="Times New Roman" w:cs="Times New Roman"/>
          <w:sz w:val="24"/>
          <w:szCs w:val="24"/>
        </w:rPr>
        <w:t> </w:t>
      </w:r>
      <w:r w:rsidRPr="007404FA">
        <w:rPr>
          <w:rFonts w:ascii="Times New Roman" w:hAnsi="Times New Roman" w:cs="Times New Roman"/>
          <w:sz w:val="24"/>
          <w:szCs w:val="24"/>
        </w:rPr>
        <w:t>000</w:t>
      </w:r>
      <w:r w:rsidR="003742EB" w:rsidRPr="007404FA">
        <w:rPr>
          <w:rFonts w:ascii="Times New Roman" w:hAnsi="Times New Roman" w:cs="Times New Roman"/>
          <w:sz w:val="24"/>
          <w:szCs w:val="24"/>
        </w:rPr>
        <w:t> лв.</w:t>
      </w:r>
      <w:r w:rsidRPr="007404FA">
        <w:rPr>
          <w:rFonts w:ascii="Times New Roman" w:hAnsi="Times New Roman" w:cs="Times New Roman"/>
          <w:sz w:val="24"/>
          <w:szCs w:val="24"/>
        </w:rPr>
        <w:t xml:space="preserve"> за констатирано неправомерно обработване на личните данни на две лица</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 сезирали КЗЛД, чрез включването им в списък на лицата</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 подкрепящи регистрацията на политическия субект за участие в проведените на 14.11.2021</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избори за президент и вицепрезидент на Република България и </w:t>
      </w:r>
      <w:r w:rsidR="00ED225F">
        <w:rPr>
          <w:rFonts w:ascii="Times New Roman" w:hAnsi="Times New Roman" w:cs="Times New Roman"/>
          <w:sz w:val="24"/>
          <w:szCs w:val="24"/>
        </w:rPr>
        <w:t>Н</w:t>
      </w:r>
      <w:r w:rsidRPr="007404FA">
        <w:rPr>
          <w:rFonts w:ascii="Times New Roman" w:hAnsi="Times New Roman" w:cs="Times New Roman"/>
          <w:sz w:val="24"/>
          <w:szCs w:val="24"/>
        </w:rPr>
        <w:t xml:space="preserve">ародно събрание. Жалбоподателите твърдят, че са установили нарушението след извършени справки по електронен път в </w:t>
      </w:r>
      <w:r w:rsidR="00044D1D" w:rsidRPr="007404FA">
        <w:rPr>
          <w:rFonts w:ascii="Times New Roman" w:hAnsi="Times New Roman" w:cs="Times New Roman"/>
          <w:sz w:val="24"/>
          <w:szCs w:val="24"/>
        </w:rPr>
        <w:t>ЦИК</w:t>
      </w:r>
      <w:r w:rsidRPr="007404FA">
        <w:rPr>
          <w:rFonts w:ascii="Times New Roman" w:hAnsi="Times New Roman" w:cs="Times New Roman"/>
          <w:sz w:val="24"/>
          <w:szCs w:val="24"/>
        </w:rPr>
        <w:t>, копие от които прилагат. Декларират, че не са се подписвали в подкрепа на регистрацията на политическия субект и не са давали съгласието си за обработване на личните им данни за конкретната цел, обстоятелства</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 които са установени в хода на производството и извършени графически експертизи.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Утежняващо обстоятелство при определяне на размера на санкцията е фактът, че личните данни на един от жалбоподателите за пореден път са обработени </w:t>
      </w:r>
      <w:r w:rsidRPr="007404FA">
        <w:rPr>
          <w:rFonts w:ascii="Times New Roman" w:hAnsi="Times New Roman" w:cs="Times New Roman"/>
          <w:sz w:val="24"/>
          <w:szCs w:val="24"/>
        </w:rPr>
        <w:lastRenderedPageBreak/>
        <w:t>незаконосъобразно от политическата партия във връзка с участието ѝ в изборния процес. През 2017</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жалбоподателят е сезирал КЗЛД с жалба за злоупотреба с личните му данни от политическа партия за регистрация на политическата партия за участие в проведените през 2017</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избори </w:t>
      </w:r>
      <w:r w:rsidR="00FA00B4" w:rsidRPr="007404FA">
        <w:rPr>
          <w:rFonts w:ascii="Times New Roman" w:hAnsi="Times New Roman" w:cs="Times New Roman"/>
          <w:sz w:val="24"/>
          <w:szCs w:val="24"/>
        </w:rPr>
        <w:t>з</w:t>
      </w:r>
      <w:r w:rsidRPr="007404FA">
        <w:rPr>
          <w:rFonts w:ascii="Times New Roman" w:hAnsi="Times New Roman" w:cs="Times New Roman"/>
          <w:sz w:val="24"/>
          <w:szCs w:val="24"/>
        </w:rPr>
        <w:t>а Народно събрание. Назначена по случая експертиза е установила, че положения</w:t>
      </w:r>
      <w:r w:rsidR="00ED225F">
        <w:rPr>
          <w:rFonts w:ascii="Times New Roman" w:hAnsi="Times New Roman" w:cs="Times New Roman"/>
          <w:sz w:val="24"/>
          <w:szCs w:val="24"/>
        </w:rPr>
        <w:t>т</w:t>
      </w:r>
      <w:r w:rsidRPr="007404FA">
        <w:rPr>
          <w:rFonts w:ascii="Times New Roman" w:hAnsi="Times New Roman" w:cs="Times New Roman"/>
          <w:sz w:val="24"/>
          <w:szCs w:val="24"/>
        </w:rPr>
        <w:t xml:space="preserve"> в списъка на избиратели подпис не е положен от лицето</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 сезирало КЗЛД</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 и жа</w:t>
      </w:r>
      <w:r w:rsidR="00ED225F">
        <w:rPr>
          <w:rFonts w:ascii="Times New Roman" w:hAnsi="Times New Roman" w:cs="Times New Roman"/>
          <w:sz w:val="24"/>
          <w:szCs w:val="24"/>
        </w:rPr>
        <w:t>л</w:t>
      </w:r>
      <w:r w:rsidRPr="007404FA">
        <w:rPr>
          <w:rFonts w:ascii="Times New Roman" w:hAnsi="Times New Roman" w:cs="Times New Roman"/>
          <w:sz w:val="24"/>
          <w:szCs w:val="24"/>
        </w:rPr>
        <w:t>бата е приета от КЗЛД за основателна, а партията е санкционира</w:t>
      </w:r>
      <w:r w:rsidR="00ED225F">
        <w:rPr>
          <w:rFonts w:ascii="Times New Roman" w:hAnsi="Times New Roman" w:cs="Times New Roman"/>
          <w:sz w:val="24"/>
          <w:szCs w:val="24"/>
        </w:rPr>
        <w:t>на с влязло в сила решение</w:t>
      </w:r>
      <w:r w:rsidRPr="007404FA">
        <w:rPr>
          <w:rFonts w:ascii="Times New Roman" w:hAnsi="Times New Roman" w:cs="Times New Roman"/>
          <w:sz w:val="24"/>
          <w:szCs w:val="24"/>
        </w:rPr>
        <w:t xml:space="preserve"> с наложена имуществена санкция в размер на 10</w:t>
      </w:r>
      <w:r w:rsidR="00044D1D" w:rsidRPr="007404FA">
        <w:rPr>
          <w:rFonts w:ascii="Times New Roman" w:hAnsi="Times New Roman" w:cs="Times New Roman"/>
          <w:sz w:val="24"/>
          <w:szCs w:val="24"/>
        </w:rPr>
        <w:t> </w:t>
      </w:r>
      <w:r w:rsidRPr="007404FA">
        <w:rPr>
          <w:rFonts w:ascii="Times New Roman" w:hAnsi="Times New Roman" w:cs="Times New Roman"/>
          <w:sz w:val="24"/>
          <w:szCs w:val="24"/>
        </w:rPr>
        <w:t>000</w:t>
      </w:r>
      <w:r w:rsidR="003742EB" w:rsidRPr="007404FA">
        <w:rPr>
          <w:rFonts w:ascii="Times New Roman" w:hAnsi="Times New Roman" w:cs="Times New Roman"/>
          <w:sz w:val="24"/>
          <w:szCs w:val="24"/>
        </w:rPr>
        <w:t> лв.</w:t>
      </w:r>
      <w:r w:rsidRPr="007404FA">
        <w:rPr>
          <w:rFonts w:ascii="Times New Roman" w:hAnsi="Times New Roman" w:cs="Times New Roman"/>
          <w:sz w:val="24"/>
          <w:szCs w:val="24"/>
        </w:rPr>
        <w:t xml:space="preserve"> Констатирано е нарушение на правата на жалбоподателя от страна на партията и по отношение на проведените на 04.04.2021</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избори, за което на партията е наложена санкция в размер на 25 000</w:t>
      </w:r>
      <w:r w:rsidR="003742EB" w:rsidRPr="007404FA">
        <w:rPr>
          <w:rFonts w:ascii="Times New Roman" w:hAnsi="Times New Roman" w:cs="Times New Roman"/>
          <w:sz w:val="24"/>
          <w:szCs w:val="24"/>
        </w:rPr>
        <w:t> лв.</w:t>
      </w:r>
      <w:r w:rsidRPr="007404FA">
        <w:rPr>
          <w:rFonts w:ascii="Times New Roman" w:hAnsi="Times New Roman" w:cs="Times New Roman"/>
          <w:sz w:val="24"/>
          <w:szCs w:val="24"/>
        </w:rPr>
        <w:t xml:space="preserve"> Предвид горното е безспорно, че извършеното от политическ</w:t>
      </w:r>
      <w:r w:rsidR="00ED225F">
        <w:rPr>
          <w:rFonts w:ascii="Times New Roman" w:hAnsi="Times New Roman" w:cs="Times New Roman"/>
          <w:sz w:val="24"/>
          <w:szCs w:val="24"/>
        </w:rPr>
        <w:t>ата партия нарушение е трето по</w:t>
      </w:r>
      <w:r w:rsidRPr="007404FA">
        <w:rPr>
          <w:rFonts w:ascii="Times New Roman" w:hAnsi="Times New Roman" w:cs="Times New Roman"/>
          <w:sz w:val="24"/>
          <w:szCs w:val="24"/>
        </w:rPr>
        <w:t>ред по отношение на конкретното лице</w:t>
      </w:r>
      <w:r w:rsidR="00ED225F">
        <w:rPr>
          <w:rFonts w:ascii="Times New Roman" w:hAnsi="Times New Roman" w:cs="Times New Roman"/>
          <w:sz w:val="24"/>
          <w:szCs w:val="24"/>
        </w:rPr>
        <w:t>,</w:t>
      </w:r>
      <w:r w:rsidRPr="007404FA">
        <w:rPr>
          <w:rFonts w:ascii="Times New Roman" w:hAnsi="Times New Roman" w:cs="Times New Roman"/>
          <w:sz w:val="24"/>
          <w:szCs w:val="24"/>
        </w:rPr>
        <w:t xml:space="preserve"> сезирало КЗЛД, поради което е сезирана </w:t>
      </w:r>
      <w:r w:rsidR="00ED225F">
        <w:rPr>
          <w:rFonts w:ascii="Times New Roman" w:hAnsi="Times New Roman" w:cs="Times New Roman"/>
          <w:sz w:val="24"/>
          <w:szCs w:val="24"/>
        </w:rPr>
        <w:t>п</w:t>
      </w:r>
      <w:r w:rsidRPr="007404FA">
        <w:rPr>
          <w:rFonts w:ascii="Times New Roman" w:hAnsi="Times New Roman" w:cs="Times New Roman"/>
          <w:sz w:val="24"/>
          <w:szCs w:val="24"/>
        </w:rPr>
        <w:t>рокуратурата.</w:t>
      </w:r>
    </w:p>
    <w:p w:rsidR="00210407" w:rsidRPr="007404FA" w:rsidRDefault="00210407" w:rsidP="00DB6B05">
      <w:pPr>
        <w:spacing w:line="360" w:lineRule="auto"/>
        <w:ind w:firstLine="709"/>
        <w:jc w:val="both"/>
        <w:rPr>
          <w:rFonts w:ascii="Times New Roman" w:hAnsi="Times New Roman" w:cs="Times New Roman"/>
          <w:sz w:val="24"/>
          <w:szCs w:val="24"/>
        </w:rPr>
      </w:pPr>
    </w:p>
    <w:p w:rsidR="001F2700" w:rsidRPr="007404FA" w:rsidRDefault="001F2700" w:rsidP="00DB6B05">
      <w:pPr>
        <w:spacing w:line="360" w:lineRule="auto"/>
        <w:ind w:firstLine="709"/>
        <w:jc w:val="both"/>
        <w:rPr>
          <w:rFonts w:ascii="Times New Roman" w:hAnsi="Times New Roman" w:cs="Times New Roman"/>
          <w:b/>
          <w:sz w:val="24"/>
          <w:szCs w:val="24"/>
        </w:rPr>
      </w:pPr>
      <w:r w:rsidRPr="007404FA">
        <w:rPr>
          <w:rFonts w:ascii="Times New Roman" w:hAnsi="Times New Roman" w:cs="Times New Roman"/>
          <w:b/>
          <w:sz w:val="24"/>
          <w:szCs w:val="24"/>
        </w:rPr>
        <w:t>3.4. Комисията за защита на личните данни е сезирана с жалба с твърдения за неправомерно обработване на личните данни на жалбоподателя</w:t>
      </w:r>
      <w:r w:rsidR="00157B49">
        <w:rPr>
          <w:rFonts w:ascii="Times New Roman" w:hAnsi="Times New Roman" w:cs="Times New Roman"/>
          <w:b/>
          <w:sz w:val="24"/>
          <w:szCs w:val="24"/>
        </w:rPr>
        <w:t xml:space="preserve"> </w:t>
      </w:r>
      <w:r w:rsidRPr="007404FA">
        <w:rPr>
          <w:rFonts w:ascii="Times New Roman" w:hAnsi="Times New Roman" w:cs="Times New Roman"/>
          <w:b/>
          <w:sz w:val="24"/>
          <w:szCs w:val="24"/>
        </w:rPr>
        <w:t>от спедиторска компания.</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Жалбоподателят получава </w:t>
      </w:r>
      <w:r w:rsidRPr="00A81DDF">
        <w:rPr>
          <w:rFonts w:ascii="Times New Roman" w:hAnsi="Times New Roman" w:cs="Times New Roman"/>
          <w:sz w:val="24"/>
          <w:szCs w:val="24"/>
        </w:rPr>
        <w:t>известие</w:t>
      </w:r>
      <w:r w:rsidR="00ED225F" w:rsidRPr="00A81DDF">
        <w:rPr>
          <w:rFonts w:ascii="Times New Roman" w:hAnsi="Times New Roman" w:cs="Times New Roman"/>
          <w:sz w:val="24"/>
          <w:szCs w:val="24"/>
        </w:rPr>
        <w:t>,</w:t>
      </w:r>
      <w:r w:rsidRPr="00A81DDF">
        <w:rPr>
          <w:rFonts w:ascii="Times New Roman" w:hAnsi="Times New Roman" w:cs="Times New Roman"/>
          <w:sz w:val="24"/>
          <w:szCs w:val="24"/>
        </w:rPr>
        <w:t xml:space="preserve"> изпратено му на 09.09.2021</w:t>
      </w:r>
      <w:r w:rsidR="00F06583" w:rsidRPr="00A81DDF">
        <w:rPr>
          <w:rFonts w:ascii="Times New Roman" w:hAnsi="Times New Roman" w:cs="Times New Roman"/>
          <w:sz w:val="24"/>
          <w:szCs w:val="24"/>
        </w:rPr>
        <w:t> г.</w:t>
      </w:r>
      <w:r w:rsidR="00ED225F" w:rsidRPr="00A81DDF">
        <w:rPr>
          <w:rFonts w:ascii="Times New Roman" w:hAnsi="Times New Roman" w:cs="Times New Roman"/>
          <w:sz w:val="24"/>
          <w:szCs w:val="24"/>
        </w:rPr>
        <w:t>,</w:t>
      </w:r>
      <w:r w:rsidRPr="00A81DDF">
        <w:rPr>
          <w:rFonts w:ascii="Times New Roman" w:hAnsi="Times New Roman" w:cs="Times New Roman"/>
          <w:sz w:val="24"/>
          <w:szCs w:val="24"/>
        </w:rPr>
        <w:t xml:space="preserve"> с което е уведомен, че на негово име е съставен акт за административно нарушение</w:t>
      </w:r>
      <w:r w:rsidR="00ED225F" w:rsidRPr="00A81DDF">
        <w:rPr>
          <w:rFonts w:ascii="Times New Roman" w:hAnsi="Times New Roman" w:cs="Times New Roman"/>
          <w:sz w:val="24"/>
          <w:szCs w:val="24"/>
        </w:rPr>
        <w:t>,</w:t>
      </w:r>
      <w:r w:rsidRPr="00A81DDF">
        <w:rPr>
          <w:rFonts w:ascii="Times New Roman" w:hAnsi="Times New Roman" w:cs="Times New Roman"/>
          <w:sz w:val="24"/>
          <w:szCs w:val="24"/>
        </w:rPr>
        <w:t xml:space="preserve"> извършено във Федерална република Германия</w:t>
      </w:r>
      <w:r w:rsidR="00316D5E" w:rsidRPr="00A81DDF">
        <w:rPr>
          <w:rFonts w:ascii="Times New Roman" w:hAnsi="Times New Roman" w:cs="Times New Roman"/>
          <w:sz w:val="24"/>
          <w:szCs w:val="24"/>
          <w:lang w:val="en-US"/>
        </w:rPr>
        <w:t>,</w:t>
      </w:r>
      <w:r w:rsidRPr="00A81DDF">
        <w:rPr>
          <w:rFonts w:ascii="Times New Roman" w:hAnsi="Times New Roman" w:cs="Times New Roman"/>
          <w:sz w:val="24"/>
          <w:szCs w:val="24"/>
        </w:rPr>
        <w:t xml:space="preserve"> за правонарушение, осъществено</w:t>
      </w:r>
      <w:r w:rsidRPr="007404FA">
        <w:rPr>
          <w:rFonts w:ascii="Times New Roman" w:hAnsi="Times New Roman" w:cs="Times New Roman"/>
          <w:sz w:val="24"/>
          <w:szCs w:val="24"/>
        </w:rPr>
        <w:t xml:space="preserve"> на 15.09.2020</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в 01:08 часа, представляващо ползването на път А3 гр. Зинцинг, посока гр. Нитендорф</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 xml:space="preserve">ФРГ от МПС, за което се дължи пътна такса в размер на </w:t>
      </w:r>
      <w:r w:rsidR="007A7672" w:rsidRPr="007404FA">
        <w:rPr>
          <w:rFonts w:ascii="Times New Roman" w:hAnsi="Times New Roman" w:cs="Times New Roman"/>
          <w:sz w:val="24"/>
          <w:szCs w:val="24"/>
        </w:rPr>
        <w:t>€</w:t>
      </w:r>
      <w:r w:rsidRPr="007404FA">
        <w:rPr>
          <w:rFonts w:ascii="Times New Roman" w:hAnsi="Times New Roman" w:cs="Times New Roman"/>
          <w:sz w:val="24"/>
          <w:szCs w:val="24"/>
        </w:rPr>
        <w:t xml:space="preserve">55, без да е била заплатена същата.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Жалбопо</w:t>
      </w:r>
      <w:r w:rsidR="007A7672">
        <w:rPr>
          <w:rFonts w:ascii="Times New Roman" w:hAnsi="Times New Roman" w:cs="Times New Roman"/>
          <w:sz w:val="24"/>
          <w:szCs w:val="24"/>
        </w:rPr>
        <w:t>дателят сочи, че през въпросния</w:t>
      </w:r>
      <w:r w:rsidRPr="007404FA">
        <w:rPr>
          <w:rFonts w:ascii="Times New Roman" w:hAnsi="Times New Roman" w:cs="Times New Roman"/>
          <w:sz w:val="24"/>
          <w:szCs w:val="24"/>
        </w:rPr>
        <w:t xml:space="preserve"> период, в който се твърди осъществяване на нарушението (15.09.2020</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w:t>
      </w:r>
      <w:r w:rsidR="007A7672">
        <w:rPr>
          <w:rFonts w:ascii="Times New Roman" w:hAnsi="Times New Roman" w:cs="Times New Roman"/>
          <w:sz w:val="24"/>
          <w:szCs w:val="24"/>
        </w:rPr>
        <w:t>,</w:t>
      </w:r>
      <w:r w:rsidRPr="007404FA">
        <w:rPr>
          <w:rFonts w:ascii="Times New Roman" w:hAnsi="Times New Roman" w:cs="Times New Roman"/>
          <w:sz w:val="24"/>
          <w:szCs w:val="24"/>
        </w:rPr>
        <w:t xml:space="preserve"> е бил във временна неработоспособност поради заболяване. Освен това, считано от 01.10.2020</w:t>
      </w:r>
      <w:r w:rsidR="00F06583" w:rsidRPr="007404FA">
        <w:rPr>
          <w:rFonts w:ascii="Times New Roman" w:hAnsi="Times New Roman" w:cs="Times New Roman"/>
          <w:sz w:val="24"/>
          <w:szCs w:val="24"/>
        </w:rPr>
        <w:t> г.</w:t>
      </w:r>
      <w:r w:rsidR="007A7672">
        <w:rPr>
          <w:rFonts w:ascii="Times New Roman" w:hAnsi="Times New Roman" w:cs="Times New Roman"/>
          <w:sz w:val="24"/>
          <w:szCs w:val="24"/>
        </w:rPr>
        <w:t>,</w:t>
      </w:r>
      <w:r w:rsidRPr="007404FA">
        <w:rPr>
          <w:rFonts w:ascii="Times New Roman" w:hAnsi="Times New Roman" w:cs="Times New Roman"/>
          <w:sz w:val="24"/>
          <w:szCs w:val="24"/>
        </w:rPr>
        <w:t xml:space="preserve"> е освободен от заеманата работна длъжност в компанията.</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Ответник</w:t>
      </w:r>
      <w:r w:rsidR="0034053C" w:rsidRPr="007404FA">
        <w:rPr>
          <w:rFonts w:ascii="Times New Roman" w:hAnsi="Times New Roman" w:cs="Times New Roman"/>
          <w:sz w:val="24"/>
          <w:szCs w:val="24"/>
        </w:rPr>
        <w:t>ът</w:t>
      </w:r>
      <w:r w:rsidRPr="007404FA">
        <w:rPr>
          <w:rFonts w:ascii="Times New Roman" w:hAnsi="Times New Roman" w:cs="Times New Roman"/>
          <w:sz w:val="24"/>
          <w:szCs w:val="24"/>
        </w:rPr>
        <w:t xml:space="preserve"> представя информация и сведения, в които не отрича обстоятелството, че за въпросното нарушение служителят е бил в болничен</w:t>
      </w:r>
      <w:r w:rsidR="007A7672">
        <w:rPr>
          <w:rFonts w:ascii="Times New Roman" w:hAnsi="Times New Roman" w:cs="Times New Roman"/>
          <w:sz w:val="24"/>
          <w:szCs w:val="24"/>
        </w:rPr>
        <w:t>,</w:t>
      </w:r>
      <w:r w:rsidRPr="007404FA">
        <w:rPr>
          <w:rFonts w:ascii="Times New Roman" w:hAnsi="Times New Roman" w:cs="Times New Roman"/>
          <w:sz w:val="24"/>
          <w:szCs w:val="24"/>
        </w:rPr>
        <w:t xml:space="preserve"> и допълва, че превозното средство, с което е осъществено нарушението, още към 23.07.2020</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вече е било предоставено за ползван</w:t>
      </w:r>
      <w:r w:rsidR="007A7672">
        <w:rPr>
          <w:rFonts w:ascii="Times New Roman" w:hAnsi="Times New Roman" w:cs="Times New Roman"/>
          <w:sz w:val="24"/>
          <w:szCs w:val="24"/>
        </w:rPr>
        <w:t>е от друга спедиторска компания</w:t>
      </w:r>
      <w:r w:rsidRPr="007404FA">
        <w:rPr>
          <w:rFonts w:ascii="Times New Roman" w:hAnsi="Times New Roman" w:cs="Times New Roman"/>
          <w:sz w:val="24"/>
          <w:szCs w:val="24"/>
        </w:rPr>
        <w:t xml:space="preserve"> по силата на сключено споразумение между двете компании.</w:t>
      </w:r>
    </w:p>
    <w:p w:rsidR="001F2700" w:rsidRPr="007404FA" w:rsidRDefault="007A7672" w:rsidP="00DB6B0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конкретика</w:t>
      </w:r>
      <w:r w:rsidR="001F2700" w:rsidRPr="007404FA">
        <w:rPr>
          <w:rFonts w:ascii="Times New Roman" w:hAnsi="Times New Roman" w:cs="Times New Roman"/>
          <w:sz w:val="24"/>
          <w:szCs w:val="24"/>
        </w:rPr>
        <w:t xml:space="preserve"> от ответното дружество сочат, че при тях е постъпил електронният фиш от компетентните органи на ФР Германия за нарушението от 15.09.2020</w:t>
      </w:r>
      <w:r w:rsidR="00F06583" w:rsidRPr="007404FA">
        <w:rPr>
          <w:rFonts w:ascii="Times New Roman" w:hAnsi="Times New Roman" w:cs="Times New Roman"/>
          <w:sz w:val="24"/>
          <w:szCs w:val="24"/>
        </w:rPr>
        <w:t> г.</w:t>
      </w:r>
      <w:r w:rsidR="001F2700" w:rsidRPr="007404FA">
        <w:rPr>
          <w:rFonts w:ascii="Times New Roman" w:hAnsi="Times New Roman" w:cs="Times New Roman"/>
          <w:sz w:val="24"/>
          <w:szCs w:val="24"/>
        </w:rPr>
        <w:t xml:space="preserve"> Тъй като нарушителят е юридическо лице (ползвателя</w:t>
      </w:r>
      <w:r>
        <w:rPr>
          <w:rFonts w:ascii="Times New Roman" w:hAnsi="Times New Roman" w:cs="Times New Roman"/>
          <w:sz w:val="24"/>
          <w:szCs w:val="24"/>
        </w:rPr>
        <w:t>т</w:t>
      </w:r>
      <w:r w:rsidR="001F2700" w:rsidRPr="007404FA">
        <w:rPr>
          <w:rFonts w:ascii="Times New Roman" w:hAnsi="Times New Roman" w:cs="Times New Roman"/>
          <w:sz w:val="24"/>
          <w:szCs w:val="24"/>
        </w:rPr>
        <w:t xml:space="preserve"> на камиона), във фиша е предоставена възможност да бъде посочено конкретното физическо лице, което е управлявало МПС-то към датата на нарушението. Видно от приложените доказателства, дружеството </w:t>
      </w:r>
      <w:r>
        <w:rPr>
          <w:rFonts w:ascii="Times New Roman" w:hAnsi="Times New Roman" w:cs="Times New Roman"/>
          <w:sz w:val="24"/>
          <w:szCs w:val="24"/>
        </w:rPr>
        <w:t xml:space="preserve">е било </w:t>
      </w:r>
      <w:r>
        <w:rPr>
          <w:rFonts w:ascii="Times New Roman" w:hAnsi="Times New Roman" w:cs="Times New Roman"/>
          <w:sz w:val="24"/>
          <w:szCs w:val="24"/>
        </w:rPr>
        <w:lastRenderedPageBreak/>
        <w:t>уведомено за нарушението</w:t>
      </w:r>
      <w:r w:rsidR="001F2700" w:rsidRPr="007404FA">
        <w:rPr>
          <w:rFonts w:ascii="Times New Roman" w:hAnsi="Times New Roman" w:cs="Times New Roman"/>
          <w:sz w:val="24"/>
          <w:szCs w:val="24"/>
        </w:rPr>
        <w:t xml:space="preserve"> първоначално на 11.01.2021</w:t>
      </w:r>
      <w:r w:rsidR="00F06583" w:rsidRPr="007404FA">
        <w:rPr>
          <w:rFonts w:ascii="Times New Roman" w:hAnsi="Times New Roman" w:cs="Times New Roman"/>
          <w:sz w:val="24"/>
          <w:szCs w:val="24"/>
        </w:rPr>
        <w:t> г.</w:t>
      </w:r>
      <w:r w:rsidR="001F2700" w:rsidRPr="007404FA">
        <w:rPr>
          <w:rFonts w:ascii="Times New Roman" w:hAnsi="Times New Roman" w:cs="Times New Roman"/>
          <w:sz w:val="24"/>
          <w:szCs w:val="24"/>
        </w:rPr>
        <w:t>, след това на 14.04.2021</w:t>
      </w:r>
      <w:r w:rsidR="00F06583" w:rsidRPr="007404FA">
        <w:rPr>
          <w:rFonts w:ascii="Times New Roman" w:hAnsi="Times New Roman" w:cs="Times New Roman"/>
          <w:sz w:val="24"/>
          <w:szCs w:val="24"/>
        </w:rPr>
        <w:t> г.</w:t>
      </w:r>
      <w:r w:rsidR="001F2700" w:rsidRPr="007404FA">
        <w:rPr>
          <w:rFonts w:ascii="Times New Roman" w:hAnsi="Times New Roman" w:cs="Times New Roman"/>
          <w:sz w:val="24"/>
          <w:szCs w:val="24"/>
        </w:rPr>
        <w:t xml:space="preserve"> (с приложена снимка за нарушението) и отново на 09.06.2021</w:t>
      </w:r>
      <w:r w:rsidR="00F06583" w:rsidRPr="007404FA">
        <w:rPr>
          <w:rFonts w:ascii="Times New Roman" w:hAnsi="Times New Roman" w:cs="Times New Roman"/>
          <w:sz w:val="24"/>
          <w:szCs w:val="24"/>
        </w:rPr>
        <w:t> г.</w:t>
      </w:r>
      <w:r>
        <w:rPr>
          <w:rFonts w:ascii="Times New Roman" w:hAnsi="Times New Roman" w:cs="Times New Roman"/>
          <w:sz w:val="24"/>
          <w:szCs w:val="24"/>
        </w:rPr>
        <w:t>. Служител на администратора</w:t>
      </w:r>
      <w:r w:rsidR="001F2700" w:rsidRPr="007404FA">
        <w:rPr>
          <w:rFonts w:ascii="Times New Roman" w:hAnsi="Times New Roman" w:cs="Times New Roman"/>
          <w:sz w:val="24"/>
          <w:szCs w:val="24"/>
        </w:rPr>
        <w:t xml:space="preserve"> е възприел погрешно информацията от фиша за санкция, като </w:t>
      </w:r>
      <w:r>
        <w:rPr>
          <w:rFonts w:ascii="Times New Roman" w:hAnsi="Times New Roman" w:cs="Times New Roman"/>
          <w:sz w:val="24"/>
          <w:szCs w:val="24"/>
        </w:rPr>
        <w:t xml:space="preserve">е </w:t>
      </w:r>
      <w:r w:rsidR="001F2700" w:rsidRPr="007404FA">
        <w:rPr>
          <w:rFonts w:ascii="Times New Roman" w:hAnsi="Times New Roman" w:cs="Times New Roman"/>
          <w:sz w:val="24"/>
          <w:szCs w:val="24"/>
        </w:rPr>
        <w:t xml:space="preserve">предоставил информация </w:t>
      </w:r>
      <w:r w:rsidR="00467876" w:rsidRPr="007404FA">
        <w:rPr>
          <w:rFonts w:ascii="Times New Roman" w:hAnsi="Times New Roman" w:cs="Times New Roman"/>
          <w:sz w:val="24"/>
          <w:szCs w:val="24"/>
        </w:rPr>
        <w:t xml:space="preserve">на </w:t>
      </w:r>
      <w:r w:rsidR="001F2700" w:rsidRPr="007404FA">
        <w:rPr>
          <w:rFonts w:ascii="Times New Roman" w:hAnsi="Times New Roman" w:cs="Times New Roman"/>
          <w:sz w:val="24"/>
          <w:szCs w:val="24"/>
        </w:rPr>
        <w:t>германския орган, че отговорен за нарушението е жалбоподателят. Жалбоподателят е управлявал МПС-то на 15.07.2020</w:t>
      </w:r>
      <w:r w:rsidR="00F06583" w:rsidRPr="007404FA">
        <w:rPr>
          <w:rFonts w:ascii="Times New Roman" w:hAnsi="Times New Roman" w:cs="Times New Roman"/>
          <w:sz w:val="24"/>
          <w:szCs w:val="24"/>
        </w:rPr>
        <w:t> г.</w:t>
      </w:r>
      <w:r>
        <w:rPr>
          <w:rFonts w:ascii="Times New Roman" w:hAnsi="Times New Roman" w:cs="Times New Roman"/>
          <w:sz w:val="24"/>
          <w:szCs w:val="24"/>
        </w:rPr>
        <w:t>, поради което администраторът счита</w:t>
      </w:r>
      <w:r w:rsidR="001F2700" w:rsidRPr="007404FA">
        <w:rPr>
          <w:rFonts w:ascii="Times New Roman" w:hAnsi="Times New Roman" w:cs="Times New Roman"/>
          <w:sz w:val="24"/>
          <w:szCs w:val="24"/>
        </w:rPr>
        <w:t xml:space="preserve">, че се касае за неволна техническа грешка.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Разглеждана</w:t>
      </w:r>
      <w:r w:rsidR="007A7672">
        <w:rPr>
          <w:rFonts w:ascii="Times New Roman" w:hAnsi="Times New Roman" w:cs="Times New Roman"/>
          <w:sz w:val="24"/>
          <w:szCs w:val="24"/>
        </w:rPr>
        <w:t>та</w:t>
      </w:r>
      <w:r w:rsidRPr="007404FA">
        <w:rPr>
          <w:rFonts w:ascii="Times New Roman" w:hAnsi="Times New Roman" w:cs="Times New Roman"/>
          <w:sz w:val="24"/>
          <w:szCs w:val="24"/>
        </w:rPr>
        <w:t xml:space="preserve"> по същество жалба е приета за основателна от КЗЛД.</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От събраните в хода на производството е установено, че жалбоподателят е бил във временна неработоспособност за срок от 30 дни, от 01.09.2020</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до 30.09.2020</w:t>
      </w:r>
      <w:r w:rsidR="00F06583" w:rsidRPr="007404FA">
        <w:rPr>
          <w:rFonts w:ascii="Times New Roman" w:hAnsi="Times New Roman" w:cs="Times New Roman"/>
          <w:sz w:val="24"/>
          <w:szCs w:val="24"/>
        </w:rPr>
        <w:t> г.</w:t>
      </w:r>
      <w:r w:rsidR="007A7672">
        <w:rPr>
          <w:rFonts w:ascii="Times New Roman" w:hAnsi="Times New Roman" w:cs="Times New Roman"/>
          <w:sz w:val="24"/>
          <w:szCs w:val="24"/>
        </w:rPr>
        <w:t>,</w:t>
      </w:r>
      <w:r w:rsidRPr="007404FA">
        <w:rPr>
          <w:rFonts w:ascii="Times New Roman" w:hAnsi="Times New Roman" w:cs="Times New Roman"/>
          <w:sz w:val="24"/>
          <w:szCs w:val="24"/>
        </w:rPr>
        <w:t xml:space="preserve"> отразена в болничен лист.</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До 23.07.2020</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МПС-то е стопанисвано от ответното дружество адм</w:t>
      </w:r>
      <w:r w:rsidR="007A7672">
        <w:rPr>
          <w:rFonts w:ascii="Times New Roman" w:hAnsi="Times New Roman" w:cs="Times New Roman"/>
          <w:sz w:val="24"/>
          <w:szCs w:val="24"/>
        </w:rPr>
        <w:t>инистратор, като след тази дата по силата на споразумение</w:t>
      </w:r>
      <w:r w:rsidRPr="007404FA">
        <w:rPr>
          <w:rFonts w:ascii="Times New Roman" w:hAnsi="Times New Roman" w:cs="Times New Roman"/>
          <w:sz w:val="24"/>
          <w:szCs w:val="24"/>
        </w:rPr>
        <w:t xml:space="preserve"> същия</w:t>
      </w:r>
      <w:r w:rsidR="007A7672">
        <w:rPr>
          <w:rFonts w:ascii="Times New Roman" w:hAnsi="Times New Roman" w:cs="Times New Roman"/>
          <w:sz w:val="24"/>
          <w:szCs w:val="24"/>
        </w:rPr>
        <w:t>т</w:t>
      </w:r>
      <w:r w:rsidRPr="007404FA">
        <w:rPr>
          <w:rFonts w:ascii="Times New Roman" w:hAnsi="Times New Roman" w:cs="Times New Roman"/>
          <w:sz w:val="24"/>
          <w:szCs w:val="24"/>
        </w:rPr>
        <w:t xml:space="preserve"> преминава под управлението на лизинго</w:t>
      </w:r>
      <w:r w:rsidR="007A7672">
        <w:rPr>
          <w:rFonts w:ascii="Times New Roman" w:hAnsi="Times New Roman" w:cs="Times New Roman"/>
          <w:sz w:val="24"/>
          <w:szCs w:val="24"/>
        </w:rPr>
        <w:t>дателя и друго дружество. Тоест</w:t>
      </w:r>
      <w:r w:rsidRPr="007404FA">
        <w:rPr>
          <w:rFonts w:ascii="Times New Roman" w:hAnsi="Times New Roman" w:cs="Times New Roman"/>
          <w:sz w:val="24"/>
          <w:szCs w:val="24"/>
        </w:rPr>
        <w:t xml:space="preserve"> към 15.09.2020</w:t>
      </w:r>
      <w:r w:rsidR="00F06583" w:rsidRPr="007404FA">
        <w:rPr>
          <w:rFonts w:ascii="Times New Roman" w:hAnsi="Times New Roman" w:cs="Times New Roman"/>
          <w:sz w:val="24"/>
          <w:szCs w:val="24"/>
        </w:rPr>
        <w:t> г.</w:t>
      </w:r>
      <w:r w:rsidR="007A7672">
        <w:rPr>
          <w:rFonts w:ascii="Times New Roman" w:hAnsi="Times New Roman" w:cs="Times New Roman"/>
          <w:sz w:val="24"/>
          <w:szCs w:val="24"/>
        </w:rPr>
        <w:t xml:space="preserve"> камионът</w:t>
      </w:r>
      <w:r w:rsidRPr="007404FA">
        <w:rPr>
          <w:rFonts w:ascii="Times New Roman" w:hAnsi="Times New Roman" w:cs="Times New Roman"/>
          <w:sz w:val="24"/>
          <w:szCs w:val="24"/>
        </w:rPr>
        <w:t xml:space="preserve"> вече не е бил ползван от ответника.</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На 11.01.2021</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повторно на 14.04.2021</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и отново на</w:t>
      </w:r>
      <w:r w:rsidR="00157B49">
        <w:rPr>
          <w:rFonts w:ascii="Times New Roman" w:hAnsi="Times New Roman" w:cs="Times New Roman"/>
          <w:sz w:val="24"/>
          <w:szCs w:val="24"/>
        </w:rPr>
        <w:t xml:space="preserve"> </w:t>
      </w:r>
      <w:r w:rsidRPr="007404FA">
        <w:rPr>
          <w:rFonts w:ascii="Times New Roman" w:hAnsi="Times New Roman" w:cs="Times New Roman"/>
          <w:sz w:val="24"/>
          <w:szCs w:val="24"/>
        </w:rPr>
        <w:t>09.06.2021</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администраторът е бил уведомен за наруш</w:t>
      </w:r>
      <w:r w:rsidR="007A7672">
        <w:rPr>
          <w:rFonts w:ascii="Times New Roman" w:hAnsi="Times New Roman" w:cs="Times New Roman"/>
          <w:sz w:val="24"/>
          <w:szCs w:val="24"/>
        </w:rPr>
        <w:t>ението, съответно в тази връзка</w:t>
      </w:r>
      <w:r w:rsidRPr="007404FA">
        <w:rPr>
          <w:rFonts w:ascii="Times New Roman" w:hAnsi="Times New Roman" w:cs="Times New Roman"/>
          <w:sz w:val="24"/>
          <w:szCs w:val="24"/>
        </w:rPr>
        <w:t xml:space="preserve"> негов служител на 29.06.2021</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изпраща на „Федерална служба за превоз на стоки“</w:t>
      </w:r>
      <w:r w:rsidR="007A7672">
        <w:rPr>
          <w:rFonts w:ascii="Times New Roman" w:hAnsi="Times New Roman" w:cs="Times New Roman"/>
          <w:sz w:val="24"/>
          <w:szCs w:val="24"/>
        </w:rPr>
        <w:t>,</w:t>
      </w:r>
      <w:r w:rsidRPr="007404FA">
        <w:rPr>
          <w:rFonts w:ascii="Times New Roman" w:hAnsi="Times New Roman" w:cs="Times New Roman"/>
          <w:sz w:val="24"/>
          <w:szCs w:val="24"/>
        </w:rPr>
        <w:t xml:space="preserve"> ФРГ, личните данни на жалбоподателя в обем: три имена, точен адрес, дата и място на раждане, посочвайки</w:t>
      </w:r>
      <w:r w:rsidR="007A7672">
        <w:rPr>
          <w:rFonts w:ascii="Times New Roman" w:hAnsi="Times New Roman" w:cs="Times New Roman"/>
          <w:sz w:val="24"/>
          <w:szCs w:val="24"/>
        </w:rPr>
        <w:t xml:space="preserve"> го за физическия нарушител на </w:t>
      </w:r>
      <w:r w:rsidRPr="007404FA">
        <w:rPr>
          <w:rFonts w:ascii="Times New Roman" w:hAnsi="Times New Roman" w:cs="Times New Roman"/>
          <w:sz w:val="24"/>
          <w:szCs w:val="24"/>
        </w:rPr>
        <w:t xml:space="preserve">Федералния закон за задължителните такси за </w:t>
      </w:r>
      <w:r w:rsidR="007A7672">
        <w:rPr>
          <w:rFonts w:ascii="Times New Roman" w:hAnsi="Times New Roman" w:cs="Times New Roman"/>
          <w:sz w:val="24"/>
          <w:szCs w:val="24"/>
        </w:rPr>
        <w:t>магистрала и главни пътища (BFStrMG)</w:t>
      </w:r>
      <w:r w:rsidRPr="007404FA">
        <w:rPr>
          <w:rFonts w:ascii="Times New Roman" w:hAnsi="Times New Roman" w:cs="Times New Roman"/>
          <w:sz w:val="24"/>
          <w:szCs w:val="24"/>
        </w:rPr>
        <w:t xml:space="preserve"> за</w:t>
      </w:r>
      <w:r w:rsidR="00157B49">
        <w:rPr>
          <w:rFonts w:ascii="Times New Roman" w:hAnsi="Times New Roman" w:cs="Times New Roman"/>
          <w:sz w:val="24"/>
          <w:szCs w:val="24"/>
        </w:rPr>
        <w:t xml:space="preserve"> </w:t>
      </w:r>
      <w:r w:rsidRPr="007404FA">
        <w:rPr>
          <w:rFonts w:ascii="Times New Roman" w:hAnsi="Times New Roman" w:cs="Times New Roman"/>
          <w:sz w:val="24"/>
          <w:szCs w:val="24"/>
        </w:rPr>
        <w:t>осъществено административно нарушение на 15.09.2020</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с товарен камион.</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По административната преписка не са предоставени доказателства за обстоятелството, че жалбоподателят е бил запознат с получените от бившия му работодател сведения за извършено нарушение на 15.09.2020</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за което дружеството е счело, че той е физическия</w:t>
      </w:r>
      <w:r w:rsidR="007A7672">
        <w:rPr>
          <w:rFonts w:ascii="Times New Roman" w:hAnsi="Times New Roman" w:cs="Times New Roman"/>
          <w:sz w:val="24"/>
          <w:szCs w:val="24"/>
        </w:rPr>
        <w:t>т</w:t>
      </w:r>
      <w:r w:rsidRPr="007404FA">
        <w:rPr>
          <w:rFonts w:ascii="Times New Roman" w:hAnsi="Times New Roman" w:cs="Times New Roman"/>
          <w:sz w:val="24"/>
          <w:szCs w:val="24"/>
        </w:rPr>
        <w:t xml:space="preserve"> извършител на нарушението. Не са представени доказателства от администратора за извършена вътрешна проверка от негова страна, за установяване на лицето</w:t>
      </w:r>
      <w:r w:rsidR="007A7672">
        <w:rPr>
          <w:rFonts w:ascii="Times New Roman" w:hAnsi="Times New Roman" w:cs="Times New Roman"/>
          <w:sz w:val="24"/>
          <w:szCs w:val="24"/>
        </w:rPr>
        <w:t>,</w:t>
      </w:r>
      <w:r w:rsidRPr="007404FA">
        <w:rPr>
          <w:rFonts w:ascii="Times New Roman" w:hAnsi="Times New Roman" w:cs="Times New Roman"/>
          <w:sz w:val="24"/>
          <w:szCs w:val="24"/>
        </w:rPr>
        <w:t xml:space="preserve"> управлявало служебния камион на 15.09.2020</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Възможността да бъде ангажирана дисциплинарната отговорност на субекта на данните е преклудира</w:t>
      </w:r>
      <w:r w:rsidR="007A7672">
        <w:rPr>
          <w:rFonts w:ascii="Times New Roman" w:hAnsi="Times New Roman" w:cs="Times New Roman"/>
          <w:sz w:val="24"/>
          <w:szCs w:val="24"/>
        </w:rPr>
        <w:t>на</w:t>
      </w:r>
      <w:r w:rsidRPr="007404FA">
        <w:rPr>
          <w:rFonts w:ascii="Times New Roman" w:hAnsi="Times New Roman" w:cs="Times New Roman"/>
          <w:sz w:val="24"/>
          <w:szCs w:val="24"/>
        </w:rPr>
        <w:t xml:space="preserve"> с прекратяване на трудовото правоотношение на 01.10.2020</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Писмото</w:t>
      </w:r>
      <w:r w:rsidR="007A7672">
        <w:rPr>
          <w:rFonts w:ascii="Times New Roman" w:hAnsi="Times New Roman" w:cs="Times New Roman"/>
          <w:sz w:val="24"/>
          <w:szCs w:val="24"/>
        </w:rPr>
        <w:t>,</w:t>
      </w:r>
      <w:r w:rsidRPr="007404FA">
        <w:rPr>
          <w:rFonts w:ascii="Times New Roman" w:hAnsi="Times New Roman" w:cs="Times New Roman"/>
          <w:sz w:val="24"/>
          <w:szCs w:val="24"/>
        </w:rPr>
        <w:t xml:space="preserve"> с което Федералната служба за превоз на стоки гр. Кьолн</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ФРГ</w:t>
      </w:r>
      <w:r w:rsidR="007A7672">
        <w:rPr>
          <w:rFonts w:ascii="Times New Roman" w:hAnsi="Times New Roman" w:cs="Times New Roman"/>
          <w:sz w:val="24"/>
          <w:szCs w:val="24"/>
        </w:rPr>
        <w:t>,</w:t>
      </w:r>
      <w:r w:rsidRPr="007404FA">
        <w:rPr>
          <w:rFonts w:ascii="Times New Roman" w:hAnsi="Times New Roman" w:cs="Times New Roman"/>
          <w:sz w:val="24"/>
          <w:szCs w:val="24"/>
        </w:rPr>
        <w:t xml:space="preserve"> информира първоначално дружеството за нарушението</w:t>
      </w:r>
      <w:r w:rsidR="007A7672">
        <w:rPr>
          <w:rFonts w:ascii="Times New Roman" w:hAnsi="Times New Roman" w:cs="Times New Roman"/>
          <w:sz w:val="24"/>
          <w:szCs w:val="24"/>
        </w:rPr>
        <w:t>,</w:t>
      </w:r>
      <w:r w:rsidRPr="007404FA">
        <w:rPr>
          <w:rFonts w:ascii="Times New Roman" w:hAnsi="Times New Roman" w:cs="Times New Roman"/>
          <w:sz w:val="24"/>
          <w:szCs w:val="24"/>
        </w:rPr>
        <w:t xml:space="preserve"> е от 11.01.2021</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(видно от представения преводен документ)</w:t>
      </w:r>
      <w:r w:rsidR="007A7672">
        <w:rPr>
          <w:rFonts w:ascii="Times New Roman" w:hAnsi="Times New Roman" w:cs="Times New Roman"/>
          <w:sz w:val="24"/>
          <w:szCs w:val="24"/>
        </w:rPr>
        <w:t>,</w:t>
      </w:r>
      <w:r w:rsidRPr="007404FA">
        <w:rPr>
          <w:rFonts w:ascii="Times New Roman" w:hAnsi="Times New Roman" w:cs="Times New Roman"/>
          <w:sz w:val="24"/>
          <w:szCs w:val="24"/>
        </w:rPr>
        <w:t xml:space="preserve"> т.е. след прекратяване на правоотношението с жалбоподателя.</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Личните данни на жалбоподателя са предоставени на Федерална</w:t>
      </w:r>
      <w:r w:rsidR="007A7672">
        <w:rPr>
          <w:rFonts w:ascii="Times New Roman" w:hAnsi="Times New Roman" w:cs="Times New Roman"/>
          <w:sz w:val="24"/>
          <w:szCs w:val="24"/>
        </w:rPr>
        <w:t>та</w:t>
      </w:r>
      <w:r w:rsidRPr="007404FA">
        <w:rPr>
          <w:rFonts w:ascii="Times New Roman" w:hAnsi="Times New Roman" w:cs="Times New Roman"/>
          <w:sz w:val="24"/>
          <w:szCs w:val="24"/>
        </w:rPr>
        <w:t xml:space="preserve"> служба за превоз на стоки гр. Кьолн</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ФРГ, на 29.06.2021</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т.е. повече от шест месеца след прекратяване на правоотношението с работодателя и след получени 3 известия от германската служба за </w:t>
      </w:r>
      <w:r w:rsidRPr="007404FA">
        <w:rPr>
          <w:rFonts w:ascii="Times New Roman" w:hAnsi="Times New Roman" w:cs="Times New Roman"/>
          <w:sz w:val="24"/>
          <w:szCs w:val="24"/>
        </w:rPr>
        <w:lastRenderedPageBreak/>
        <w:t>въпросното нарушение. Администраторът не е предприел последващи</w:t>
      </w:r>
      <w:r w:rsidR="007A7672">
        <w:rPr>
          <w:rFonts w:ascii="Times New Roman" w:hAnsi="Times New Roman" w:cs="Times New Roman"/>
          <w:sz w:val="24"/>
          <w:szCs w:val="24"/>
        </w:rPr>
        <w:t xml:space="preserve"> действия</w:t>
      </w:r>
      <w:r w:rsidRPr="007404FA">
        <w:rPr>
          <w:rFonts w:ascii="Times New Roman" w:hAnsi="Times New Roman" w:cs="Times New Roman"/>
          <w:sz w:val="24"/>
          <w:szCs w:val="24"/>
        </w:rPr>
        <w:t xml:space="preserve"> след установя</w:t>
      </w:r>
      <w:r w:rsidR="007A7672">
        <w:rPr>
          <w:rFonts w:ascii="Times New Roman" w:hAnsi="Times New Roman" w:cs="Times New Roman"/>
          <w:sz w:val="24"/>
          <w:szCs w:val="24"/>
        </w:rPr>
        <w:t>ване на фактическата обстановка</w:t>
      </w:r>
      <w:r w:rsidRPr="007404FA">
        <w:rPr>
          <w:rFonts w:ascii="Times New Roman" w:hAnsi="Times New Roman" w:cs="Times New Roman"/>
          <w:sz w:val="24"/>
          <w:szCs w:val="24"/>
        </w:rPr>
        <w:t xml:space="preserve"> да бъдат премахнати данните на жалбоподателя, който продължава да с</w:t>
      </w:r>
      <w:r w:rsidR="007A7672">
        <w:rPr>
          <w:rFonts w:ascii="Times New Roman" w:hAnsi="Times New Roman" w:cs="Times New Roman"/>
          <w:sz w:val="24"/>
          <w:szCs w:val="24"/>
        </w:rPr>
        <w:t>е води в информационните масиви</w:t>
      </w:r>
      <w:r w:rsidRPr="007404FA">
        <w:rPr>
          <w:rFonts w:ascii="Times New Roman" w:hAnsi="Times New Roman" w:cs="Times New Roman"/>
          <w:sz w:val="24"/>
          <w:szCs w:val="24"/>
        </w:rPr>
        <w:t xml:space="preserve"> за нарушител на Федерална</w:t>
      </w:r>
      <w:r w:rsidR="007A7672">
        <w:rPr>
          <w:rFonts w:ascii="Times New Roman" w:hAnsi="Times New Roman" w:cs="Times New Roman"/>
          <w:sz w:val="24"/>
          <w:szCs w:val="24"/>
        </w:rPr>
        <w:t>та</w:t>
      </w:r>
      <w:r w:rsidRPr="007404FA">
        <w:rPr>
          <w:rFonts w:ascii="Times New Roman" w:hAnsi="Times New Roman" w:cs="Times New Roman"/>
          <w:sz w:val="24"/>
          <w:szCs w:val="24"/>
        </w:rPr>
        <w:t xml:space="preserve"> служба за превоз на стоки гр. Кьолн</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 xml:space="preserve">ФРГ, т.е. </w:t>
      </w:r>
      <w:r w:rsidR="007A7672">
        <w:rPr>
          <w:rFonts w:ascii="Times New Roman" w:hAnsi="Times New Roman" w:cs="Times New Roman"/>
          <w:sz w:val="24"/>
          <w:szCs w:val="24"/>
        </w:rPr>
        <w:t xml:space="preserve">впоследствие </w:t>
      </w:r>
      <w:r w:rsidRPr="007404FA">
        <w:rPr>
          <w:rFonts w:ascii="Times New Roman" w:hAnsi="Times New Roman" w:cs="Times New Roman"/>
          <w:sz w:val="24"/>
          <w:szCs w:val="24"/>
        </w:rPr>
        <w:t>евентуално друго нару</w:t>
      </w:r>
      <w:r w:rsidR="007A7672">
        <w:rPr>
          <w:rFonts w:ascii="Times New Roman" w:hAnsi="Times New Roman" w:cs="Times New Roman"/>
          <w:sz w:val="24"/>
          <w:szCs w:val="24"/>
        </w:rPr>
        <w:t>шение на жалбоподателя би могло да бъде възприето</w:t>
      </w:r>
      <w:r w:rsidRPr="007404FA">
        <w:rPr>
          <w:rFonts w:ascii="Times New Roman" w:hAnsi="Times New Roman" w:cs="Times New Roman"/>
          <w:sz w:val="24"/>
          <w:szCs w:val="24"/>
        </w:rPr>
        <w:t xml:space="preserve"> като рецидив и лицето да бъде санкционирано по-строго от закона, без реално той да е такъв нарушител.</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Горното, как</w:t>
      </w:r>
      <w:r w:rsidR="007A7672">
        <w:rPr>
          <w:rFonts w:ascii="Times New Roman" w:hAnsi="Times New Roman" w:cs="Times New Roman"/>
          <w:sz w:val="24"/>
          <w:szCs w:val="24"/>
        </w:rPr>
        <w:t>то и обстоятелствата, че камионът</w:t>
      </w:r>
      <w:r w:rsidRPr="007404FA">
        <w:rPr>
          <w:rFonts w:ascii="Times New Roman" w:hAnsi="Times New Roman" w:cs="Times New Roman"/>
          <w:sz w:val="24"/>
          <w:szCs w:val="24"/>
        </w:rPr>
        <w:t>, считано от 23.07.2020</w:t>
      </w:r>
      <w:r w:rsidR="00F06583" w:rsidRPr="007404FA">
        <w:rPr>
          <w:rFonts w:ascii="Times New Roman" w:hAnsi="Times New Roman" w:cs="Times New Roman"/>
          <w:sz w:val="24"/>
          <w:szCs w:val="24"/>
        </w:rPr>
        <w:t> г.</w:t>
      </w:r>
      <w:r w:rsidR="007A7672">
        <w:rPr>
          <w:rFonts w:ascii="Times New Roman" w:hAnsi="Times New Roman" w:cs="Times New Roman"/>
          <w:sz w:val="24"/>
          <w:szCs w:val="24"/>
        </w:rPr>
        <w:t>,</w:t>
      </w:r>
      <w:r w:rsidRPr="007404FA">
        <w:rPr>
          <w:rFonts w:ascii="Times New Roman" w:hAnsi="Times New Roman" w:cs="Times New Roman"/>
          <w:sz w:val="24"/>
          <w:szCs w:val="24"/>
        </w:rPr>
        <w:t xml:space="preserve"> е преминал в разпореждане на друго дружество, а жалбоподателят е бил в болничен, които обстоятелства са били безспорно известни на а</w:t>
      </w:r>
      <w:r w:rsidR="007A7672">
        <w:rPr>
          <w:rFonts w:ascii="Times New Roman" w:hAnsi="Times New Roman" w:cs="Times New Roman"/>
          <w:sz w:val="24"/>
          <w:szCs w:val="24"/>
        </w:rPr>
        <w:t>дминистратора, обуславят извода</w:t>
      </w:r>
      <w:r w:rsidRPr="007404FA">
        <w:rPr>
          <w:rFonts w:ascii="Times New Roman" w:hAnsi="Times New Roman" w:cs="Times New Roman"/>
          <w:sz w:val="24"/>
          <w:szCs w:val="24"/>
        </w:rPr>
        <w:t xml:space="preserve"> за извършено нарушение на принципите</w:t>
      </w:r>
      <w:r w:rsidR="007A7672">
        <w:rPr>
          <w:rFonts w:ascii="Times New Roman" w:hAnsi="Times New Roman" w:cs="Times New Roman"/>
          <w:sz w:val="24"/>
          <w:szCs w:val="24"/>
        </w:rPr>
        <w:t>,</w:t>
      </w:r>
      <w:r w:rsidRPr="007404FA">
        <w:rPr>
          <w:rFonts w:ascii="Times New Roman" w:hAnsi="Times New Roman" w:cs="Times New Roman"/>
          <w:sz w:val="24"/>
          <w:szCs w:val="24"/>
        </w:rPr>
        <w:t xml:space="preserve"> посочени в</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5, §1, б. „а“ и „б“ във връзка с</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6, §1 от ОРЗД, за обработване на личните данни по законосъобразен, прозрачен и добросъвестен начин от администратора, които да не се обработват по начин</w:t>
      </w:r>
      <w:r w:rsidR="007A7672">
        <w:rPr>
          <w:rFonts w:ascii="Times New Roman" w:hAnsi="Times New Roman" w:cs="Times New Roman"/>
          <w:sz w:val="24"/>
          <w:szCs w:val="24"/>
        </w:rPr>
        <w:t>,</w:t>
      </w:r>
      <w:r w:rsidRPr="007404FA">
        <w:rPr>
          <w:rFonts w:ascii="Times New Roman" w:hAnsi="Times New Roman" w:cs="Times New Roman"/>
          <w:sz w:val="24"/>
          <w:szCs w:val="24"/>
        </w:rPr>
        <w:t xml:space="preserve"> несъвместим с тези цели.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Изхождайки от критериите по</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 xml:space="preserve">83, </w:t>
      </w:r>
      <w:r w:rsidR="00D06D21" w:rsidRPr="007404FA">
        <w:rPr>
          <w:rFonts w:ascii="Times New Roman" w:hAnsi="Times New Roman" w:cs="Times New Roman"/>
          <w:sz w:val="24"/>
          <w:szCs w:val="24"/>
        </w:rPr>
        <w:t>§</w:t>
      </w:r>
      <w:r w:rsidRPr="007404FA">
        <w:rPr>
          <w:rFonts w:ascii="Times New Roman" w:hAnsi="Times New Roman" w:cs="Times New Roman"/>
          <w:sz w:val="24"/>
          <w:szCs w:val="24"/>
        </w:rPr>
        <w:t>2 от</w:t>
      </w:r>
      <w:r w:rsidR="00157B49">
        <w:rPr>
          <w:rFonts w:ascii="Times New Roman" w:hAnsi="Times New Roman" w:cs="Times New Roman"/>
          <w:sz w:val="24"/>
          <w:szCs w:val="24"/>
        </w:rPr>
        <w:t xml:space="preserve"> </w:t>
      </w:r>
      <w:r w:rsidR="00086D3C">
        <w:rPr>
          <w:rFonts w:ascii="Times New Roman" w:hAnsi="Times New Roman" w:cs="Times New Roman"/>
          <w:sz w:val="24"/>
          <w:szCs w:val="24"/>
        </w:rPr>
        <w:t>ОРЗД за</w:t>
      </w:r>
      <w:r w:rsidRPr="007404FA">
        <w:rPr>
          <w:rFonts w:ascii="Times New Roman" w:hAnsi="Times New Roman" w:cs="Times New Roman"/>
          <w:sz w:val="24"/>
          <w:szCs w:val="24"/>
        </w:rPr>
        <w:t xml:space="preserve"> имущественото състояние на администратора (същото не попада в категорията малки и средни предприятия по смисъла на Закона за малките и средни</w:t>
      </w:r>
      <w:r w:rsidR="007A7672">
        <w:rPr>
          <w:rFonts w:ascii="Times New Roman" w:hAnsi="Times New Roman" w:cs="Times New Roman"/>
          <w:sz w:val="24"/>
          <w:szCs w:val="24"/>
        </w:rPr>
        <w:t>те</w:t>
      </w:r>
      <w:r w:rsidRPr="007404FA">
        <w:rPr>
          <w:rFonts w:ascii="Times New Roman" w:hAnsi="Times New Roman" w:cs="Times New Roman"/>
          <w:sz w:val="24"/>
          <w:szCs w:val="24"/>
        </w:rPr>
        <w:t xml:space="preserve"> предприятия), Комисията за защита на личните данни определя</w:t>
      </w:r>
      <w:r w:rsidR="00157B49">
        <w:rPr>
          <w:rFonts w:ascii="Times New Roman" w:hAnsi="Times New Roman" w:cs="Times New Roman"/>
          <w:sz w:val="24"/>
          <w:szCs w:val="24"/>
        </w:rPr>
        <w:t xml:space="preserve"> </w:t>
      </w:r>
      <w:r w:rsidRPr="007404FA">
        <w:rPr>
          <w:rFonts w:ascii="Times New Roman" w:hAnsi="Times New Roman" w:cs="Times New Roman"/>
          <w:sz w:val="24"/>
          <w:szCs w:val="24"/>
        </w:rPr>
        <w:t>р</w:t>
      </w:r>
      <w:r w:rsidR="00086D3C">
        <w:rPr>
          <w:rFonts w:ascii="Times New Roman" w:hAnsi="Times New Roman" w:cs="Times New Roman"/>
          <w:sz w:val="24"/>
          <w:szCs w:val="24"/>
        </w:rPr>
        <w:t>азмер на имуществената санкция</w:t>
      </w:r>
      <w:r w:rsidRPr="007404FA">
        <w:rPr>
          <w:rFonts w:ascii="Times New Roman" w:hAnsi="Times New Roman" w:cs="Times New Roman"/>
          <w:sz w:val="24"/>
          <w:szCs w:val="24"/>
        </w:rPr>
        <w:t xml:space="preserve"> от 10</w:t>
      </w:r>
      <w:r w:rsidR="00086D3C">
        <w:rPr>
          <w:rFonts w:ascii="Times New Roman" w:hAnsi="Times New Roman" w:cs="Times New Roman"/>
          <w:sz w:val="24"/>
          <w:szCs w:val="24"/>
        </w:rPr>
        <w:t> </w:t>
      </w:r>
      <w:r w:rsidRPr="007404FA">
        <w:rPr>
          <w:rFonts w:ascii="Times New Roman" w:hAnsi="Times New Roman" w:cs="Times New Roman"/>
          <w:sz w:val="24"/>
          <w:szCs w:val="24"/>
        </w:rPr>
        <w:t>000</w:t>
      </w:r>
      <w:r w:rsidR="00086D3C">
        <w:rPr>
          <w:rFonts w:ascii="Times New Roman" w:hAnsi="Times New Roman" w:cs="Times New Roman"/>
          <w:sz w:val="24"/>
          <w:szCs w:val="24"/>
        </w:rPr>
        <w:t>,</w:t>
      </w:r>
      <w:r w:rsidRPr="007404FA">
        <w:rPr>
          <w:rFonts w:ascii="Times New Roman" w:hAnsi="Times New Roman" w:cs="Times New Roman"/>
          <w:sz w:val="24"/>
          <w:szCs w:val="24"/>
        </w:rPr>
        <w:t>00</w:t>
      </w:r>
      <w:r w:rsidR="003742EB" w:rsidRPr="007404FA">
        <w:rPr>
          <w:rFonts w:ascii="Times New Roman" w:hAnsi="Times New Roman" w:cs="Times New Roman"/>
          <w:sz w:val="24"/>
          <w:szCs w:val="24"/>
        </w:rPr>
        <w:t> лв.</w:t>
      </w:r>
      <w:r w:rsidR="00086D3C">
        <w:rPr>
          <w:rFonts w:ascii="Times New Roman" w:hAnsi="Times New Roman" w:cs="Times New Roman"/>
          <w:sz w:val="24"/>
          <w:szCs w:val="24"/>
        </w:rPr>
        <w:t xml:space="preserve"> (десет хиляди лева)</w:t>
      </w:r>
      <w:r w:rsidRPr="007404FA">
        <w:rPr>
          <w:rFonts w:ascii="Times New Roman" w:hAnsi="Times New Roman" w:cs="Times New Roman"/>
          <w:sz w:val="24"/>
          <w:szCs w:val="24"/>
        </w:rPr>
        <w:t xml:space="preserve"> за администратора, като същият се явява справедлив, обоснован и възпиращ.</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Решението не е влязло в сила.</w:t>
      </w:r>
    </w:p>
    <w:p w:rsidR="00E42714" w:rsidRPr="007404FA" w:rsidRDefault="00E42714" w:rsidP="00DB6B05">
      <w:pPr>
        <w:spacing w:line="360" w:lineRule="auto"/>
        <w:ind w:firstLine="709"/>
        <w:jc w:val="both"/>
        <w:rPr>
          <w:rFonts w:ascii="Times New Roman" w:eastAsia="Batang" w:hAnsi="Times New Roman" w:cs="Times New Roman"/>
          <w:b/>
          <w:sz w:val="24"/>
          <w:szCs w:val="24"/>
        </w:rPr>
      </w:pPr>
    </w:p>
    <w:p w:rsidR="00E42714" w:rsidRPr="007404FA" w:rsidRDefault="00424B16" w:rsidP="00DB6B05">
      <w:pPr>
        <w:spacing w:line="360" w:lineRule="auto"/>
        <w:ind w:firstLine="709"/>
        <w:jc w:val="both"/>
        <w:rPr>
          <w:rFonts w:ascii="Times New Roman" w:eastAsia="Batang" w:hAnsi="Times New Roman" w:cs="Times New Roman"/>
          <w:b/>
          <w:sz w:val="24"/>
          <w:szCs w:val="24"/>
        </w:rPr>
      </w:pPr>
      <w:r w:rsidRPr="007404FA">
        <w:rPr>
          <w:rFonts w:ascii="Times New Roman" w:eastAsia="Batang" w:hAnsi="Times New Roman" w:cs="Times New Roman"/>
          <w:b/>
          <w:sz w:val="24"/>
          <w:szCs w:val="24"/>
        </w:rPr>
        <w:t>4.</w:t>
      </w:r>
      <w:r w:rsidR="00E42714" w:rsidRPr="007404FA">
        <w:rPr>
          <w:rFonts w:ascii="Times New Roman" w:eastAsia="Batang" w:hAnsi="Times New Roman" w:cs="Times New Roman"/>
          <w:b/>
          <w:sz w:val="24"/>
          <w:szCs w:val="24"/>
        </w:rPr>
        <w:t xml:space="preserve"> Консултации на субекти на лични данни. </w:t>
      </w:r>
    </w:p>
    <w:p w:rsidR="006B36B8" w:rsidRPr="007404FA" w:rsidRDefault="006B36B8"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В изпълнение на тази цел през отчетния период КЗЛД продължава утвърждаването на единни стандарти за прилагане на правната рамка за защита на личните данни (считано от 25 май 2018</w:t>
      </w:r>
      <w:r w:rsidR="00F06583" w:rsidRPr="007404FA">
        <w:rPr>
          <w:rFonts w:ascii="Times New Roman" w:eastAsia="Batang" w:hAnsi="Times New Roman" w:cs="Times New Roman"/>
          <w:sz w:val="24"/>
          <w:szCs w:val="24"/>
        </w:rPr>
        <w:t> г.</w:t>
      </w:r>
      <w:r w:rsidRPr="007404FA">
        <w:rPr>
          <w:rFonts w:ascii="Times New Roman" w:eastAsia="Batang" w:hAnsi="Times New Roman" w:cs="Times New Roman"/>
          <w:sz w:val="24"/>
          <w:szCs w:val="24"/>
        </w:rPr>
        <w:t>) от администраторите в публичния и частния сектор. Комисията поддържа и развива своята практика в контекста на насоките и указанията на Европейския комитет по защита на данните, като през 2022</w:t>
      </w:r>
      <w:r w:rsidR="00F06583" w:rsidRPr="007404FA">
        <w:rPr>
          <w:rFonts w:ascii="Times New Roman" w:eastAsia="Batang" w:hAnsi="Times New Roman" w:cs="Times New Roman"/>
          <w:sz w:val="24"/>
          <w:szCs w:val="24"/>
        </w:rPr>
        <w:t> г.</w:t>
      </w:r>
      <w:r w:rsidRPr="007404FA">
        <w:rPr>
          <w:rFonts w:ascii="Times New Roman" w:eastAsia="Batang" w:hAnsi="Times New Roman" w:cs="Times New Roman"/>
          <w:sz w:val="24"/>
          <w:szCs w:val="24"/>
        </w:rPr>
        <w:t xml:space="preserve"> е предоставила множество формални писмени (660</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 xml:space="preserve">) и неформални устни консултации на граждани и администратори </w:t>
      </w:r>
      <w:r w:rsidR="00ED35FA" w:rsidRPr="007404FA">
        <w:rPr>
          <w:rFonts w:ascii="Times New Roman" w:eastAsia="Batang" w:hAnsi="Times New Roman" w:cs="Times New Roman"/>
          <w:sz w:val="24"/>
          <w:szCs w:val="24"/>
        </w:rPr>
        <w:t>(7837</w:t>
      </w:r>
      <w:r w:rsidR="00D1189D" w:rsidRPr="007404FA">
        <w:rPr>
          <w:rFonts w:ascii="Times New Roman" w:eastAsia="Batang" w:hAnsi="Times New Roman" w:cs="Times New Roman"/>
          <w:sz w:val="24"/>
          <w:szCs w:val="24"/>
        </w:rPr>
        <w:t> бр.</w:t>
      </w:r>
      <w:r w:rsidR="00ED35FA" w:rsidRPr="007404FA">
        <w:rPr>
          <w:rFonts w:ascii="Times New Roman" w:eastAsia="Batang" w:hAnsi="Times New Roman" w:cs="Times New Roman"/>
          <w:sz w:val="24"/>
          <w:szCs w:val="24"/>
        </w:rPr>
        <w:t xml:space="preserve">) </w:t>
      </w:r>
      <w:r w:rsidRPr="007404FA">
        <w:rPr>
          <w:rFonts w:ascii="Times New Roman" w:eastAsia="Batang" w:hAnsi="Times New Roman" w:cs="Times New Roman"/>
          <w:sz w:val="24"/>
          <w:szCs w:val="24"/>
        </w:rPr>
        <w:t>по въпроси, свързани с обработването на лични данни и тяхната защита, в т.ч. както под формата на официални становища, така и отговори/разяснения на конкретни запитвания по принципни въпроси от областта на защитата на личните данни с цел унифициране на практиката в национален план.</w:t>
      </w:r>
      <w:r w:rsidR="00B96BEA" w:rsidRPr="007404FA">
        <w:rPr>
          <w:rFonts w:ascii="Times New Roman" w:eastAsia="Batang" w:hAnsi="Times New Roman" w:cs="Times New Roman"/>
          <w:sz w:val="24"/>
          <w:szCs w:val="24"/>
        </w:rPr>
        <w:t xml:space="preserve"> </w:t>
      </w:r>
    </w:p>
    <w:p w:rsidR="00E42714" w:rsidRPr="007404FA" w:rsidRDefault="00E42714"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 xml:space="preserve">За поредна година преобладават въпросите, свързани със законосъобразното извършване на видеонаблюдение и обработването на лични данни по реда на Закона за управление на етажната собственост. Все по-често постъпват запитвания относно упражняването на право на достъп до лични данни и разликата с правото на достъп до </w:t>
      </w:r>
      <w:r w:rsidRPr="007404FA">
        <w:rPr>
          <w:rFonts w:ascii="Times New Roman" w:eastAsia="Batang" w:hAnsi="Times New Roman" w:cs="Times New Roman"/>
          <w:sz w:val="24"/>
          <w:szCs w:val="24"/>
        </w:rPr>
        <w:lastRenderedPageBreak/>
        <w:t>официални документи. Въпреки това прави впечатление, че нараства информираността на субектите на данни по отношение на правата, с</w:t>
      </w:r>
      <w:r w:rsidR="00157B49">
        <w:rPr>
          <w:rFonts w:ascii="Times New Roman" w:eastAsia="Batang" w:hAnsi="Times New Roman" w:cs="Times New Roman"/>
          <w:sz w:val="24"/>
          <w:szCs w:val="24"/>
        </w:rPr>
        <w:t xml:space="preserve"> </w:t>
      </w:r>
      <w:r w:rsidRPr="007404FA">
        <w:rPr>
          <w:rFonts w:ascii="Times New Roman" w:eastAsia="Batang" w:hAnsi="Times New Roman" w:cs="Times New Roman"/>
          <w:sz w:val="24"/>
          <w:szCs w:val="24"/>
        </w:rPr>
        <w:t>които разполагат по ОРЗД.</w:t>
      </w:r>
    </w:p>
    <w:p w:rsidR="00E42714" w:rsidRPr="007404FA" w:rsidRDefault="00E42714"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Съществен дял от предоставените консултации на граждани се извършва на специализирания за тази цел телефон на КЗЛД. Ежедневно се получават множество запитвани</w:t>
      </w:r>
      <w:r w:rsidR="004D3113" w:rsidRPr="007404FA">
        <w:rPr>
          <w:rFonts w:ascii="Times New Roman" w:eastAsia="Batang" w:hAnsi="Times New Roman" w:cs="Times New Roman"/>
          <w:sz w:val="24"/>
          <w:szCs w:val="24"/>
        </w:rPr>
        <w:t>я</w:t>
      </w:r>
      <w:r w:rsidRPr="007404FA">
        <w:rPr>
          <w:rFonts w:ascii="Times New Roman" w:eastAsia="Batang" w:hAnsi="Times New Roman" w:cs="Times New Roman"/>
          <w:sz w:val="24"/>
          <w:szCs w:val="24"/>
        </w:rPr>
        <w:t>, като предимството на този канал за получаване на консултация е в неговата бързина и непосредствена връзка с експерт от надзорния орган. Поради тази причина нараства и неговата популярност сред гражданите за получаването на незабавен отговор по различни въпроси в областта на защитата на данните, прилагането на ОРЗД, начините за подаване на жалба или сигнал, както и все още възникващите въпроси относно регистрацията на администраторите на лични данни и т.н. За по-сложните въпроси</w:t>
      </w:r>
      <w:r w:rsidR="004552C7" w:rsidRPr="007404FA">
        <w:rPr>
          <w:rFonts w:ascii="Times New Roman" w:eastAsia="Batang" w:hAnsi="Times New Roman" w:cs="Times New Roman"/>
          <w:sz w:val="24"/>
          <w:szCs w:val="24"/>
        </w:rPr>
        <w:t>, получени</w:t>
      </w:r>
      <w:r w:rsidRPr="007404FA">
        <w:rPr>
          <w:rFonts w:ascii="Times New Roman" w:eastAsia="Batang" w:hAnsi="Times New Roman" w:cs="Times New Roman"/>
          <w:sz w:val="24"/>
          <w:szCs w:val="24"/>
        </w:rPr>
        <w:t xml:space="preserve"> по телефон, както и с цел изясняване на фактическата обстановка при по-усложнени случаи, субектите на данни се насочват към подаване на писмени запитвания.</w:t>
      </w:r>
    </w:p>
    <w:p w:rsidR="00E42714" w:rsidRPr="007404FA" w:rsidRDefault="00E42714"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През годината КЗЛД получ</w:t>
      </w:r>
      <w:r w:rsidR="00765BDA" w:rsidRPr="007404FA">
        <w:rPr>
          <w:rFonts w:ascii="Times New Roman" w:eastAsia="Batang" w:hAnsi="Times New Roman" w:cs="Times New Roman"/>
          <w:sz w:val="24"/>
          <w:szCs w:val="24"/>
        </w:rPr>
        <w:t>ава</w:t>
      </w:r>
      <w:r w:rsidRPr="007404FA">
        <w:rPr>
          <w:rFonts w:ascii="Times New Roman" w:eastAsia="Batang" w:hAnsi="Times New Roman" w:cs="Times New Roman"/>
          <w:sz w:val="24"/>
          <w:szCs w:val="24"/>
        </w:rPr>
        <w:t xml:space="preserve"> множество запитвания в контекста на една от най-обсъжданите теми в областта на обработването на лични данни</w:t>
      </w:r>
      <w:r w:rsidR="00553661" w:rsidRPr="007404FA">
        <w:rPr>
          <w:rFonts w:ascii="Times New Roman" w:eastAsia="Batang" w:hAnsi="Times New Roman" w:cs="Times New Roman"/>
          <w:sz w:val="24"/>
          <w:szCs w:val="24"/>
        </w:rPr>
        <w:t xml:space="preserve"> – </w:t>
      </w:r>
      <w:r w:rsidRPr="007404FA">
        <w:rPr>
          <w:rFonts w:ascii="Times New Roman" w:eastAsia="Batang" w:hAnsi="Times New Roman" w:cs="Times New Roman"/>
          <w:sz w:val="24"/>
          <w:szCs w:val="24"/>
        </w:rPr>
        <w:t>видеонаблюдението. Както и досега, казусите, свързани с видеонаблюдение</w:t>
      </w:r>
      <w:r w:rsidR="00B64592" w:rsidRPr="007404FA">
        <w:rPr>
          <w:rFonts w:ascii="Times New Roman" w:eastAsia="Batang" w:hAnsi="Times New Roman" w:cs="Times New Roman"/>
          <w:sz w:val="24"/>
          <w:szCs w:val="24"/>
        </w:rPr>
        <w:t>,</w:t>
      </w:r>
      <w:r w:rsidRPr="007404FA">
        <w:rPr>
          <w:rFonts w:ascii="Times New Roman" w:eastAsia="Batang" w:hAnsi="Times New Roman" w:cs="Times New Roman"/>
          <w:sz w:val="24"/>
          <w:szCs w:val="24"/>
        </w:rPr>
        <w:t xml:space="preserve"> </w:t>
      </w:r>
      <w:r w:rsidR="00B428D8" w:rsidRPr="007404FA">
        <w:rPr>
          <w:rFonts w:ascii="Times New Roman" w:eastAsia="Batang" w:hAnsi="Times New Roman" w:cs="Times New Roman"/>
          <w:sz w:val="24"/>
          <w:szCs w:val="24"/>
        </w:rPr>
        <w:t>са в три основни</w:t>
      </w:r>
      <w:r w:rsidRPr="007404FA">
        <w:rPr>
          <w:rFonts w:ascii="Times New Roman" w:eastAsia="Batang" w:hAnsi="Times New Roman" w:cs="Times New Roman"/>
          <w:sz w:val="24"/>
          <w:szCs w:val="24"/>
        </w:rPr>
        <w:t xml:space="preserve"> </w:t>
      </w:r>
      <w:r w:rsidR="00B64592" w:rsidRPr="007404FA">
        <w:rPr>
          <w:rFonts w:ascii="Times New Roman" w:eastAsia="Batang" w:hAnsi="Times New Roman" w:cs="Times New Roman"/>
          <w:sz w:val="24"/>
          <w:szCs w:val="24"/>
        </w:rPr>
        <w:t>групи</w:t>
      </w:r>
      <w:r w:rsidRPr="007404FA">
        <w:rPr>
          <w:rFonts w:ascii="Times New Roman" w:eastAsia="Batang" w:hAnsi="Times New Roman" w:cs="Times New Roman"/>
          <w:sz w:val="24"/>
          <w:szCs w:val="24"/>
        </w:rPr>
        <w:t xml:space="preserve">: </w:t>
      </w:r>
      <w:r w:rsidR="00B428D8" w:rsidRPr="007404FA">
        <w:rPr>
          <w:rFonts w:ascii="Times New Roman" w:eastAsia="Batang" w:hAnsi="Times New Roman" w:cs="Times New Roman"/>
          <w:sz w:val="24"/>
          <w:szCs w:val="24"/>
        </w:rPr>
        <w:t>в</w:t>
      </w:r>
      <w:r w:rsidRPr="007404FA">
        <w:rPr>
          <w:rFonts w:ascii="Times New Roman" w:eastAsia="Batang" w:hAnsi="Times New Roman" w:cs="Times New Roman"/>
          <w:sz w:val="24"/>
          <w:szCs w:val="24"/>
        </w:rPr>
        <w:t>идеонаблюдение, осъществявано в жилищни сград</w:t>
      </w:r>
      <w:r w:rsidR="00B428D8" w:rsidRPr="007404FA">
        <w:rPr>
          <w:rFonts w:ascii="Times New Roman" w:eastAsia="Batang" w:hAnsi="Times New Roman" w:cs="Times New Roman"/>
          <w:sz w:val="24"/>
          <w:szCs w:val="24"/>
        </w:rPr>
        <w:t>и в режим на етажна собственост; в</w:t>
      </w:r>
      <w:r w:rsidRPr="007404FA">
        <w:rPr>
          <w:rFonts w:ascii="Times New Roman" w:eastAsia="Batang" w:hAnsi="Times New Roman" w:cs="Times New Roman"/>
          <w:sz w:val="24"/>
          <w:szCs w:val="24"/>
        </w:rPr>
        <w:t>идеонаблюдение на имоти в режим на съсобственост</w:t>
      </w:r>
      <w:r w:rsidR="00B428D8" w:rsidRPr="007404FA">
        <w:rPr>
          <w:rFonts w:ascii="Times New Roman" w:eastAsia="Batang" w:hAnsi="Times New Roman" w:cs="Times New Roman"/>
          <w:sz w:val="24"/>
          <w:szCs w:val="24"/>
        </w:rPr>
        <w:t>; в</w:t>
      </w:r>
      <w:r w:rsidRPr="007404FA">
        <w:rPr>
          <w:rFonts w:ascii="Times New Roman" w:eastAsia="Batang" w:hAnsi="Times New Roman" w:cs="Times New Roman"/>
          <w:sz w:val="24"/>
          <w:szCs w:val="24"/>
        </w:rPr>
        <w:t>идеонаблюдение между съседи, обитаващи съседни имоти</w:t>
      </w:r>
      <w:r w:rsidR="0055078F" w:rsidRPr="007404FA">
        <w:rPr>
          <w:rFonts w:ascii="Times New Roman" w:eastAsia="Batang" w:hAnsi="Times New Roman" w:cs="Times New Roman"/>
          <w:sz w:val="24"/>
          <w:szCs w:val="24"/>
        </w:rPr>
        <w:t>; в</w:t>
      </w:r>
      <w:r w:rsidRPr="007404FA">
        <w:rPr>
          <w:rFonts w:ascii="Times New Roman" w:eastAsia="Batang" w:hAnsi="Times New Roman" w:cs="Times New Roman"/>
          <w:sz w:val="24"/>
          <w:szCs w:val="24"/>
        </w:rPr>
        <w:t>идеонаблюдение на работното място</w:t>
      </w:r>
      <w:r w:rsidR="0055078F" w:rsidRPr="007404FA">
        <w:rPr>
          <w:rFonts w:ascii="Times New Roman" w:eastAsia="Batang" w:hAnsi="Times New Roman" w:cs="Times New Roman"/>
          <w:sz w:val="24"/>
          <w:szCs w:val="24"/>
        </w:rPr>
        <w:t>.</w:t>
      </w:r>
    </w:p>
    <w:p w:rsidR="00E42714" w:rsidRPr="007404FA" w:rsidRDefault="00E42714"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В отговор на запитване относно възможността работодател да прави аудиозапис,</w:t>
      </w:r>
      <w:r w:rsidR="00157B49">
        <w:rPr>
          <w:rFonts w:ascii="Times New Roman" w:eastAsia="Batang" w:hAnsi="Times New Roman" w:cs="Times New Roman"/>
          <w:sz w:val="24"/>
          <w:szCs w:val="24"/>
        </w:rPr>
        <w:t xml:space="preserve"> </w:t>
      </w:r>
      <w:r w:rsidRPr="007404FA">
        <w:rPr>
          <w:rFonts w:ascii="Times New Roman" w:eastAsia="Batang" w:hAnsi="Times New Roman" w:cs="Times New Roman"/>
          <w:sz w:val="24"/>
          <w:szCs w:val="24"/>
        </w:rPr>
        <w:t xml:space="preserve">чрез средствата за видеонаблюдение, с цел наблюдение на спазването на работното време и трудовия </w:t>
      </w:r>
      <w:r w:rsidR="004552C7">
        <w:rPr>
          <w:rFonts w:ascii="Times New Roman" w:eastAsia="Batang" w:hAnsi="Times New Roman" w:cs="Times New Roman"/>
          <w:sz w:val="24"/>
          <w:szCs w:val="24"/>
        </w:rPr>
        <w:t>процес</w:t>
      </w:r>
      <w:r w:rsidRPr="007404FA">
        <w:rPr>
          <w:rFonts w:ascii="Times New Roman" w:eastAsia="Batang" w:hAnsi="Times New Roman" w:cs="Times New Roman"/>
          <w:sz w:val="24"/>
          <w:szCs w:val="24"/>
        </w:rPr>
        <w:t xml:space="preserve"> КЗЛД изяснява, че биометричните данни (как</w:t>
      </w:r>
      <w:r w:rsidR="004552C7">
        <w:rPr>
          <w:rFonts w:ascii="Times New Roman" w:eastAsia="Batang" w:hAnsi="Times New Roman" w:cs="Times New Roman"/>
          <w:sz w:val="24"/>
          <w:szCs w:val="24"/>
        </w:rPr>
        <w:t>вито именно са гласовите данни)</w:t>
      </w:r>
      <w:r w:rsidRPr="007404FA">
        <w:rPr>
          <w:rFonts w:ascii="Times New Roman" w:eastAsia="Batang" w:hAnsi="Times New Roman" w:cs="Times New Roman"/>
          <w:sz w:val="24"/>
          <w:szCs w:val="24"/>
        </w:rPr>
        <w:t xml:space="preserve"> представляват специална категория данни, обработването на които е забранено, освен ако е приложима една от хипотезите на</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 xml:space="preserve">9, </w:t>
      </w:r>
      <w:r w:rsidR="004552C7">
        <w:rPr>
          <w:rFonts w:ascii="Times New Roman" w:eastAsia="Batang" w:hAnsi="Times New Roman" w:cs="Times New Roman"/>
          <w:sz w:val="24"/>
          <w:szCs w:val="24"/>
        </w:rPr>
        <w:t>§</w:t>
      </w:r>
      <w:r w:rsidRPr="007404FA">
        <w:rPr>
          <w:rFonts w:ascii="Times New Roman" w:eastAsia="Batang" w:hAnsi="Times New Roman" w:cs="Times New Roman"/>
          <w:sz w:val="24"/>
          <w:szCs w:val="24"/>
        </w:rPr>
        <w:t>2 от ОРЗД. Когато става въпрос за обработване на специални категории лични данни, общите условия за</w:t>
      </w:r>
      <w:r w:rsidR="00157B49">
        <w:rPr>
          <w:rFonts w:ascii="Times New Roman" w:eastAsia="Batang" w:hAnsi="Times New Roman" w:cs="Times New Roman"/>
          <w:sz w:val="24"/>
          <w:szCs w:val="24"/>
        </w:rPr>
        <w:t xml:space="preserve"> </w:t>
      </w:r>
      <w:r w:rsidRPr="007404FA">
        <w:rPr>
          <w:rFonts w:ascii="Times New Roman" w:eastAsia="Batang" w:hAnsi="Times New Roman" w:cs="Times New Roman"/>
          <w:sz w:val="24"/>
          <w:szCs w:val="24"/>
        </w:rPr>
        <w:t>допустимост на обработването по</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 xml:space="preserve">6, </w:t>
      </w:r>
      <w:r w:rsidR="004552C7">
        <w:rPr>
          <w:rFonts w:ascii="Times New Roman" w:eastAsia="Batang" w:hAnsi="Times New Roman" w:cs="Times New Roman"/>
          <w:sz w:val="24"/>
          <w:szCs w:val="24"/>
        </w:rPr>
        <w:t>§</w:t>
      </w:r>
      <w:r w:rsidRPr="007404FA">
        <w:rPr>
          <w:rFonts w:ascii="Times New Roman" w:eastAsia="Batang" w:hAnsi="Times New Roman" w:cs="Times New Roman"/>
          <w:sz w:val="24"/>
          <w:szCs w:val="24"/>
        </w:rPr>
        <w:t>1 не намират приложение. Обработването на лични данни трябва да се ограничава само до данни, които са от решаващо значение за постигането на съответната цел и без които нейното реализиране е невъзможно. Принципът за свеждане на данните до минимум налага на администратора да обработва минимум лични данни, които са потребни за постигане на целите му. Събирането на данни над минималното е непропорционално и прекомерно, поради което се счита за недопустимо. Съгласно трайната практика на КЗЛД събирането на лични данни на служители от работодател, представляващи биометрични данни, за целите на отчитане на работното време и контрол по спазване на трудовата дисцип</w:t>
      </w:r>
      <w:r w:rsidR="004552C7">
        <w:rPr>
          <w:rFonts w:ascii="Times New Roman" w:eastAsia="Batang" w:hAnsi="Times New Roman" w:cs="Times New Roman"/>
          <w:sz w:val="24"/>
          <w:szCs w:val="24"/>
        </w:rPr>
        <w:t>лина</w:t>
      </w:r>
      <w:r w:rsidRPr="007404FA">
        <w:rPr>
          <w:rFonts w:ascii="Times New Roman" w:eastAsia="Batang" w:hAnsi="Times New Roman" w:cs="Times New Roman"/>
          <w:sz w:val="24"/>
          <w:szCs w:val="24"/>
        </w:rPr>
        <w:t xml:space="preserve"> е прекомерно и непропорционално.</w:t>
      </w:r>
    </w:p>
    <w:p w:rsidR="00E42714" w:rsidRPr="007404FA" w:rsidRDefault="00E42714"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 xml:space="preserve">В същия контекст са и традиционно получаваните в КЗЛД запитвания дали е законосъобразно обработването от работодател на биометрични данни на </w:t>
      </w:r>
      <w:r w:rsidRPr="007404FA">
        <w:rPr>
          <w:rFonts w:ascii="Times New Roman" w:eastAsia="Batang" w:hAnsi="Times New Roman" w:cs="Times New Roman"/>
          <w:sz w:val="24"/>
          <w:szCs w:val="24"/>
        </w:rPr>
        <w:lastRenderedPageBreak/>
        <w:t>служители/работници, в частност пръстови отпечатъци и/или лицево разпознаване, с цел отчитане на работното време и контрол по спазване на трудовата дисциплина. Позицията на КЗЛД, както и в по-горе описания случай</w:t>
      </w:r>
      <w:r w:rsidR="004552C7">
        <w:rPr>
          <w:rFonts w:ascii="Times New Roman" w:eastAsia="Batang" w:hAnsi="Times New Roman" w:cs="Times New Roman"/>
          <w:sz w:val="24"/>
          <w:szCs w:val="24"/>
        </w:rPr>
        <w:t>,</w:t>
      </w:r>
      <w:r w:rsidRPr="007404FA">
        <w:rPr>
          <w:rFonts w:ascii="Times New Roman" w:eastAsia="Batang" w:hAnsi="Times New Roman" w:cs="Times New Roman"/>
          <w:sz w:val="24"/>
          <w:szCs w:val="24"/>
        </w:rPr>
        <w:t xml:space="preserve"> е, че събирането на лични данни на служители от работодател, представляващи биометрични данни, за целите на отчитане на работното време и контрол по с</w:t>
      </w:r>
      <w:r w:rsidR="004552C7">
        <w:rPr>
          <w:rFonts w:ascii="Times New Roman" w:eastAsia="Batang" w:hAnsi="Times New Roman" w:cs="Times New Roman"/>
          <w:sz w:val="24"/>
          <w:szCs w:val="24"/>
        </w:rPr>
        <w:t>пазване на трудовата дисциплина</w:t>
      </w:r>
      <w:r w:rsidRPr="007404FA">
        <w:rPr>
          <w:rFonts w:ascii="Times New Roman" w:eastAsia="Batang" w:hAnsi="Times New Roman" w:cs="Times New Roman"/>
          <w:sz w:val="24"/>
          <w:szCs w:val="24"/>
        </w:rPr>
        <w:t xml:space="preserve"> е прекомерно и непропорционално.</w:t>
      </w:r>
    </w:p>
    <w:p w:rsidR="00E42714" w:rsidRPr="007404FA" w:rsidRDefault="00E42714"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През о</w:t>
      </w:r>
      <w:r w:rsidR="00284071" w:rsidRPr="007404FA">
        <w:rPr>
          <w:rFonts w:ascii="Times New Roman" w:eastAsia="Batang" w:hAnsi="Times New Roman" w:cs="Times New Roman"/>
          <w:sz w:val="24"/>
          <w:szCs w:val="24"/>
        </w:rPr>
        <w:t xml:space="preserve">тчетния период в КЗЛД е получено </w:t>
      </w:r>
      <w:r w:rsidRPr="007404FA">
        <w:rPr>
          <w:rFonts w:ascii="Times New Roman" w:eastAsia="Batang" w:hAnsi="Times New Roman" w:cs="Times New Roman"/>
          <w:sz w:val="24"/>
          <w:szCs w:val="24"/>
        </w:rPr>
        <w:t>и запитване относно законосъобразното обработване на лични данни при туристическо настаняване, формата на събиране на данните и възможността за отказ от клиента за предоставяне на подробни данни. В отговор на запитването КЗЛД посочва, че законода</w:t>
      </w:r>
      <w:r w:rsidR="004552C7">
        <w:rPr>
          <w:rFonts w:ascii="Times New Roman" w:eastAsia="Batang" w:hAnsi="Times New Roman" w:cs="Times New Roman"/>
          <w:sz w:val="24"/>
          <w:szCs w:val="24"/>
        </w:rPr>
        <w:t>телят е въвел правни задължения</w:t>
      </w:r>
      <w:r w:rsidRPr="007404FA">
        <w:rPr>
          <w:rFonts w:ascii="Times New Roman" w:eastAsia="Batang" w:hAnsi="Times New Roman" w:cs="Times New Roman"/>
          <w:sz w:val="24"/>
          <w:szCs w:val="24"/>
        </w:rPr>
        <w:t xml:space="preserve"> в Закона за туризма и Зак</w:t>
      </w:r>
      <w:r w:rsidR="004552C7">
        <w:rPr>
          <w:rFonts w:ascii="Times New Roman" w:eastAsia="Batang" w:hAnsi="Times New Roman" w:cs="Times New Roman"/>
          <w:sz w:val="24"/>
          <w:szCs w:val="24"/>
        </w:rPr>
        <w:t>она за гражданската регистрация</w:t>
      </w:r>
      <w:r w:rsidRPr="007404FA">
        <w:rPr>
          <w:rFonts w:ascii="Times New Roman" w:eastAsia="Batang" w:hAnsi="Times New Roman" w:cs="Times New Roman"/>
          <w:sz w:val="24"/>
          <w:szCs w:val="24"/>
        </w:rPr>
        <w:t xml:space="preserve"> спрямо лицата</w:t>
      </w:r>
      <w:r w:rsidR="004552C7">
        <w:rPr>
          <w:rFonts w:ascii="Times New Roman" w:eastAsia="Batang" w:hAnsi="Times New Roman" w:cs="Times New Roman"/>
          <w:sz w:val="24"/>
          <w:szCs w:val="24"/>
        </w:rPr>
        <w:t>,</w:t>
      </w:r>
      <w:r w:rsidRPr="007404FA">
        <w:rPr>
          <w:rFonts w:ascii="Times New Roman" w:eastAsia="Batang" w:hAnsi="Times New Roman" w:cs="Times New Roman"/>
          <w:sz w:val="24"/>
          <w:szCs w:val="24"/>
        </w:rPr>
        <w:t xml:space="preserve"> извършващи хотелиерство</w:t>
      </w:r>
      <w:r w:rsidR="004552C7">
        <w:rPr>
          <w:rFonts w:ascii="Times New Roman" w:eastAsia="Batang" w:hAnsi="Times New Roman" w:cs="Times New Roman"/>
          <w:sz w:val="24"/>
          <w:szCs w:val="24"/>
        </w:rPr>
        <w:t>,</w:t>
      </w:r>
      <w:r w:rsidRPr="007404FA">
        <w:rPr>
          <w:rFonts w:ascii="Times New Roman" w:eastAsia="Batang" w:hAnsi="Times New Roman" w:cs="Times New Roman"/>
          <w:sz w:val="24"/>
          <w:szCs w:val="24"/>
        </w:rPr>
        <w:t xml:space="preserve"> да събират лични данни за гостите при тяхното настаняване, което от своя страна кореспондира с регламентираното в</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 xml:space="preserve">6, </w:t>
      </w:r>
      <w:r w:rsidR="004552C7">
        <w:rPr>
          <w:rFonts w:ascii="Times New Roman" w:eastAsia="Batang" w:hAnsi="Times New Roman" w:cs="Times New Roman"/>
          <w:sz w:val="24"/>
          <w:szCs w:val="24"/>
        </w:rPr>
        <w:t>§</w:t>
      </w:r>
      <w:r w:rsidRPr="007404FA">
        <w:rPr>
          <w:rFonts w:ascii="Times New Roman" w:eastAsia="Batang" w:hAnsi="Times New Roman" w:cs="Times New Roman"/>
          <w:sz w:val="24"/>
          <w:szCs w:val="24"/>
        </w:rPr>
        <w:t>1, б. „в“ от ОРЗД условие за законосъобразно обработване на лични данни. Относно възможността за клиента да откаже да предостави ли</w:t>
      </w:r>
      <w:r w:rsidR="004552C7">
        <w:rPr>
          <w:rFonts w:ascii="Times New Roman" w:eastAsia="Batang" w:hAnsi="Times New Roman" w:cs="Times New Roman"/>
          <w:sz w:val="24"/>
          <w:szCs w:val="24"/>
        </w:rPr>
        <w:t>чни данни</w:t>
      </w:r>
      <w:r w:rsidRPr="007404FA">
        <w:rPr>
          <w:rFonts w:ascii="Times New Roman" w:eastAsia="Batang" w:hAnsi="Times New Roman" w:cs="Times New Roman"/>
          <w:sz w:val="24"/>
          <w:szCs w:val="24"/>
        </w:rPr>
        <w:t xml:space="preserve"> следва да се отбележи</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213,</w:t>
      </w:r>
      <w:r w:rsidR="00F06583" w:rsidRPr="007404FA">
        <w:rPr>
          <w:rFonts w:ascii="Times New Roman" w:eastAsia="Batang" w:hAnsi="Times New Roman" w:cs="Times New Roman"/>
          <w:sz w:val="24"/>
          <w:szCs w:val="24"/>
        </w:rPr>
        <w:t xml:space="preserve"> ал. </w:t>
      </w:r>
      <w:r w:rsidRPr="007404FA">
        <w:rPr>
          <w:rFonts w:ascii="Times New Roman" w:eastAsia="Batang" w:hAnsi="Times New Roman" w:cs="Times New Roman"/>
          <w:sz w:val="24"/>
          <w:szCs w:val="24"/>
        </w:rPr>
        <w:t>3 от Закона за туризма, който има санкционен характер спрямо х</w:t>
      </w:r>
      <w:r w:rsidR="004552C7">
        <w:rPr>
          <w:rFonts w:ascii="Times New Roman" w:eastAsia="Batang" w:hAnsi="Times New Roman" w:cs="Times New Roman"/>
          <w:sz w:val="24"/>
          <w:szCs w:val="24"/>
        </w:rPr>
        <w:t>отелиер, който не води регистър</w:t>
      </w:r>
      <w:r w:rsidRPr="007404FA">
        <w:rPr>
          <w:rFonts w:ascii="Times New Roman" w:eastAsia="Batang" w:hAnsi="Times New Roman" w:cs="Times New Roman"/>
          <w:sz w:val="24"/>
          <w:szCs w:val="24"/>
        </w:rPr>
        <w:t xml:space="preserve"> съгласно изискванията на</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116, следователно за събирането на лични данни в тези случаи не се изисква съгласието на субектите на данни, т.е. при непредоставяне на данни хотелиерът следва да откаже настаняването, доколкото в противен случай би нарушил изискванията на закона.</w:t>
      </w:r>
    </w:p>
    <w:p w:rsidR="00E42714" w:rsidRPr="007404FA" w:rsidRDefault="00E42714"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 xml:space="preserve">Друго запитване </w:t>
      </w:r>
      <w:r w:rsidR="0006615D" w:rsidRPr="007404FA">
        <w:rPr>
          <w:rFonts w:ascii="Times New Roman" w:eastAsia="Batang" w:hAnsi="Times New Roman" w:cs="Times New Roman"/>
          <w:sz w:val="24"/>
          <w:szCs w:val="24"/>
        </w:rPr>
        <w:t>през 2022</w:t>
      </w:r>
      <w:r w:rsidR="00F06583" w:rsidRPr="007404FA">
        <w:rPr>
          <w:rFonts w:ascii="Times New Roman" w:eastAsia="Batang" w:hAnsi="Times New Roman" w:cs="Times New Roman"/>
          <w:sz w:val="24"/>
          <w:szCs w:val="24"/>
        </w:rPr>
        <w:t> г.</w:t>
      </w:r>
      <w:r w:rsidR="0006615D" w:rsidRPr="007404FA">
        <w:rPr>
          <w:rFonts w:ascii="Times New Roman" w:eastAsia="Batang" w:hAnsi="Times New Roman" w:cs="Times New Roman"/>
          <w:sz w:val="24"/>
          <w:szCs w:val="24"/>
        </w:rPr>
        <w:t xml:space="preserve"> </w:t>
      </w:r>
      <w:r w:rsidRPr="007404FA">
        <w:rPr>
          <w:rFonts w:ascii="Times New Roman" w:eastAsia="Batang" w:hAnsi="Times New Roman" w:cs="Times New Roman"/>
          <w:sz w:val="24"/>
          <w:szCs w:val="24"/>
        </w:rPr>
        <w:t>е относно възможността финансова институция да съхранява данни на лица, които не са нейни клиенти</w:t>
      </w:r>
      <w:r w:rsidR="004552C7">
        <w:rPr>
          <w:rFonts w:ascii="Times New Roman" w:eastAsia="Batang" w:hAnsi="Times New Roman" w:cs="Times New Roman"/>
          <w:sz w:val="24"/>
          <w:szCs w:val="24"/>
        </w:rPr>
        <w:t>, при положение</w:t>
      </w:r>
      <w:r w:rsidRPr="007404FA">
        <w:rPr>
          <w:rFonts w:ascii="Times New Roman" w:eastAsia="Batang" w:hAnsi="Times New Roman" w:cs="Times New Roman"/>
          <w:sz w:val="24"/>
          <w:szCs w:val="24"/>
        </w:rPr>
        <w:t xml:space="preserve"> че въпросните данни са получени от различни независими едни от други лица и институции въз основа на основанието по</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 xml:space="preserve">6, </w:t>
      </w:r>
      <w:r w:rsidR="004552C7">
        <w:rPr>
          <w:rFonts w:ascii="Times New Roman" w:eastAsia="Batang" w:hAnsi="Times New Roman" w:cs="Times New Roman"/>
          <w:sz w:val="24"/>
          <w:szCs w:val="24"/>
        </w:rPr>
        <w:t>§</w:t>
      </w:r>
      <w:r w:rsidRPr="007404FA">
        <w:rPr>
          <w:rFonts w:ascii="Times New Roman" w:eastAsia="Batang" w:hAnsi="Times New Roman" w:cs="Times New Roman"/>
          <w:sz w:val="24"/>
          <w:szCs w:val="24"/>
        </w:rPr>
        <w:t>1, б „е“. В отговора си КЗЛД у</w:t>
      </w:r>
      <w:r w:rsidR="004552C7">
        <w:rPr>
          <w:rFonts w:ascii="Times New Roman" w:eastAsia="Batang" w:hAnsi="Times New Roman" w:cs="Times New Roman"/>
          <w:sz w:val="24"/>
          <w:szCs w:val="24"/>
        </w:rPr>
        <w:t>точнява, че легитимният интерес</w:t>
      </w:r>
      <w:r w:rsidRPr="007404FA">
        <w:rPr>
          <w:rFonts w:ascii="Times New Roman" w:eastAsia="Batang" w:hAnsi="Times New Roman" w:cs="Times New Roman"/>
          <w:sz w:val="24"/>
          <w:szCs w:val="24"/>
        </w:rPr>
        <w:t xml:space="preserve"> за разлика от другите условия за законосъобразно обработване на лични данни, уредени в</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 xml:space="preserve">6 </w:t>
      </w:r>
      <w:r w:rsidR="004552C7">
        <w:rPr>
          <w:rFonts w:ascii="Times New Roman" w:eastAsia="Batang" w:hAnsi="Times New Roman" w:cs="Times New Roman"/>
          <w:sz w:val="24"/>
          <w:szCs w:val="24"/>
        </w:rPr>
        <w:t>§</w:t>
      </w:r>
      <w:r w:rsidRPr="007404FA">
        <w:rPr>
          <w:rFonts w:ascii="Times New Roman" w:eastAsia="Batang" w:hAnsi="Times New Roman" w:cs="Times New Roman"/>
          <w:sz w:val="24"/>
          <w:szCs w:val="24"/>
        </w:rPr>
        <w:t>1, от ОРЗД, не придава автоматично законосъобразност на действията на администратора. При него не съществува презумпцията за законосъобразност, а е необходимо да се намери баланс между законния (легитимен) интерес на администратора и интереса или основните права и сво</w:t>
      </w:r>
      <w:r w:rsidR="004552C7">
        <w:rPr>
          <w:rFonts w:ascii="Times New Roman" w:eastAsia="Batang" w:hAnsi="Times New Roman" w:cs="Times New Roman"/>
          <w:sz w:val="24"/>
          <w:szCs w:val="24"/>
        </w:rPr>
        <w:t>боди на физическото лице, за кое</w:t>
      </w:r>
      <w:r w:rsidRPr="007404FA">
        <w:rPr>
          <w:rFonts w:ascii="Times New Roman" w:eastAsia="Batang" w:hAnsi="Times New Roman" w:cs="Times New Roman"/>
          <w:sz w:val="24"/>
          <w:szCs w:val="24"/>
        </w:rPr>
        <w:t>то се отнасят данните. Дали ще е налице този баланс, зависи от изводите, които ще бъдат направени</w:t>
      </w:r>
      <w:r w:rsidR="004552C7">
        <w:rPr>
          <w:rFonts w:ascii="Times New Roman" w:eastAsia="Batang" w:hAnsi="Times New Roman" w:cs="Times New Roman"/>
          <w:sz w:val="24"/>
          <w:szCs w:val="24"/>
        </w:rPr>
        <w:t>,</w:t>
      </w:r>
      <w:r w:rsidRPr="007404FA">
        <w:rPr>
          <w:rFonts w:ascii="Times New Roman" w:eastAsia="Batang" w:hAnsi="Times New Roman" w:cs="Times New Roman"/>
          <w:sz w:val="24"/>
          <w:szCs w:val="24"/>
        </w:rPr>
        <w:t xml:space="preserve"> след като се извърши тестът за баланс между легитимните интереси на администратора и правата и свободите на субекта на данни. Комисията посочва, че под понятието „легитимен интерес“ Работната група по</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29 (заменена през 2018</w:t>
      </w:r>
      <w:r w:rsidR="00F06583" w:rsidRPr="007404FA">
        <w:rPr>
          <w:rFonts w:ascii="Times New Roman" w:eastAsia="Batang" w:hAnsi="Times New Roman" w:cs="Times New Roman"/>
          <w:sz w:val="24"/>
          <w:szCs w:val="24"/>
        </w:rPr>
        <w:t> г.</w:t>
      </w:r>
      <w:r w:rsidRPr="007404FA">
        <w:rPr>
          <w:rFonts w:ascii="Times New Roman" w:eastAsia="Batang" w:hAnsi="Times New Roman" w:cs="Times New Roman"/>
          <w:sz w:val="24"/>
          <w:szCs w:val="24"/>
        </w:rPr>
        <w:t xml:space="preserve"> с Европейския комитет по защита на данните) разбира интерес, който е в съответствие със закона.</w:t>
      </w:r>
    </w:p>
    <w:p w:rsidR="00E42714" w:rsidRPr="007404FA" w:rsidRDefault="00FC7F92"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През отчетната 2022</w:t>
      </w:r>
      <w:r w:rsidR="00F06583" w:rsidRPr="007404FA">
        <w:rPr>
          <w:rFonts w:ascii="Times New Roman" w:eastAsia="Batang" w:hAnsi="Times New Roman" w:cs="Times New Roman"/>
          <w:sz w:val="24"/>
          <w:szCs w:val="24"/>
        </w:rPr>
        <w:t> г.</w:t>
      </w:r>
      <w:r w:rsidRPr="007404FA">
        <w:rPr>
          <w:rFonts w:ascii="Times New Roman" w:eastAsia="Batang" w:hAnsi="Times New Roman" w:cs="Times New Roman"/>
          <w:sz w:val="24"/>
          <w:szCs w:val="24"/>
        </w:rPr>
        <w:t xml:space="preserve"> </w:t>
      </w:r>
      <w:r w:rsidR="00E42714" w:rsidRPr="007404FA">
        <w:rPr>
          <w:rFonts w:ascii="Times New Roman" w:eastAsia="Batang" w:hAnsi="Times New Roman" w:cs="Times New Roman"/>
          <w:sz w:val="24"/>
          <w:szCs w:val="24"/>
        </w:rPr>
        <w:t>КЗЛД получ</w:t>
      </w:r>
      <w:r w:rsidRPr="007404FA">
        <w:rPr>
          <w:rFonts w:ascii="Times New Roman" w:eastAsia="Batang" w:hAnsi="Times New Roman" w:cs="Times New Roman"/>
          <w:sz w:val="24"/>
          <w:szCs w:val="24"/>
        </w:rPr>
        <w:t>ава</w:t>
      </w:r>
      <w:r w:rsidR="00E42714" w:rsidRPr="007404FA">
        <w:rPr>
          <w:rFonts w:ascii="Times New Roman" w:eastAsia="Batang" w:hAnsi="Times New Roman" w:cs="Times New Roman"/>
          <w:sz w:val="24"/>
          <w:szCs w:val="24"/>
        </w:rPr>
        <w:t xml:space="preserve"> и запитване по отношение на упражняването на правото на изтриване на </w:t>
      </w:r>
      <w:r w:rsidR="004552C7" w:rsidRPr="007404FA">
        <w:rPr>
          <w:rFonts w:ascii="Times New Roman" w:eastAsia="Batang" w:hAnsi="Times New Roman" w:cs="Times New Roman"/>
          <w:sz w:val="24"/>
          <w:szCs w:val="24"/>
        </w:rPr>
        <w:t>информация, дадена</w:t>
      </w:r>
      <w:r w:rsidR="00E42714" w:rsidRPr="007404FA">
        <w:rPr>
          <w:rFonts w:ascii="Times New Roman" w:eastAsia="Batang" w:hAnsi="Times New Roman" w:cs="Times New Roman"/>
          <w:sz w:val="24"/>
          <w:szCs w:val="24"/>
        </w:rPr>
        <w:t xml:space="preserve"> във връзка със сключване на договор за потребителски кредит</w:t>
      </w:r>
      <w:r w:rsidR="00553661" w:rsidRPr="007404FA">
        <w:rPr>
          <w:rFonts w:ascii="Times New Roman" w:eastAsia="Batang" w:hAnsi="Times New Roman" w:cs="Times New Roman"/>
          <w:sz w:val="24"/>
          <w:szCs w:val="24"/>
        </w:rPr>
        <w:t xml:space="preserve"> – </w:t>
      </w:r>
      <w:r w:rsidR="00E42714" w:rsidRPr="007404FA">
        <w:rPr>
          <w:rFonts w:ascii="Times New Roman" w:eastAsia="Batang" w:hAnsi="Times New Roman" w:cs="Times New Roman"/>
          <w:sz w:val="24"/>
          <w:szCs w:val="24"/>
        </w:rPr>
        <w:t xml:space="preserve">закупуване на техника на изплащане. В конкретния казус не се е </w:t>
      </w:r>
      <w:r w:rsidR="00E42714" w:rsidRPr="007404FA">
        <w:rPr>
          <w:rFonts w:ascii="Times New Roman" w:eastAsia="Batang" w:hAnsi="Times New Roman" w:cs="Times New Roman"/>
          <w:sz w:val="24"/>
          <w:szCs w:val="24"/>
        </w:rPr>
        <w:lastRenderedPageBreak/>
        <w:t>стигнало до подписване на договора за кредит, тъй като лицето се е уплашило от обема лични данни, които предоставя</w:t>
      </w:r>
      <w:r w:rsidR="004552C7">
        <w:rPr>
          <w:rFonts w:ascii="Times New Roman" w:eastAsia="Batang" w:hAnsi="Times New Roman" w:cs="Times New Roman"/>
          <w:sz w:val="24"/>
          <w:szCs w:val="24"/>
        </w:rPr>
        <w:t>,</w:t>
      </w:r>
      <w:r w:rsidR="00E42714" w:rsidRPr="007404FA">
        <w:rPr>
          <w:rFonts w:ascii="Times New Roman" w:eastAsia="Batang" w:hAnsi="Times New Roman" w:cs="Times New Roman"/>
          <w:sz w:val="24"/>
          <w:szCs w:val="24"/>
        </w:rPr>
        <w:t xml:space="preserve"> и е поискало данните му да бъдат заличени от банката, която на свой ред е отказала. В отговора на запитването КЗЛД посочва, че независимо дали се е стигнало до сключването на договор, още със започването на преговорните отношения межд</w:t>
      </w:r>
      <w:r w:rsidR="004552C7">
        <w:rPr>
          <w:rFonts w:ascii="Times New Roman" w:eastAsia="Batang" w:hAnsi="Times New Roman" w:cs="Times New Roman"/>
          <w:sz w:val="24"/>
          <w:szCs w:val="24"/>
        </w:rPr>
        <w:t>у страните се установява правно</w:t>
      </w:r>
      <w:r w:rsidR="00E42714" w:rsidRPr="007404FA">
        <w:rPr>
          <w:rFonts w:ascii="Times New Roman" w:eastAsia="Batang" w:hAnsi="Times New Roman" w:cs="Times New Roman"/>
          <w:sz w:val="24"/>
          <w:szCs w:val="24"/>
        </w:rPr>
        <w:t>релевантна връзка</w:t>
      </w:r>
      <w:r w:rsidR="004552C7">
        <w:rPr>
          <w:rFonts w:ascii="Times New Roman" w:eastAsia="Batang" w:hAnsi="Times New Roman" w:cs="Times New Roman"/>
          <w:sz w:val="24"/>
          <w:szCs w:val="24"/>
        </w:rPr>
        <w:t>,</w:t>
      </w:r>
      <w:r w:rsidR="00E42714" w:rsidRPr="007404FA">
        <w:rPr>
          <w:rFonts w:ascii="Times New Roman" w:eastAsia="Batang" w:hAnsi="Times New Roman" w:cs="Times New Roman"/>
          <w:sz w:val="24"/>
          <w:szCs w:val="24"/>
        </w:rPr>
        <w:t xml:space="preserve"> или т.нар. преддоговорни отношения. Информацията, която е предоставена</w:t>
      </w:r>
      <w:r w:rsidR="00F4640B" w:rsidRPr="007404FA">
        <w:rPr>
          <w:rFonts w:ascii="Times New Roman" w:eastAsia="Batang" w:hAnsi="Times New Roman" w:cs="Times New Roman"/>
          <w:sz w:val="24"/>
          <w:szCs w:val="24"/>
        </w:rPr>
        <w:t>,</w:t>
      </w:r>
      <w:r w:rsidR="00E42714" w:rsidRPr="007404FA">
        <w:rPr>
          <w:rFonts w:ascii="Times New Roman" w:eastAsia="Batang" w:hAnsi="Times New Roman" w:cs="Times New Roman"/>
          <w:sz w:val="24"/>
          <w:szCs w:val="24"/>
        </w:rPr>
        <w:t xml:space="preserve"> съставлява част от преддоговорните отношения и съответно е обрабо</w:t>
      </w:r>
      <w:r w:rsidR="004552C7">
        <w:rPr>
          <w:rFonts w:ascii="Times New Roman" w:eastAsia="Batang" w:hAnsi="Times New Roman" w:cs="Times New Roman"/>
          <w:sz w:val="24"/>
          <w:szCs w:val="24"/>
        </w:rPr>
        <w:t>тена законосъобразно от банката</w:t>
      </w:r>
      <w:r w:rsidR="00E42714" w:rsidRPr="007404FA">
        <w:rPr>
          <w:rFonts w:ascii="Times New Roman" w:eastAsia="Batang" w:hAnsi="Times New Roman" w:cs="Times New Roman"/>
          <w:sz w:val="24"/>
          <w:szCs w:val="24"/>
        </w:rPr>
        <w:t xml:space="preserve"> съгласно</w:t>
      </w:r>
      <w:r w:rsidR="00F06583" w:rsidRPr="007404FA">
        <w:rPr>
          <w:rFonts w:ascii="Times New Roman" w:eastAsia="Batang" w:hAnsi="Times New Roman" w:cs="Times New Roman"/>
          <w:sz w:val="24"/>
          <w:szCs w:val="24"/>
        </w:rPr>
        <w:t xml:space="preserve"> чл. </w:t>
      </w:r>
      <w:r w:rsidR="00E42714" w:rsidRPr="007404FA">
        <w:rPr>
          <w:rFonts w:ascii="Times New Roman" w:eastAsia="Batang" w:hAnsi="Times New Roman" w:cs="Times New Roman"/>
          <w:sz w:val="24"/>
          <w:szCs w:val="24"/>
        </w:rPr>
        <w:t xml:space="preserve">6, </w:t>
      </w:r>
      <w:r w:rsidR="004552C7">
        <w:rPr>
          <w:rFonts w:ascii="Times New Roman" w:eastAsia="Batang" w:hAnsi="Times New Roman" w:cs="Times New Roman"/>
          <w:sz w:val="24"/>
          <w:szCs w:val="24"/>
        </w:rPr>
        <w:t>§</w:t>
      </w:r>
      <w:r w:rsidR="00E42714" w:rsidRPr="007404FA">
        <w:rPr>
          <w:rFonts w:ascii="Times New Roman" w:eastAsia="Batang" w:hAnsi="Times New Roman" w:cs="Times New Roman"/>
          <w:sz w:val="24"/>
          <w:szCs w:val="24"/>
        </w:rPr>
        <w:t xml:space="preserve">1, б. „б“ от ОРЗД. Независимо от наличието на законово основание за обработването на данните от банката, същата в качеството </w:t>
      </w:r>
      <w:r w:rsidR="004552C7">
        <w:rPr>
          <w:rFonts w:ascii="Times New Roman" w:eastAsia="Batang" w:hAnsi="Times New Roman" w:cs="Times New Roman"/>
          <w:sz w:val="24"/>
          <w:szCs w:val="24"/>
        </w:rPr>
        <w:t>ѝ на администратор</w:t>
      </w:r>
      <w:r w:rsidR="00E42714" w:rsidRPr="007404FA">
        <w:rPr>
          <w:rFonts w:ascii="Times New Roman" w:eastAsia="Batang" w:hAnsi="Times New Roman" w:cs="Times New Roman"/>
          <w:sz w:val="24"/>
          <w:szCs w:val="24"/>
        </w:rPr>
        <w:t xml:space="preserve"> трябва да спазва принципите за защита на личните данни, един от които е</w:t>
      </w:r>
      <w:r w:rsidR="00157B49">
        <w:rPr>
          <w:rFonts w:ascii="Times New Roman" w:eastAsia="Batang" w:hAnsi="Times New Roman" w:cs="Times New Roman"/>
          <w:sz w:val="24"/>
          <w:szCs w:val="24"/>
        </w:rPr>
        <w:t xml:space="preserve"> </w:t>
      </w:r>
      <w:r w:rsidR="00E42714" w:rsidRPr="007404FA">
        <w:rPr>
          <w:rFonts w:ascii="Times New Roman" w:eastAsia="Batang" w:hAnsi="Times New Roman" w:cs="Times New Roman"/>
          <w:sz w:val="24"/>
          <w:szCs w:val="24"/>
        </w:rPr>
        <w:t>ограничаване на съхранението на данните за период</w:t>
      </w:r>
      <w:r w:rsidR="004552C7">
        <w:rPr>
          <w:rFonts w:ascii="Times New Roman" w:eastAsia="Batang" w:hAnsi="Times New Roman" w:cs="Times New Roman"/>
          <w:sz w:val="24"/>
          <w:szCs w:val="24"/>
        </w:rPr>
        <w:t>,</w:t>
      </w:r>
      <w:r w:rsidR="00E42714" w:rsidRPr="007404FA">
        <w:rPr>
          <w:rFonts w:ascii="Times New Roman" w:eastAsia="Batang" w:hAnsi="Times New Roman" w:cs="Times New Roman"/>
          <w:sz w:val="24"/>
          <w:szCs w:val="24"/>
        </w:rPr>
        <w:t xml:space="preserve"> не по-дълъг от необходимото за изпълняване на целите по обработването.</w:t>
      </w:r>
    </w:p>
    <w:p w:rsidR="00E42714" w:rsidRPr="007404FA" w:rsidRDefault="00E42714"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През 2022</w:t>
      </w:r>
      <w:r w:rsidR="00F06583" w:rsidRPr="007404FA">
        <w:rPr>
          <w:rFonts w:ascii="Times New Roman" w:eastAsia="Batang" w:hAnsi="Times New Roman" w:cs="Times New Roman"/>
          <w:sz w:val="24"/>
          <w:szCs w:val="24"/>
        </w:rPr>
        <w:t> г.</w:t>
      </w:r>
      <w:r w:rsidRPr="007404FA">
        <w:rPr>
          <w:rFonts w:ascii="Times New Roman" w:eastAsia="Batang" w:hAnsi="Times New Roman" w:cs="Times New Roman"/>
          <w:sz w:val="24"/>
          <w:szCs w:val="24"/>
        </w:rPr>
        <w:t xml:space="preserve"> в КЗЛД постъп</w:t>
      </w:r>
      <w:r w:rsidR="008B4D45" w:rsidRPr="007404FA">
        <w:rPr>
          <w:rFonts w:ascii="Times New Roman" w:eastAsia="Batang" w:hAnsi="Times New Roman" w:cs="Times New Roman"/>
          <w:sz w:val="24"/>
          <w:szCs w:val="24"/>
        </w:rPr>
        <w:t>ва</w:t>
      </w:r>
      <w:r w:rsidR="004552C7">
        <w:rPr>
          <w:rFonts w:ascii="Times New Roman" w:eastAsia="Batang" w:hAnsi="Times New Roman" w:cs="Times New Roman"/>
          <w:sz w:val="24"/>
          <w:szCs w:val="24"/>
        </w:rPr>
        <w:t xml:space="preserve"> и писмо от физическо лице</w:t>
      </w:r>
      <w:r w:rsidRPr="007404FA">
        <w:rPr>
          <w:rFonts w:ascii="Times New Roman" w:eastAsia="Batang" w:hAnsi="Times New Roman" w:cs="Times New Roman"/>
          <w:sz w:val="24"/>
          <w:szCs w:val="24"/>
        </w:rPr>
        <w:t xml:space="preserve"> във връзка с организацията при работа с квалифициран електронен подпис в болнично заведение и предвиждането на подходящи мерки, които да ограничат достъпа с оглед недопускане на злоупотреби и изтичане на лични данни. Във връзка с това КЗЛД посочва, че болничното заведение, като администратор на лични данни, следва да организира достъпа и употребата на КЕП на всеки служител по начин</w:t>
      </w:r>
      <w:r w:rsidR="00467BF0" w:rsidRPr="007404FA">
        <w:rPr>
          <w:rFonts w:ascii="Times New Roman" w:eastAsia="Batang" w:hAnsi="Times New Roman" w:cs="Times New Roman"/>
          <w:sz w:val="24"/>
          <w:szCs w:val="24"/>
        </w:rPr>
        <w:t>,</w:t>
      </w:r>
      <w:r w:rsidRPr="007404FA">
        <w:rPr>
          <w:rFonts w:ascii="Times New Roman" w:eastAsia="Batang" w:hAnsi="Times New Roman" w:cs="Times New Roman"/>
          <w:sz w:val="24"/>
          <w:szCs w:val="24"/>
        </w:rPr>
        <w:t xml:space="preserve"> непозволяващ употреба на КЕП и парола от лице, различно от това, на което са издадени последните. Тези мерки следва да се въведат от администратора с вътрешни правила или процедури, които да гарантират отчетността на администратора по смисъла на</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24 от Регламент (ЕС) 2016/679. От друга страна</w:t>
      </w:r>
      <w:r w:rsidR="004552C7">
        <w:rPr>
          <w:rFonts w:ascii="Times New Roman" w:eastAsia="Batang" w:hAnsi="Times New Roman" w:cs="Times New Roman"/>
          <w:sz w:val="24"/>
          <w:szCs w:val="24"/>
        </w:rPr>
        <w:t>,</w:t>
      </w:r>
      <w:r w:rsidRPr="007404FA">
        <w:rPr>
          <w:rFonts w:ascii="Times New Roman" w:eastAsia="Batang" w:hAnsi="Times New Roman" w:cs="Times New Roman"/>
          <w:sz w:val="24"/>
          <w:szCs w:val="24"/>
        </w:rPr>
        <w:t xml:space="preserve"> се отбелязва, че физическото лице, на което е издаден електронния</w:t>
      </w:r>
      <w:r w:rsidR="004552C7">
        <w:rPr>
          <w:rFonts w:ascii="Times New Roman" w:eastAsia="Batang" w:hAnsi="Times New Roman" w:cs="Times New Roman"/>
          <w:sz w:val="24"/>
          <w:szCs w:val="24"/>
        </w:rPr>
        <w:t>т</w:t>
      </w:r>
      <w:r w:rsidRPr="007404FA">
        <w:rPr>
          <w:rFonts w:ascii="Times New Roman" w:eastAsia="Batang" w:hAnsi="Times New Roman" w:cs="Times New Roman"/>
          <w:sz w:val="24"/>
          <w:szCs w:val="24"/>
        </w:rPr>
        <w:t xml:space="preserve"> подпис, носи лична отговорност за съхранението и използването му.</w:t>
      </w:r>
    </w:p>
    <w:p w:rsidR="00E42714" w:rsidRPr="007404FA" w:rsidRDefault="0046671B"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През годината са получени</w:t>
      </w:r>
      <w:r w:rsidR="004552C7">
        <w:rPr>
          <w:rFonts w:ascii="Times New Roman" w:eastAsia="Batang" w:hAnsi="Times New Roman" w:cs="Times New Roman"/>
          <w:sz w:val="24"/>
          <w:szCs w:val="24"/>
        </w:rPr>
        <w:t xml:space="preserve"> множество запитвания</w:t>
      </w:r>
      <w:r w:rsidR="00E42714" w:rsidRPr="007404FA">
        <w:rPr>
          <w:rFonts w:ascii="Times New Roman" w:eastAsia="Batang" w:hAnsi="Times New Roman" w:cs="Times New Roman"/>
          <w:sz w:val="24"/>
          <w:szCs w:val="24"/>
        </w:rPr>
        <w:t xml:space="preserve"> дали копирането на личен документ от кредитна или финансова институция е законосъобразно. В отговорите </w:t>
      </w:r>
      <w:r w:rsidR="004552C7">
        <w:rPr>
          <w:rFonts w:ascii="Times New Roman" w:eastAsia="Batang" w:hAnsi="Times New Roman" w:cs="Times New Roman"/>
          <w:sz w:val="24"/>
          <w:szCs w:val="24"/>
        </w:rPr>
        <w:t>си КЗЛД</w:t>
      </w:r>
      <w:r w:rsidR="009F78D4" w:rsidRPr="007404FA">
        <w:rPr>
          <w:rFonts w:ascii="Times New Roman" w:eastAsia="Batang" w:hAnsi="Times New Roman" w:cs="Times New Roman"/>
          <w:sz w:val="24"/>
          <w:szCs w:val="24"/>
        </w:rPr>
        <w:t xml:space="preserve"> съгласно трайната си</w:t>
      </w:r>
      <w:r w:rsidR="004552C7">
        <w:rPr>
          <w:rFonts w:ascii="Times New Roman" w:eastAsia="Batang" w:hAnsi="Times New Roman" w:cs="Times New Roman"/>
          <w:sz w:val="24"/>
          <w:szCs w:val="24"/>
        </w:rPr>
        <w:t xml:space="preserve"> практика</w:t>
      </w:r>
      <w:r w:rsidR="00E42714" w:rsidRPr="007404FA">
        <w:rPr>
          <w:rFonts w:ascii="Times New Roman" w:eastAsia="Batang" w:hAnsi="Times New Roman" w:cs="Times New Roman"/>
          <w:sz w:val="24"/>
          <w:szCs w:val="24"/>
        </w:rPr>
        <w:t xml:space="preserve"> разяснява, че банковите и финансовите институции са администратори на лични данни и като такива </w:t>
      </w:r>
      <w:r w:rsidR="00532C2A" w:rsidRPr="007404FA">
        <w:rPr>
          <w:rFonts w:ascii="Times New Roman" w:eastAsia="Batang" w:hAnsi="Times New Roman" w:cs="Times New Roman"/>
          <w:sz w:val="24"/>
          <w:szCs w:val="24"/>
        </w:rPr>
        <w:t>следва</w:t>
      </w:r>
      <w:r w:rsidR="00E42714" w:rsidRPr="007404FA">
        <w:rPr>
          <w:rFonts w:ascii="Times New Roman" w:eastAsia="Batang" w:hAnsi="Times New Roman" w:cs="Times New Roman"/>
          <w:sz w:val="24"/>
          <w:szCs w:val="24"/>
        </w:rPr>
        <w:t xml:space="preserve"> стриктно да спазват законовите разпоредби за защита на личните данни, като същите обработват събраните от клиентите им лични данни на основание </w:t>
      </w:r>
      <w:r w:rsidR="004552C7">
        <w:rPr>
          <w:rFonts w:ascii="Times New Roman" w:eastAsia="Batang" w:hAnsi="Times New Roman" w:cs="Times New Roman"/>
          <w:sz w:val="24"/>
          <w:szCs w:val="24"/>
        </w:rPr>
        <w:t>спазване на законово задължение</w:t>
      </w:r>
      <w:r w:rsidR="00E42714" w:rsidRPr="007404FA">
        <w:rPr>
          <w:rFonts w:ascii="Times New Roman" w:eastAsia="Batang" w:hAnsi="Times New Roman" w:cs="Times New Roman"/>
          <w:sz w:val="24"/>
          <w:szCs w:val="24"/>
        </w:rPr>
        <w:t xml:space="preserve"> съгласно</w:t>
      </w:r>
      <w:r w:rsidR="00157B49">
        <w:rPr>
          <w:rFonts w:ascii="Times New Roman" w:eastAsia="Batang" w:hAnsi="Times New Roman" w:cs="Times New Roman"/>
          <w:sz w:val="24"/>
          <w:szCs w:val="24"/>
        </w:rPr>
        <w:t xml:space="preserve"> </w:t>
      </w:r>
      <w:r w:rsidR="00F06583" w:rsidRPr="007404FA">
        <w:rPr>
          <w:rFonts w:ascii="Times New Roman" w:eastAsia="Batang" w:hAnsi="Times New Roman" w:cs="Times New Roman"/>
          <w:sz w:val="24"/>
          <w:szCs w:val="24"/>
        </w:rPr>
        <w:t>чл. </w:t>
      </w:r>
      <w:r w:rsidR="00E42714" w:rsidRPr="007404FA">
        <w:rPr>
          <w:rFonts w:ascii="Times New Roman" w:eastAsia="Batang" w:hAnsi="Times New Roman" w:cs="Times New Roman"/>
          <w:sz w:val="24"/>
          <w:szCs w:val="24"/>
        </w:rPr>
        <w:t>6,</w:t>
      </w:r>
      <w:r w:rsidR="00F06583" w:rsidRPr="007404FA">
        <w:rPr>
          <w:rFonts w:ascii="Times New Roman" w:eastAsia="Batang" w:hAnsi="Times New Roman" w:cs="Times New Roman"/>
          <w:sz w:val="24"/>
          <w:szCs w:val="24"/>
        </w:rPr>
        <w:t xml:space="preserve"> т. </w:t>
      </w:r>
      <w:r w:rsidR="00E42714" w:rsidRPr="007404FA">
        <w:rPr>
          <w:rFonts w:ascii="Times New Roman" w:eastAsia="Batang" w:hAnsi="Times New Roman" w:cs="Times New Roman"/>
          <w:sz w:val="24"/>
          <w:szCs w:val="24"/>
        </w:rPr>
        <w:t>1, б. „в“ от ОРЗД.</w:t>
      </w:r>
      <w:r w:rsidR="00157B49">
        <w:rPr>
          <w:rFonts w:ascii="Times New Roman" w:eastAsia="Batang" w:hAnsi="Times New Roman" w:cs="Times New Roman"/>
          <w:sz w:val="24"/>
          <w:szCs w:val="24"/>
        </w:rPr>
        <w:t xml:space="preserve"> </w:t>
      </w:r>
      <w:r w:rsidR="00E42714" w:rsidRPr="007404FA">
        <w:rPr>
          <w:rFonts w:ascii="Times New Roman" w:eastAsia="Batang" w:hAnsi="Times New Roman" w:cs="Times New Roman"/>
          <w:sz w:val="24"/>
          <w:szCs w:val="24"/>
        </w:rPr>
        <w:t xml:space="preserve">В качеството си на </w:t>
      </w:r>
      <w:r w:rsidR="004552C7">
        <w:rPr>
          <w:rFonts w:ascii="Times New Roman" w:eastAsia="Batang" w:hAnsi="Times New Roman" w:cs="Times New Roman"/>
          <w:sz w:val="24"/>
          <w:szCs w:val="24"/>
        </w:rPr>
        <w:t>кредитни и финансови институции</w:t>
      </w:r>
      <w:r w:rsidR="00E42714" w:rsidRPr="007404FA">
        <w:rPr>
          <w:rFonts w:ascii="Times New Roman" w:eastAsia="Batang" w:hAnsi="Times New Roman" w:cs="Times New Roman"/>
          <w:sz w:val="24"/>
          <w:szCs w:val="24"/>
        </w:rPr>
        <w:t xml:space="preserve"> същите са задължени субекти по Закона за мерките срещу изпирането на пари</w:t>
      </w:r>
      <w:r w:rsidR="009C315E" w:rsidRPr="007404FA">
        <w:rPr>
          <w:rFonts w:ascii="Times New Roman" w:eastAsia="Batang" w:hAnsi="Times New Roman" w:cs="Times New Roman"/>
          <w:sz w:val="24"/>
          <w:szCs w:val="24"/>
        </w:rPr>
        <w:t xml:space="preserve"> (ЗМИП)</w:t>
      </w:r>
      <w:r w:rsidR="00E42714" w:rsidRPr="007404FA">
        <w:rPr>
          <w:rFonts w:ascii="Times New Roman" w:eastAsia="Batang" w:hAnsi="Times New Roman" w:cs="Times New Roman"/>
          <w:sz w:val="24"/>
          <w:szCs w:val="24"/>
        </w:rPr>
        <w:t xml:space="preserve"> и са длъжни да извършват комплексни проверки на клиентите си. Един от компонентите на к</w:t>
      </w:r>
      <w:r w:rsidR="004552C7">
        <w:rPr>
          <w:rFonts w:ascii="Times New Roman" w:eastAsia="Batang" w:hAnsi="Times New Roman" w:cs="Times New Roman"/>
          <w:sz w:val="24"/>
          <w:szCs w:val="24"/>
        </w:rPr>
        <w:t>омплексната проверка</w:t>
      </w:r>
      <w:r w:rsidR="00E42714" w:rsidRPr="007404FA">
        <w:rPr>
          <w:rFonts w:ascii="Times New Roman" w:eastAsia="Batang" w:hAnsi="Times New Roman" w:cs="Times New Roman"/>
          <w:sz w:val="24"/>
          <w:szCs w:val="24"/>
        </w:rPr>
        <w:t xml:space="preserve"> съгласно</w:t>
      </w:r>
      <w:r w:rsidR="00F06583" w:rsidRPr="007404FA">
        <w:rPr>
          <w:rFonts w:ascii="Times New Roman" w:eastAsia="Batang" w:hAnsi="Times New Roman" w:cs="Times New Roman"/>
          <w:sz w:val="24"/>
          <w:szCs w:val="24"/>
        </w:rPr>
        <w:t xml:space="preserve"> чл. </w:t>
      </w:r>
      <w:r w:rsidR="00E42714" w:rsidRPr="007404FA">
        <w:rPr>
          <w:rFonts w:ascii="Times New Roman" w:eastAsia="Batang" w:hAnsi="Times New Roman" w:cs="Times New Roman"/>
          <w:sz w:val="24"/>
          <w:szCs w:val="24"/>
        </w:rPr>
        <w:t xml:space="preserve">10 от ЗМИП </w:t>
      </w:r>
      <w:r w:rsidR="004552C7">
        <w:rPr>
          <w:rFonts w:ascii="Times New Roman" w:eastAsia="Batang" w:hAnsi="Times New Roman" w:cs="Times New Roman"/>
          <w:sz w:val="24"/>
          <w:szCs w:val="24"/>
        </w:rPr>
        <w:t>са</w:t>
      </w:r>
      <w:r w:rsidR="00E42714" w:rsidRPr="007404FA">
        <w:rPr>
          <w:rFonts w:ascii="Times New Roman" w:eastAsia="Batang" w:hAnsi="Times New Roman" w:cs="Times New Roman"/>
          <w:sz w:val="24"/>
          <w:szCs w:val="24"/>
        </w:rPr>
        <w:t xml:space="preserve"> идентифициране на клиенти и пр</w:t>
      </w:r>
      <w:r w:rsidR="004552C7">
        <w:rPr>
          <w:rFonts w:ascii="Times New Roman" w:eastAsia="Batang" w:hAnsi="Times New Roman" w:cs="Times New Roman"/>
          <w:sz w:val="24"/>
          <w:szCs w:val="24"/>
        </w:rPr>
        <w:t>оверка на тяхната идентификация</w:t>
      </w:r>
      <w:r w:rsidR="00E42714" w:rsidRPr="007404FA">
        <w:rPr>
          <w:rFonts w:ascii="Times New Roman" w:eastAsia="Batang" w:hAnsi="Times New Roman" w:cs="Times New Roman"/>
          <w:sz w:val="24"/>
          <w:szCs w:val="24"/>
        </w:rPr>
        <w:t xml:space="preserve"> въз основа на документи, данни или информация, получени от надеждни и независими източници. Идентифицирането съгласно</w:t>
      </w:r>
      <w:r w:rsidR="00F06583" w:rsidRPr="007404FA">
        <w:rPr>
          <w:rFonts w:ascii="Times New Roman" w:eastAsia="Batang" w:hAnsi="Times New Roman" w:cs="Times New Roman"/>
          <w:sz w:val="24"/>
          <w:szCs w:val="24"/>
        </w:rPr>
        <w:t xml:space="preserve"> чл. </w:t>
      </w:r>
      <w:r w:rsidR="00E42714" w:rsidRPr="007404FA">
        <w:rPr>
          <w:rFonts w:ascii="Times New Roman" w:eastAsia="Batang" w:hAnsi="Times New Roman" w:cs="Times New Roman"/>
          <w:sz w:val="24"/>
          <w:szCs w:val="24"/>
        </w:rPr>
        <w:t>53,</w:t>
      </w:r>
      <w:r w:rsidR="00F06583" w:rsidRPr="007404FA">
        <w:rPr>
          <w:rFonts w:ascii="Times New Roman" w:eastAsia="Batang" w:hAnsi="Times New Roman" w:cs="Times New Roman"/>
          <w:sz w:val="24"/>
          <w:szCs w:val="24"/>
        </w:rPr>
        <w:t xml:space="preserve"> ал. </w:t>
      </w:r>
      <w:r w:rsidR="00E42714" w:rsidRPr="007404FA">
        <w:rPr>
          <w:rFonts w:ascii="Times New Roman" w:eastAsia="Batang" w:hAnsi="Times New Roman" w:cs="Times New Roman"/>
          <w:sz w:val="24"/>
          <w:szCs w:val="24"/>
        </w:rPr>
        <w:t>1 от ЗМИП се из</w:t>
      </w:r>
      <w:r w:rsidR="004552C7">
        <w:rPr>
          <w:rFonts w:ascii="Times New Roman" w:eastAsia="Batang" w:hAnsi="Times New Roman" w:cs="Times New Roman"/>
          <w:sz w:val="24"/>
          <w:szCs w:val="24"/>
        </w:rPr>
        <w:t>вършва</w:t>
      </w:r>
      <w:r w:rsidR="00E42714" w:rsidRPr="007404FA">
        <w:rPr>
          <w:rFonts w:ascii="Times New Roman" w:eastAsia="Batang" w:hAnsi="Times New Roman" w:cs="Times New Roman"/>
          <w:sz w:val="24"/>
          <w:szCs w:val="24"/>
        </w:rPr>
        <w:t xml:space="preserve"> чрез</w:t>
      </w:r>
      <w:r w:rsidR="00157B49">
        <w:rPr>
          <w:rFonts w:ascii="Times New Roman" w:eastAsia="Batang" w:hAnsi="Times New Roman" w:cs="Times New Roman"/>
          <w:sz w:val="24"/>
          <w:szCs w:val="24"/>
        </w:rPr>
        <w:t xml:space="preserve"> </w:t>
      </w:r>
      <w:r w:rsidR="00E42714" w:rsidRPr="007404FA">
        <w:rPr>
          <w:rFonts w:ascii="Times New Roman" w:eastAsia="Batang" w:hAnsi="Times New Roman" w:cs="Times New Roman"/>
          <w:sz w:val="24"/>
          <w:szCs w:val="24"/>
        </w:rPr>
        <w:t>представяне на официален документ за самоличност и снемане на копие от него.</w:t>
      </w:r>
    </w:p>
    <w:p w:rsidR="00E42714" w:rsidRPr="007404FA" w:rsidRDefault="00333B6D"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lastRenderedPageBreak/>
        <w:t>Комисията</w:t>
      </w:r>
      <w:r w:rsidR="00E42714" w:rsidRPr="007404FA">
        <w:rPr>
          <w:rFonts w:ascii="Times New Roman" w:eastAsia="Batang" w:hAnsi="Times New Roman" w:cs="Times New Roman"/>
          <w:sz w:val="24"/>
          <w:szCs w:val="24"/>
        </w:rPr>
        <w:t xml:space="preserve"> получава и множество запитвания по отношение на възможността за упражняването на правото на изтриване на лични данни, обработвани от финансови институции. В своите отговори КЗЛД посочва, че в качест</w:t>
      </w:r>
      <w:r w:rsidR="004552C7">
        <w:rPr>
          <w:rFonts w:ascii="Times New Roman" w:eastAsia="Batang" w:hAnsi="Times New Roman" w:cs="Times New Roman"/>
          <w:sz w:val="24"/>
          <w:szCs w:val="24"/>
        </w:rPr>
        <w:t>вото им на финансови институции</w:t>
      </w:r>
      <w:r w:rsidR="00E42714" w:rsidRPr="007404FA">
        <w:rPr>
          <w:rFonts w:ascii="Times New Roman" w:eastAsia="Batang" w:hAnsi="Times New Roman" w:cs="Times New Roman"/>
          <w:sz w:val="24"/>
          <w:szCs w:val="24"/>
        </w:rPr>
        <w:t xml:space="preserve"> същите отн</w:t>
      </w:r>
      <w:r w:rsidR="004552C7">
        <w:rPr>
          <w:rFonts w:ascii="Times New Roman" w:eastAsia="Batang" w:hAnsi="Times New Roman" w:cs="Times New Roman"/>
          <w:sz w:val="24"/>
          <w:szCs w:val="24"/>
        </w:rPr>
        <w:t>ово се явяват задължени субекти</w:t>
      </w:r>
      <w:r w:rsidR="00E42714" w:rsidRPr="007404FA">
        <w:rPr>
          <w:rFonts w:ascii="Times New Roman" w:eastAsia="Batang" w:hAnsi="Times New Roman" w:cs="Times New Roman"/>
          <w:sz w:val="24"/>
          <w:szCs w:val="24"/>
        </w:rPr>
        <w:t xml:space="preserve"> по редица закони, сред които ЗМИП, Закона за кредитните институции, Закон</w:t>
      </w:r>
      <w:r w:rsidR="004552C7">
        <w:rPr>
          <w:rFonts w:ascii="Times New Roman" w:eastAsia="Batang" w:hAnsi="Times New Roman" w:cs="Times New Roman"/>
          <w:sz w:val="24"/>
          <w:szCs w:val="24"/>
        </w:rPr>
        <w:t>а</w:t>
      </w:r>
      <w:r w:rsidR="00E42714" w:rsidRPr="007404FA">
        <w:rPr>
          <w:rFonts w:ascii="Times New Roman" w:eastAsia="Batang" w:hAnsi="Times New Roman" w:cs="Times New Roman"/>
          <w:sz w:val="24"/>
          <w:szCs w:val="24"/>
        </w:rPr>
        <w:t xml:space="preserve"> за платежните услуги и платежните системи, Наредба №26 от 23 април 2009</w:t>
      </w:r>
      <w:r w:rsidR="00F06583" w:rsidRPr="007404FA">
        <w:rPr>
          <w:rFonts w:ascii="Times New Roman" w:eastAsia="Batang" w:hAnsi="Times New Roman" w:cs="Times New Roman"/>
          <w:sz w:val="24"/>
          <w:szCs w:val="24"/>
        </w:rPr>
        <w:t> г.</w:t>
      </w:r>
      <w:r w:rsidR="00E42714" w:rsidRPr="007404FA">
        <w:rPr>
          <w:rFonts w:ascii="Times New Roman" w:eastAsia="Batang" w:hAnsi="Times New Roman" w:cs="Times New Roman"/>
          <w:sz w:val="24"/>
          <w:szCs w:val="24"/>
        </w:rPr>
        <w:t xml:space="preserve"> за финансовите институции, Закона за счетоводството и други.</w:t>
      </w:r>
      <w:r w:rsidR="00157B49">
        <w:rPr>
          <w:rFonts w:ascii="Times New Roman" w:eastAsia="Batang" w:hAnsi="Times New Roman" w:cs="Times New Roman"/>
          <w:sz w:val="24"/>
          <w:szCs w:val="24"/>
        </w:rPr>
        <w:t xml:space="preserve"> </w:t>
      </w:r>
      <w:r w:rsidR="00E42714" w:rsidRPr="007404FA">
        <w:rPr>
          <w:rFonts w:ascii="Times New Roman" w:eastAsia="Batang" w:hAnsi="Times New Roman" w:cs="Times New Roman"/>
          <w:sz w:val="24"/>
          <w:szCs w:val="24"/>
        </w:rPr>
        <w:t>В</w:t>
      </w:r>
      <w:r w:rsidR="00F06583" w:rsidRPr="007404FA">
        <w:rPr>
          <w:rFonts w:ascii="Times New Roman" w:eastAsia="Batang" w:hAnsi="Times New Roman" w:cs="Times New Roman"/>
          <w:sz w:val="24"/>
          <w:szCs w:val="24"/>
        </w:rPr>
        <w:t xml:space="preserve"> чл. </w:t>
      </w:r>
      <w:r w:rsidR="00E42714" w:rsidRPr="007404FA">
        <w:rPr>
          <w:rFonts w:ascii="Times New Roman" w:eastAsia="Batang" w:hAnsi="Times New Roman" w:cs="Times New Roman"/>
          <w:sz w:val="24"/>
          <w:szCs w:val="24"/>
        </w:rPr>
        <w:t>15,</w:t>
      </w:r>
      <w:r w:rsidR="00F06583" w:rsidRPr="007404FA">
        <w:rPr>
          <w:rFonts w:ascii="Times New Roman" w:eastAsia="Batang" w:hAnsi="Times New Roman" w:cs="Times New Roman"/>
          <w:sz w:val="24"/>
          <w:szCs w:val="24"/>
        </w:rPr>
        <w:t xml:space="preserve"> ал. </w:t>
      </w:r>
      <w:r w:rsidR="004552C7">
        <w:rPr>
          <w:rFonts w:ascii="Times New Roman" w:eastAsia="Batang" w:hAnsi="Times New Roman" w:cs="Times New Roman"/>
          <w:sz w:val="24"/>
          <w:szCs w:val="24"/>
        </w:rPr>
        <w:t>4 от Наредба №</w:t>
      </w:r>
      <w:r w:rsidR="00E42714" w:rsidRPr="007404FA">
        <w:rPr>
          <w:rFonts w:ascii="Times New Roman" w:eastAsia="Batang" w:hAnsi="Times New Roman" w:cs="Times New Roman"/>
          <w:sz w:val="24"/>
          <w:szCs w:val="24"/>
        </w:rPr>
        <w:t>26 от 23 април 2009</w:t>
      </w:r>
      <w:r w:rsidR="00F06583" w:rsidRPr="007404FA">
        <w:rPr>
          <w:rFonts w:ascii="Times New Roman" w:eastAsia="Batang" w:hAnsi="Times New Roman" w:cs="Times New Roman"/>
          <w:sz w:val="24"/>
          <w:szCs w:val="24"/>
        </w:rPr>
        <w:t> г.</w:t>
      </w:r>
      <w:r w:rsidR="00E42714" w:rsidRPr="007404FA">
        <w:rPr>
          <w:rFonts w:ascii="Times New Roman" w:eastAsia="Batang" w:hAnsi="Times New Roman" w:cs="Times New Roman"/>
          <w:sz w:val="24"/>
          <w:szCs w:val="24"/>
        </w:rPr>
        <w:t xml:space="preserve"> за финансовите институции е посочено, че финансовите институции трябва да съхраняват най-малко 5 години цялата счетоводна и друга информация и документи относно осъществяваната от тях дейност, включително по сключените договори. Съгласно</w:t>
      </w:r>
      <w:r w:rsidR="00F06583" w:rsidRPr="007404FA">
        <w:rPr>
          <w:rFonts w:ascii="Times New Roman" w:eastAsia="Batang" w:hAnsi="Times New Roman" w:cs="Times New Roman"/>
          <w:sz w:val="24"/>
          <w:szCs w:val="24"/>
        </w:rPr>
        <w:t xml:space="preserve"> чл. </w:t>
      </w:r>
      <w:r w:rsidR="00E42714" w:rsidRPr="007404FA">
        <w:rPr>
          <w:rFonts w:ascii="Times New Roman" w:eastAsia="Batang" w:hAnsi="Times New Roman" w:cs="Times New Roman"/>
          <w:sz w:val="24"/>
          <w:szCs w:val="24"/>
        </w:rPr>
        <w:t>67,</w:t>
      </w:r>
      <w:r w:rsidR="00F06583" w:rsidRPr="007404FA">
        <w:rPr>
          <w:rFonts w:ascii="Times New Roman" w:eastAsia="Batang" w:hAnsi="Times New Roman" w:cs="Times New Roman"/>
          <w:sz w:val="24"/>
          <w:szCs w:val="24"/>
        </w:rPr>
        <w:t xml:space="preserve"> ал. </w:t>
      </w:r>
      <w:r w:rsidR="00E42714" w:rsidRPr="007404FA">
        <w:rPr>
          <w:rFonts w:ascii="Times New Roman" w:eastAsia="Batang" w:hAnsi="Times New Roman" w:cs="Times New Roman"/>
          <w:sz w:val="24"/>
          <w:szCs w:val="24"/>
        </w:rPr>
        <w:t>1 от ЗМИП</w:t>
      </w:r>
      <w:r w:rsidR="00FC7DB4">
        <w:rPr>
          <w:rFonts w:ascii="Times New Roman" w:eastAsia="Batang" w:hAnsi="Times New Roman" w:cs="Times New Roman"/>
          <w:sz w:val="24"/>
          <w:szCs w:val="24"/>
        </w:rPr>
        <w:t>,</w:t>
      </w:r>
      <w:r w:rsidR="00E42714" w:rsidRPr="007404FA">
        <w:rPr>
          <w:rFonts w:ascii="Times New Roman" w:eastAsia="Batang" w:hAnsi="Times New Roman" w:cs="Times New Roman"/>
          <w:sz w:val="24"/>
          <w:szCs w:val="24"/>
        </w:rPr>
        <w:t xml:space="preserve"> доколкото горепосочените дружества са задължени субекти по ЗМИП (чл. 4,</w:t>
      </w:r>
      <w:r w:rsidR="00F06583" w:rsidRPr="007404FA">
        <w:rPr>
          <w:rFonts w:ascii="Times New Roman" w:eastAsia="Batang" w:hAnsi="Times New Roman" w:cs="Times New Roman"/>
          <w:sz w:val="24"/>
          <w:szCs w:val="24"/>
        </w:rPr>
        <w:t xml:space="preserve"> ал. </w:t>
      </w:r>
      <w:r w:rsidR="00E42714" w:rsidRPr="007404FA">
        <w:rPr>
          <w:rFonts w:ascii="Times New Roman" w:eastAsia="Batang" w:hAnsi="Times New Roman" w:cs="Times New Roman"/>
          <w:sz w:val="24"/>
          <w:szCs w:val="24"/>
        </w:rPr>
        <w:t>1,</w:t>
      </w:r>
      <w:r w:rsidR="00F06583" w:rsidRPr="007404FA">
        <w:rPr>
          <w:rFonts w:ascii="Times New Roman" w:eastAsia="Batang" w:hAnsi="Times New Roman" w:cs="Times New Roman"/>
          <w:sz w:val="24"/>
          <w:szCs w:val="24"/>
        </w:rPr>
        <w:t xml:space="preserve"> т. </w:t>
      </w:r>
      <w:r w:rsidR="00E42714" w:rsidRPr="007404FA">
        <w:rPr>
          <w:rFonts w:ascii="Times New Roman" w:eastAsia="Batang" w:hAnsi="Times New Roman" w:cs="Times New Roman"/>
          <w:sz w:val="24"/>
          <w:szCs w:val="24"/>
        </w:rPr>
        <w:t>3), същите са задължени да съхраняват за срок 5 години всички събрани и изготвени по реда на ЗМИП и правилника за прилагането му документи, данни и информация. КЗЛД подчертава, че администраторът е задължен да изт</w:t>
      </w:r>
      <w:r w:rsidR="00FC7DB4">
        <w:rPr>
          <w:rFonts w:ascii="Times New Roman" w:eastAsia="Batang" w:hAnsi="Times New Roman" w:cs="Times New Roman"/>
          <w:sz w:val="24"/>
          <w:szCs w:val="24"/>
        </w:rPr>
        <w:t>рие обработваните от него данни</w:t>
      </w:r>
      <w:r w:rsidR="00E42714" w:rsidRPr="007404FA">
        <w:rPr>
          <w:rFonts w:ascii="Times New Roman" w:eastAsia="Batang" w:hAnsi="Times New Roman" w:cs="Times New Roman"/>
          <w:sz w:val="24"/>
          <w:szCs w:val="24"/>
        </w:rPr>
        <w:t xml:space="preserve"> само при наличие на поне едно от основанията по</w:t>
      </w:r>
      <w:r w:rsidR="00F06583" w:rsidRPr="007404FA">
        <w:rPr>
          <w:rFonts w:ascii="Times New Roman" w:eastAsia="Batang" w:hAnsi="Times New Roman" w:cs="Times New Roman"/>
          <w:sz w:val="24"/>
          <w:szCs w:val="24"/>
        </w:rPr>
        <w:t xml:space="preserve"> чл. </w:t>
      </w:r>
      <w:r w:rsidR="00E42714" w:rsidRPr="007404FA">
        <w:rPr>
          <w:rFonts w:ascii="Times New Roman" w:eastAsia="Batang" w:hAnsi="Times New Roman" w:cs="Times New Roman"/>
          <w:sz w:val="24"/>
          <w:szCs w:val="24"/>
        </w:rPr>
        <w:t xml:space="preserve">17, </w:t>
      </w:r>
      <w:r w:rsidR="00FC7DB4">
        <w:rPr>
          <w:rFonts w:ascii="Times New Roman" w:eastAsia="Batang" w:hAnsi="Times New Roman" w:cs="Times New Roman"/>
          <w:sz w:val="24"/>
          <w:szCs w:val="24"/>
        </w:rPr>
        <w:t>§</w:t>
      </w:r>
      <w:r w:rsidR="00E42714" w:rsidRPr="007404FA">
        <w:rPr>
          <w:rFonts w:ascii="Times New Roman" w:eastAsia="Batang" w:hAnsi="Times New Roman" w:cs="Times New Roman"/>
          <w:sz w:val="24"/>
          <w:szCs w:val="24"/>
        </w:rPr>
        <w:t xml:space="preserve">1 от ОРЗД. В </w:t>
      </w:r>
      <w:r w:rsidR="00FC7DB4" w:rsidRPr="007404FA">
        <w:rPr>
          <w:rFonts w:ascii="Times New Roman" w:eastAsia="Batang" w:hAnsi="Times New Roman" w:cs="Times New Roman"/>
          <w:sz w:val="24"/>
          <w:szCs w:val="24"/>
        </w:rPr>
        <w:t>случая, доколкото</w:t>
      </w:r>
      <w:r w:rsidR="00E42714" w:rsidRPr="007404FA">
        <w:rPr>
          <w:rFonts w:ascii="Times New Roman" w:eastAsia="Batang" w:hAnsi="Times New Roman" w:cs="Times New Roman"/>
          <w:sz w:val="24"/>
          <w:szCs w:val="24"/>
        </w:rPr>
        <w:t xml:space="preserve"> администраторите са финансови институции, за тях съществува законово задължение да обра</w:t>
      </w:r>
      <w:r w:rsidR="00FC7DB4">
        <w:rPr>
          <w:rFonts w:ascii="Times New Roman" w:eastAsia="Batang" w:hAnsi="Times New Roman" w:cs="Times New Roman"/>
          <w:sz w:val="24"/>
          <w:szCs w:val="24"/>
        </w:rPr>
        <w:t>ботват личните данни на субекта</w:t>
      </w:r>
      <w:r w:rsidR="00E42714" w:rsidRPr="007404FA">
        <w:rPr>
          <w:rFonts w:ascii="Times New Roman" w:eastAsia="Batang" w:hAnsi="Times New Roman" w:cs="Times New Roman"/>
          <w:sz w:val="24"/>
          <w:szCs w:val="24"/>
        </w:rPr>
        <w:t xml:space="preserve"> за определените в закон срокове.</w:t>
      </w:r>
    </w:p>
    <w:p w:rsidR="00E42714" w:rsidRPr="007404FA" w:rsidRDefault="00E42714"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В ра</w:t>
      </w:r>
      <w:r w:rsidR="00EE1F0A" w:rsidRPr="007404FA">
        <w:rPr>
          <w:rFonts w:ascii="Times New Roman" w:eastAsia="Batang" w:hAnsi="Times New Roman" w:cs="Times New Roman"/>
          <w:sz w:val="24"/>
          <w:szCs w:val="24"/>
        </w:rPr>
        <w:t>мките на 2022</w:t>
      </w:r>
      <w:r w:rsidR="00F06583" w:rsidRPr="007404FA">
        <w:rPr>
          <w:rFonts w:ascii="Times New Roman" w:eastAsia="Batang" w:hAnsi="Times New Roman" w:cs="Times New Roman"/>
          <w:sz w:val="24"/>
          <w:szCs w:val="24"/>
        </w:rPr>
        <w:t> г.</w:t>
      </w:r>
      <w:r w:rsidR="00EE1F0A" w:rsidRPr="007404FA">
        <w:rPr>
          <w:rFonts w:ascii="Times New Roman" w:eastAsia="Batang" w:hAnsi="Times New Roman" w:cs="Times New Roman"/>
          <w:sz w:val="24"/>
          <w:szCs w:val="24"/>
        </w:rPr>
        <w:t xml:space="preserve"> КЗЛД е сезирана и със </w:t>
      </w:r>
      <w:r w:rsidRPr="007404FA">
        <w:rPr>
          <w:rFonts w:ascii="Times New Roman" w:eastAsia="Batang" w:hAnsi="Times New Roman" w:cs="Times New Roman"/>
          <w:sz w:val="24"/>
          <w:szCs w:val="24"/>
        </w:rPr>
        <w:t>запитване относно начина, по ко</w:t>
      </w:r>
      <w:r w:rsidR="00FC7DB4">
        <w:rPr>
          <w:rFonts w:ascii="Times New Roman" w:eastAsia="Batang" w:hAnsi="Times New Roman" w:cs="Times New Roman"/>
          <w:sz w:val="24"/>
          <w:szCs w:val="24"/>
        </w:rPr>
        <w:t>й</w:t>
      </w:r>
      <w:r w:rsidRPr="007404FA">
        <w:rPr>
          <w:rFonts w:ascii="Times New Roman" w:eastAsia="Batang" w:hAnsi="Times New Roman" w:cs="Times New Roman"/>
          <w:sz w:val="24"/>
          <w:szCs w:val="24"/>
        </w:rPr>
        <w:t>то субектът на данни може да се сдобие с копие от амбулаторен лист от работодателя си. В своя отговор КЗЛД уточнява, че Службите по трудова медицина (СТМ) могат да се създават от работодателите самостоятелно или съвместно с други работодатели, както и от юридически или физически лица, регистрирани по Търговския закон, по Закона за кооперациите или по Закона за юридическите лица с нестопанска цел за обслужване на работещи лица. Лечебните заведения също могат да създават служби по трудова медицина,</w:t>
      </w:r>
      <w:r w:rsidR="00157B49">
        <w:rPr>
          <w:rFonts w:ascii="Times New Roman" w:eastAsia="Batang" w:hAnsi="Times New Roman" w:cs="Times New Roman"/>
          <w:sz w:val="24"/>
          <w:szCs w:val="24"/>
        </w:rPr>
        <w:t xml:space="preserve"> </w:t>
      </w:r>
      <w:r w:rsidRPr="007404FA">
        <w:rPr>
          <w:rFonts w:ascii="Times New Roman" w:eastAsia="Batang" w:hAnsi="Times New Roman" w:cs="Times New Roman"/>
          <w:sz w:val="24"/>
          <w:szCs w:val="24"/>
        </w:rPr>
        <w:t>ако са учредени като самостоятелни юридически лица (чл. 25,</w:t>
      </w:r>
      <w:r w:rsidR="00F06583" w:rsidRPr="007404FA">
        <w:rPr>
          <w:rFonts w:ascii="Times New Roman" w:eastAsia="Batang" w:hAnsi="Times New Roman" w:cs="Times New Roman"/>
          <w:sz w:val="24"/>
          <w:szCs w:val="24"/>
        </w:rPr>
        <w:t xml:space="preserve"> ал. </w:t>
      </w:r>
      <w:r w:rsidRPr="007404FA">
        <w:rPr>
          <w:rFonts w:ascii="Times New Roman" w:eastAsia="Batang" w:hAnsi="Times New Roman" w:cs="Times New Roman"/>
          <w:sz w:val="24"/>
          <w:szCs w:val="24"/>
        </w:rPr>
        <w:t xml:space="preserve">4 </w:t>
      </w:r>
      <w:r w:rsidR="00FC7DB4">
        <w:rPr>
          <w:rFonts w:ascii="Times New Roman" w:eastAsia="Batang" w:hAnsi="Times New Roman" w:cs="Times New Roman"/>
          <w:sz w:val="24"/>
          <w:szCs w:val="24"/>
        </w:rPr>
        <w:t xml:space="preserve">от </w:t>
      </w:r>
      <w:r w:rsidRPr="007404FA">
        <w:rPr>
          <w:rFonts w:ascii="Times New Roman" w:eastAsia="Batang" w:hAnsi="Times New Roman" w:cs="Times New Roman"/>
          <w:sz w:val="24"/>
          <w:szCs w:val="24"/>
        </w:rPr>
        <w:t xml:space="preserve">ЗЗБУТ). Като в зависимост от лицето, което осъществява функциите на </w:t>
      </w:r>
      <w:r w:rsidR="00FC7DB4">
        <w:rPr>
          <w:rFonts w:ascii="Times New Roman" w:eastAsia="Batang" w:hAnsi="Times New Roman" w:cs="Times New Roman"/>
          <w:sz w:val="24"/>
          <w:szCs w:val="24"/>
        </w:rPr>
        <w:t>Служба по трудова медицина редът</w:t>
      </w:r>
      <w:r w:rsidRPr="007404FA">
        <w:rPr>
          <w:rFonts w:ascii="Times New Roman" w:eastAsia="Batang" w:hAnsi="Times New Roman" w:cs="Times New Roman"/>
          <w:sz w:val="24"/>
          <w:szCs w:val="24"/>
        </w:rPr>
        <w:t xml:space="preserve"> за получаване на здравната информация се различава. Ако това е лечебно заведение, режимът е по</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28б от Закона за здравето, а в случай че СТМ е създадена от работодателя или от друго юридическо или физическо лице, ОРЗД предоставя възможност на субекта на данни да упражни правото си на информация по</w:t>
      </w:r>
      <w:r w:rsidR="00F06583" w:rsidRPr="007404FA">
        <w:rPr>
          <w:rFonts w:ascii="Times New Roman" w:eastAsia="Batang" w:hAnsi="Times New Roman" w:cs="Times New Roman"/>
          <w:sz w:val="24"/>
          <w:szCs w:val="24"/>
        </w:rPr>
        <w:t xml:space="preserve"> чл. </w:t>
      </w:r>
      <w:r w:rsidR="00FC7DB4">
        <w:rPr>
          <w:rFonts w:ascii="Times New Roman" w:eastAsia="Batang" w:hAnsi="Times New Roman" w:cs="Times New Roman"/>
          <w:sz w:val="24"/>
          <w:szCs w:val="24"/>
        </w:rPr>
        <w:t>15 от ОРЗД</w:t>
      </w:r>
      <w:r w:rsidRPr="007404FA">
        <w:rPr>
          <w:rFonts w:ascii="Times New Roman" w:eastAsia="Batang" w:hAnsi="Times New Roman" w:cs="Times New Roman"/>
          <w:sz w:val="24"/>
          <w:szCs w:val="24"/>
        </w:rPr>
        <w:t xml:space="preserve"> и да получи копие от обработваните му лични данни. Правото по</w:t>
      </w:r>
      <w:r w:rsidR="00F06583" w:rsidRPr="007404FA">
        <w:rPr>
          <w:rFonts w:ascii="Times New Roman" w:eastAsia="Batang" w:hAnsi="Times New Roman" w:cs="Times New Roman"/>
          <w:sz w:val="24"/>
          <w:szCs w:val="24"/>
        </w:rPr>
        <w:t xml:space="preserve"> чл. </w:t>
      </w:r>
      <w:r w:rsidR="00FC7DB4">
        <w:rPr>
          <w:rFonts w:ascii="Times New Roman" w:eastAsia="Batang" w:hAnsi="Times New Roman" w:cs="Times New Roman"/>
          <w:sz w:val="24"/>
          <w:szCs w:val="24"/>
        </w:rPr>
        <w:t>15 от ОРЗД</w:t>
      </w:r>
      <w:r w:rsidRPr="007404FA">
        <w:rPr>
          <w:rFonts w:ascii="Times New Roman" w:eastAsia="Batang" w:hAnsi="Times New Roman" w:cs="Times New Roman"/>
          <w:sz w:val="24"/>
          <w:szCs w:val="24"/>
        </w:rPr>
        <w:t xml:space="preserve"> представлява извадка от обработваните от администратора данни и не следва да се отъждествява с предоставянето на копия от документи.</w:t>
      </w:r>
    </w:p>
    <w:p w:rsidR="00E42714" w:rsidRPr="007404FA" w:rsidRDefault="00E42714"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Традиционно и през 2022</w:t>
      </w:r>
      <w:r w:rsidR="00F06583" w:rsidRPr="007404FA">
        <w:rPr>
          <w:rFonts w:ascii="Times New Roman" w:eastAsia="Batang" w:hAnsi="Times New Roman" w:cs="Times New Roman"/>
          <w:sz w:val="24"/>
          <w:szCs w:val="24"/>
        </w:rPr>
        <w:t> г.</w:t>
      </w:r>
      <w:r w:rsidRPr="007404FA">
        <w:rPr>
          <w:rFonts w:ascii="Times New Roman" w:eastAsia="Batang" w:hAnsi="Times New Roman" w:cs="Times New Roman"/>
          <w:sz w:val="24"/>
          <w:szCs w:val="24"/>
        </w:rPr>
        <w:t xml:space="preserve"> </w:t>
      </w:r>
      <w:r w:rsidR="00F52160" w:rsidRPr="007404FA">
        <w:rPr>
          <w:rFonts w:ascii="Times New Roman" w:eastAsia="Batang" w:hAnsi="Times New Roman" w:cs="Times New Roman"/>
          <w:sz w:val="24"/>
          <w:szCs w:val="24"/>
        </w:rPr>
        <w:t>продължава постъпването на</w:t>
      </w:r>
      <w:r w:rsidR="006465D4" w:rsidRPr="007404FA">
        <w:rPr>
          <w:rFonts w:ascii="Times New Roman" w:eastAsia="Batang" w:hAnsi="Times New Roman" w:cs="Times New Roman"/>
          <w:sz w:val="24"/>
          <w:szCs w:val="24"/>
        </w:rPr>
        <w:t xml:space="preserve"> запитвания, с</w:t>
      </w:r>
      <w:r w:rsidRPr="007404FA">
        <w:rPr>
          <w:rFonts w:ascii="Times New Roman" w:eastAsia="Batang" w:hAnsi="Times New Roman" w:cs="Times New Roman"/>
          <w:sz w:val="24"/>
          <w:szCs w:val="24"/>
        </w:rPr>
        <w:t xml:space="preserve"> които физически лица се интересуват как да спрат да получават търговски съобщения.</w:t>
      </w:r>
      <w:r w:rsidR="00157B49">
        <w:rPr>
          <w:rFonts w:ascii="Times New Roman" w:eastAsia="Batang" w:hAnsi="Times New Roman" w:cs="Times New Roman"/>
          <w:sz w:val="24"/>
          <w:szCs w:val="24"/>
        </w:rPr>
        <w:t xml:space="preserve"> </w:t>
      </w:r>
      <w:r w:rsidRPr="007404FA">
        <w:rPr>
          <w:rFonts w:ascii="Times New Roman" w:eastAsia="Batang" w:hAnsi="Times New Roman" w:cs="Times New Roman"/>
          <w:sz w:val="24"/>
          <w:szCs w:val="24"/>
        </w:rPr>
        <w:t xml:space="preserve">В </w:t>
      </w:r>
      <w:r w:rsidRPr="007404FA">
        <w:rPr>
          <w:rFonts w:ascii="Times New Roman" w:eastAsia="Batang" w:hAnsi="Times New Roman" w:cs="Times New Roman"/>
          <w:sz w:val="24"/>
          <w:szCs w:val="24"/>
        </w:rPr>
        <w:lastRenderedPageBreak/>
        <w:t>отговорите си КЗЛД посочва, че съгласно</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6,</w:t>
      </w:r>
      <w:r w:rsidR="00F06583" w:rsidRPr="007404FA">
        <w:rPr>
          <w:rFonts w:ascii="Times New Roman" w:eastAsia="Batang" w:hAnsi="Times New Roman" w:cs="Times New Roman"/>
          <w:sz w:val="24"/>
          <w:szCs w:val="24"/>
        </w:rPr>
        <w:t xml:space="preserve"> ал. </w:t>
      </w:r>
      <w:r w:rsidRPr="007404FA">
        <w:rPr>
          <w:rFonts w:ascii="Times New Roman" w:eastAsia="Batang" w:hAnsi="Times New Roman" w:cs="Times New Roman"/>
          <w:sz w:val="24"/>
          <w:szCs w:val="24"/>
        </w:rPr>
        <w:t>4 от Закона за електронната търговия се забранява изпращането на непоискани търговски съобщения на потребители без предварителното им съгласие. Съгласно Закона за електронните съобщения</w:t>
      </w:r>
      <w:r w:rsidR="0029067A" w:rsidRPr="007404FA">
        <w:rPr>
          <w:rFonts w:ascii="Times New Roman" w:eastAsia="Batang" w:hAnsi="Times New Roman" w:cs="Times New Roman"/>
          <w:sz w:val="24"/>
          <w:szCs w:val="24"/>
        </w:rPr>
        <w:t xml:space="preserve"> (ЗЕС)</w:t>
      </w:r>
      <w:r w:rsidRPr="007404FA">
        <w:rPr>
          <w:rFonts w:ascii="Times New Roman" w:eastAsia="Batang" w:hAnsi="Times New Roman" w:cs="Times New Roman"/>
          <w:sz w:val="24"/>
          <w:szCs w:val="24"/>
        </w:rPr>
        <w:t xml:space="preserve"> основанието за обработването на лични данни при осъществяване на директен</w:t>
      </w:r>
      <w:r w:rsidR="00157B49">
        <w:rPr>
          <w:rFonts w:ascii="Times New Roman" w:eastAsia="Batang" w:hAnsi="Times New Roman" w:cs="Times New Roman"/>
          <w:sz w:val="24"/>
          <w:szCs w:val="24"/>
        </w:rPr>
        <w:t xml:space="preserve"> </w:t>
      </w:r>
      <w:r w:rsidRPr="007404FA">
        <w:rPr>
          <w:rFonts w:ascii="Times New Roman" w:eastAsia="Batang" w:hAnsi="Times New Roman" w:cs="Times New Roman"/>
          <w:sz w:val="24"/>
          <w:szCs w:val="24"/>
        </w:rPr>
        <w:t>маркетинг е или съгласието на лицето, или легитимните интереси на търговеца при вече сключена търговска сделка между него и потребителя. Ако обработването се основава на съгласие, субектът на данни може да оттегли съгласието си по всяко време. В случай, че обработването се основава на легитимния интерес на търговеца, субектът може да</w:t>
      </w:r>
      <w:r w:rsidR="00157B49">
        <w:rPr>
          <w:rFonts w:ascii="Times New Roman" w:eastAsia="Batang" w:hAnsi="Times New Roman" w:cs="Times New Roman"/>
          <w:sz w:val="24"/>
          <w:szCs w:val="24"/>
        </w:rPr>
        <w:t xml:space="preserve"> </w:t>
      </w:r>
      <w:r w:rsidRPr="007404FA">
        <w:rPr>
          <w:rFonts w:ascii="Times New Roman" w:eastAsia="Batang" w:hAnsi="Times New Roman" w:cs="Times New Roman"/>
          <w:sz w:val="24"/>
          <w:szCs w:val="24"/>
        </w:rPr>
        <w:t>изрази несъгласието си да получава подобни маркетингови съобщения, т.е. да упражн</w:t>
      </w:r>
      <w:r w:rsidR="003566EA" w:rsidRPr="007404FA">
        <w:rPr>
          <w:rFonts w:ascii="Times New Roman" w:eastAsia="Batang" w:hAnsi="Times New Roman" w:cs="Times New Roman"/>
          <w:sz w:val="24"/>
          <w:szCs w:val="24"/>
        </w:rPr>
        <w:t>и правото си на възражение срещу</w:t>
      </w:r>
      <w:r w:rsidRPr="007404FA">
        <w:rPr>
          <w:rFonts w:ascii="Times New Roman" w:eastAsia="Batang" w:hAnsi="Times New Roman" w:cs="Times New Roman"/>
          <w:sz w:val="24"/>
          <w:szCs w:val="24"/>
        </w:rPr>
        <w:t xml:space="preserve"> конкретното обработване. Независимо на какво основание се извършва директният маркетинг, в края на всяко имейл съобщение, изпратено с такава цел</w:t>
      </w:r>
      <w:r w:rsidR="00B1418C" w:rsidRPr="007404FA">
        <w:rPr>
          <w:rFonts w:ascii="Times New Roman" w:eastAsia="Batang" w:hAnsi="Times New Roman" w:cs="Times New Roman"/>
          <w:sz w:val="24"/>
          <w:szCs w:val="24"/>
        </w:rPr>
        <w:t>,</w:t>
      </w:r>
      <w:r w:rsidRPr="007404FA">
        <w:rPr>
          <w:rFonts w:ascii="Times New Roman" w:eastAsia="Batang" w:hAnsi="Times New Roman" w:cs="Times New Roman"/>
          <w:sz w:val="24"/>
          <w:szCs w:val="24"/>
        </w:rPr>
        <w:t xml:space="preserve"> на лицата трябва да се предоставя възможност да се откажат от/да възразят срещу по-нататъшно получаване на подобни съобщения.</w:t>
      </w:r>
    </w:p>
    <w:p w:rsidR="00E42714" w:rsidRPr="007404FA" w:rsidRDefault="00FC7DB4" w:rsidP="00DB6B05">
      <w:pPr>
        <w:spacing w:line="360" w:lineRule="auto"/>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През отчетния период</w:t>
      </w:r>
      <w:r w:rsidR="00B1418C" w:rsidRPr="007404FA">
        <w:rPr>
          <w:rFonts w:ascii="Times New Roman" w:eastAsia="Batang" w:hAnsi="Times New Roman" w:cs="Times New Roman"/>
          <w:sz w:val="24"/>
          <w:szCs w:val="24"/>
        </w:rPr>
        <w:t xml:space="preserve"> КЗЛД е разгледала</w:t>
      </w:r>
      <w:r w:rsidR="00E42714" w:rsidRPr="007404FA">
        <w:rPr>
          <w:rFonts w:ascii="Times New Roman" w:eastAsia="Batang" w:hAnsi="Times New Roman" w:cs="Times New Roman"/>
          <w:sz w:val="24"/>
          <w:szCs w:val="24"/>
        </w:rPr>
        <w:t xml:space="preserve"> и интересно запитване относно законосъобразността </w:t>
      </w:r>
      <w:r>
        <w:rPr>
          <w:rFonts w:ascii="Times New Roman" w:eastAsia="Batang" w:hAnsi="Times New Roman" w:cs="Times New Roman"/>
          <w:sz w:val="24"/>
          <w:szCs w:val="24"/>
        </w:rPr>
        <w:t>на обработването на лични данни</w:t>
      </w:r>
      <w:r w:rsidR="00E42714" w:rsidRPr="007404FA">
        <w:rPr>
          <w:rFonts w:ascii="Times New Roman" w:eastAsia="Batang" w:hAnsi="Times New Roman" w:cs="Times New Roman"/>
          <w:sz w:val="24"/>
          <w:szCs w:val="24"/>
        </w:rPr>
        <w:t xml:space="preserve"> чрез платформата „Школо“ (електронен дневник). Съгласно</w:t>
      </w:r>
      <w:r w:rsidR="00F06583" w:rsidRPr="007404FA">
        <w:rPr>
          <w:rFonts w:ascii="Times New Roman" w:eastAsia="Batang" w:hAnsi="Times New Roman" w:cs="Times New Roman"/>
          <w:sz w:val="24"/>
          <w:szCs w:val="24"/>
        </w:rPr>
        <w:t xml:space="preserve"> чл. </w:t>
      </w:r>
      <w:r w:rsidR="00E42714" w:rsidRPr="007404FA">
        <w:rPr>
          <w:rFonts w:ascii="Times New Roman" w:eastAsia="Batang" w:hAnsi="Times New Roman" w:cs="Times New Roman"/>
          <w:sz w:val="24"/>
          <w:szCs w:val="24"/>
        </w:rPr>
        <w:t>208,</w:t>
      </w:r>
      <w:r w:rsidR="00F06583" w:rsidRPr="007404FA">
        <w:rPr>
          <w:rFonts w:ascii="Times New Roman" w:eastAsia="Batang" w:hAnsi="Times New Roman" w:cs="Times New Roman"/>
          <w:sz w:val="24"/>
          <w:szCs w:val="24"/>
        </w:rPr>
        <w:t xml:space="preserve"> ал. </w:t>
      </w:r>
      <w:r w:rsidR="00E42714" w:rsidRPr="007404FA">
        <w:rPr>
          <w:rFonts w:ascii="Times New Roman" w:eastAsia="Batang" w:hAnsi="Times New Roman" w:cs="Times New Roman"/>
          <w:sz w:val="24"/>
          <w:szCs w:val="24"/>
        </w:rPr>
        <w:t>3 от Закона за предучилищното и училищното образование (ЗПУО) електронният дневник е едно от законоустановените средства за връзка със семейството на ученика. Разпоредбата на</w:t>
      </w:r>
      <w:r w:rsidR="00F06583" w:rsidRPr="007404FA">
        <w:rPr>
          <w:rFonts w:ascii="Times New Roman" w:eastAsia="Batang" w:hAnsi="Times New Roman" w:cs="Times New Roman"/>
          <w:sz w:val="24"/>
          <w:szCs w:val="24"/>
        </w:rPr>
        <w:t xml:space="preserve"> чл. </w:t>
      </w:r>
      <w:r w:rsidR="00E42714" w:rsidRPr="007404FA">
        <w:rPr>
          <w:rFonts w:ascii="Times New Roman" w:eastAsia="Batang" w:hAnsi="Times New Roman" w:cs="Times New Roman"/>
          <w:sz w:val="24"/>
          <w:szCs w:val="24"/>
        </w:rPr>
        <w:t>22,</w:t>
      </w:r>
      <w:r w:rsidR="00F06583" w:rsidRPr="007404FA">
        <w:rPr>
          <w:rFonts w:ascii="Times New Roman" w:eastAsia="Batang" w:hAnsi="Times New Roman" w:cs="Times New Roman"/>
          <w:sz w:val="24"/>
          <w:szCs w:val="24"/>
        </w:rPr>
        <w:t xml:space="preserve"> ал. </w:t>
      </w:r>
      <w:r w:rsidR="00E42714" w:rsidRPr="007404FA">
        <w:rPr>
          <w:rFonts w:ascii="Times New Roman" w:eastAsia="Batang" w:hAnsi="Times New Roman" w:cs="Times New Roman"/>
          <w:sz w:val="24"/>
          <w:szCs w:val="24"/>
        </w:rPr>
        <w:t>4 във връзка с</w:t>
      </w:r>
      <w:r w:rsidR="00F06583" w:rsidRPr="007404FA">
        <w:rPr>
          <w:rFonts w:ascii="Times New Roman" w:eastAsia="Batang" w:hAnsi="Times New Roman" w:cs="Times New Roman"/>
          <w:sz w:val="24"/>
          <w:szCs w:val="24"/>
        </w:rPr>
        <w:t xml:space="preserve"> чл. </w:t>
      </w:r>
      <w:r w:rsidR="00E42714" w:rsidRPr="007404FA">
        <w:rPr>
          <w:rFonts w:ascii="Times New Roman" w:eastAsia="Batang" w:hAnsi="Times New Roman" w:cs="Times New Roman"/>
          <w:sz w:val="24"/>
          <w:szCs w:val="24"/>
        </w:rPr>
        <w:t>22,</w:t>
      </w:r>
      <w:r w:rsidR="00F06583" w:rsidRPr="007404FA">
        <w:rPr>
          <w:rFonts w:ascii="Times New Roman" w:eastAsia="Batang" w:hAnsi="Times New Roman" w:cs="Times New Roman"/>
          <w:sz w:val="24"/>
          <w:szCs w:val="24"/>
        </w:rPr>
        <w:t xml:space="preserve"> ал. </w:t>
      </w:r>
      <w:r w:rsidR="00E42714" w:rsidRPr="007404FA">
        <w:rPr>
          <w:rFonts w:ascii="Times New Roman" w:eastAsia="Batang" w:hAnsi="Times New Roman" w:cs="Times New Roman"/>
          <w:sz w:val="24"/>
          <w:szCs w:val="24"/>
        </w:rPr>
        <w:t>2,</w:t>
      </w:r>
      <w:r w:rsidR="00F06583" w:rsidRPr="007404FA">
        <w:rPr>
          <w:rFonts w:ascii="Times New Roman" w:eastAsia="Batang" w:hAnsi="Times New Roman" w:cs="Times New Roman"/>
          <w:sz w:val="24"/>
          <w:szCs w:val="24"/>
        </w:rPr>
        <w:t xml:space="preserve"> т. </w:t>
      </w:r>
      <w:r w:rsidR="00E42714" w:rsidRPr="007404FA">
        <w:rPr>
          <w:rFonts w:ascii="Times New Roman" w:eastAsia="Batang" w:hAnsi="Times New Roman" w:cs="Times New Roman"/>
          <w:sz w:val="24"/>
          <w:szCs w:val="24"/>
        </w:rPr>
        <w:t>10 от ЗПУО предвижда, че държавният образователен стандарт за информацията и документите в сферата на обра</w:t>
      </w:r>
      <w:r>
        <w:rPr>
          <w:rFonts w:ascii="Times New Roman" w:eastAsia="Batang" w:hAnsi="Times New Roman" w:cs="Times New Roman"/>
          <w:sz w:val="24"/>
          <w:szCs w:val="24"/>
        </w:rPr>
        <w:t>зованието се урежда с Наредба №</w:t>
      </w:r>
      <w:r w:rsidR="00E42714" w:rsidRPr="007404FA">
        <w:rPr>
          <w:rFonts w:ascii="Times New Roman" w:eastAsia="Batang" w:hAnsi="Times New Roman" w:cs="Times New Roman"/>
          <w:sz w:val="24"/>
          <w:szCs w:val="24"/>
        </w:rPr>
        <w:t>8 от 11 август 2016</w:t>
      </w:r>
      <w:r w:rsidR="00F06583" w:rsidRPr="007404FA">
        <w:rPr>
          <w:rFonts w:ascii="Times New Roman" w:eastAsia="Batang" w:hAnsi="Times New Roman" w:cs="Times New Roman"/>
          <w:sz w:val="24"/>
          <w:szCs w:val="24"/>
        </w:rPr>
        <w:t> г.</w:t>
      </w:r>
      <w:r w:rsidR="00E42714" w:rsidRPr="007404FA">
        <w:rPr>
          <w:rFonts w:ascii="Times New Roman" w:eastAsia="Batang" w:hAnsi="Times New Roman" w:cs="Times New Roman"/>
          <w:sz w:val="24"/>
          <w:szCs w:val="24"/>
        </w:rPr>
        <w:t xml:space="preserve"> за информацията и документите за системата на предучилищното и училищното образование. Наредбата определя също така и условията и реда за воденето на националната електронна информационна система за предучилищното и училищното образование (НЕИСПУО). Съгласно</w:t>
      </w:r>
      <w:r w:rsidR="00F06583" w:rsidRPr="007404FA">
        <w:rPr>
          <w:rFonts w:ascii="Times New Roman" w:eastAsia="Batang" w:hAnsi="Times New Roman" w:cs="Times New Roman"/>
          <w:sz w:val="24"/>
          <w:szCs w:val="24"/>
        </w:rPr>
        <w:t xml:space="preserve"> чл. </w:t>
      </w:r>
      <w:r w:rsidR="00E42714" w:rsidRPr="007404FA">
        <w:rPr>
          <w:rFonts w:ascii="Times New Roman" w:eastAsia="Batang" w:hAnsi="Times New Roman" w:cs="Times New Roman"/>
          <w:sz w:val="24"/>
          <w:szCs w:val="24"/>
        </w:rPr>
        <w:t>23,</w:t>
      </w:r>
      <w:r w:rsidR="00F06583" w:rsidRPr="007404FA">
        <w:rPr>
          <w:rFonts w:ascii="Times New Roman" w:eastAsia="Batang" w:hAnsi="Times New Roman" w:cs="Times New Roman"/>
          <w:sz w:val="24"/>
          <w:szCs w:val="24"/>
        </w:rPr>
        <w:t xml:space="preserve"> ал. </w:t>
      </w:r>
      <w:r>
        <w:rPr>
          <w:rFonts w:ascii="Times New Roman" w:eastAsia="Batang" w:hAnsi="Times New Roman" w:cs="Times New Roman"/>
          <w:sz w:val="24"/>
          <w:szCs w:val="24"/>
        </w:rPr>
        <w:t>1 от същата наредба</w:t>
      </w:r>
      <w:r w:rsidR="00E42714" w:rsidRPr="007404FA">
        <w:rPr>
          <w:rFonts w:ascii="Times New Roman" w:eastAsia="Batang" w:hAnsi="Times New Roman" w:cs="Times New Roman"/>
          <w:sz w:val="24"/>
          <w:szCs w:val="24"/>
        </w:rPr>
        <w:t xml:space="preserve"> документите в системата на предучилищното и училищното образование (какъвто именно е дневникът) се издават, водят и съхраняват в електронен и/или хартиен вид. Училищата могат да използват избрани от тях софтуерни продукти за водене на дневниците в електронен вид, които осигуряват обработването, наличието и контрола на цялата информация, отразена в реквизитите на хартиения вариант (арг. </w:t>
      </w:r>
      <w:r>
        <w:rPr>
          <w:rFonts w:ascii="Times New Roman" w:eastAsia="Batang" w:hAnsi="Times New Roman" w:cs="Times New Roman"/>
          <w:sz w:val="24"/>
          <w:szCs w:val="24"/>
        </w:rPr>
        <w:t>§</w:t>
      </w:r>
      <w:r w:rsidR="00E42714" w:rsidRPr="007404FA">
        <w:rPr>
          <w:rFonts w:ascii="Times New Roman" w:eastAsia="Batang" w:hAnsi="Times New Roman" w:cs="Times New Roman"/>
          <w:sz w:val="24"/>
          <w:szCs w:val="24"/>
        </w:rPr>
        <w:t>8, 10 и 13 от Преходни</w:t>
      </w:r>
      <w:r>
        <w:rPr>
          <w:rFonts w:ascii="Times New Roman" w:eastAsia="Batang" w:hAnsi="Times New Roman" w:cs="Times New Roman"/>
          <w:sz w:val="24"/>
          <w:szCs w:val="24"/>
        </w:rPr>
        <w:t>те</w:t>
      </w:r>
      <w:r w:rsidR="00E42714" w:rsidRPr="007404FA">
        <w:rPr>
          <w:rFonts w:ascii="Times New Roman" w:eastAsia="Batang" w:hAnsi="Times New Roman" w:cs="Times New Roman"/>
          <w:sz w:val="24"/>
          <w:szCs w:val="24"/>
        </w:rPr>
        <w:t xml:space="preserve"> и заключителни разпоредби към наредбата). В този смисъл училищата, както и избраните от тях доставчици на софтуерни продукти за водене на дневниците в електронен вид (в случая „Школо“) са длъжни да спазват нормативните изисквания за защита на личните данни, произтичащи от Регламент (ЕС) 2016/679 и Закона за защита на личните данни (арг.</w:t>
      </w:r>
      <w:r w:rsidR="00F06583" w:rsidRPr="007404FA">
        <w:rPr>
          <w:rFonts w:ascii="Times New Roman" w:eastAsia="Batang" w:hAnsi="Times New Roman" w:cs="Times New Roman"/>
          <w:sz w:val="24"/>
          <w:szCs w:val="24"/>
        </w:rPr>
        <w:t xml:space="preserve"> чл. </w:t>
      </w:r>
      <w:r w:rsidR="00E42714" w:rsidRPr="007404FA">
        <w:rPr>
          <w:rFonts w:ascii="Times New Roman" w:eastAsia="Batang" w:hAnsi="Times New Roman" w:cs="Times New Roman"/>
          <w:sz w:val="24"/>
          <w:szCs w:val="24"/>
        </w:rPr>
        <w:t>9,</w:t>
      </w:r>
      <w:r w:rsidR="00F06583" w:rsidRPr="007404FA">
        <w:rPr>
          <w:rFonts w:ascii="Times New Roman" w:eastAsia="Batang" w:hAnsi="Times New Roman" w:cs="Times New Roman"/>
          <w:sz w:val="24"/>
          <w:szCs w:val="24"/>
        </w:rPr>
        <w:t xml:space="preserve"> ал. </w:t>
      </w:r>
      <w:r w:rsidR="00E42714" w:rsidRPr="007404FA">
        <w:rPr>
          <w:rFonts w:ascii="Times New Roman" w:eastAsia="Batang" w:hAnsi="Times New Roman" w:cs="Times New Roman"/>
          <w:sz w:val="24"/>
          <w:szCs w:val="24"/>
        </w:rPr>
        <w:t>4 от Наредбата).</w:t>
      </w:r>
    </w:p>
    <w:p w:rsidR="003D4D13" w:rsidRDefault="003D4D13" w:rsidP="00DB6B05">
      <w:pPr>
        <w:spacing w:line="360" w:lineRule="auto"/>
        <w:ind w:firstLine="709"/>
        <w:jc w:val="both"/>
        <w:rPr>
          <w:rFonts w:ascii="Times New Roman" w:eastAsia="Batang" w:hAnsi="Times New Roman" w:cs="Times New Roman"/>
          <w:sz w:val="24"/>
          <w:szCs w:val="24"/>
        </w:rPr>
      </w:pPr>
    </w:p>
    <w:p w:rsidR="00CD10D3" w:rsidRPr="007404FA" w:rsidRDefault="00CD10D3" w:rsidP="00DB6B05">
      <w:pPr>
        <w:spacing w:line="360" w:lineRule="auto"/>
        <w:ind w:firstLine="709"/>
        <w:jc w:val="both"/>
        <w:rPr>
          <w:rFonts w:ascii="Times New Roman" w:eastAsia="Batang" w:hAnsi="Times New Roman" w:cs="Times New Roman"/>
          <w:sz w:val="24"/>
          <w:szCs w:val="24"/>
        </w:rPr>
      </w:pPr>
    </w:p>
    <w:p w:rsidR="001F2700" w:rsidRPr="007404FA" w:rsidRDefault="00424B16" w:rsidP="00DB6B05">
      <w:pPr>
        <w:spacing w:line="360" w:lineRule="auto"/>
        <w:ind w:firstLine="709"/>
        <w:jc w:val="both"/>
        <w:rPr>
          <w:rFonts w:ascii="Times New Roman" w:hAnsi="Times New Roman" w:cs="Times New Roman"/>
          <w:b/>
          <w:sz w:val="24"/>
          <w:szCs w:val="24"/>
        </w:rPr>
      </w:pPr>
      <w:r w:rsidRPr="007404FA">
        <w:rPr>
          <w:rFonts w:ascii="Times New Roman" w:hAnsi="Times New Roman" w:cs="Times New Roman"/>
          <w:b/>
          <w:sz w:val="24"/>
          <w:szCs w:val="24"/>
        </w:rPr>
        <w:lastRenderedPageBreak/>
        <w:t>5</w:t>
      </w:r>
      <w:r w:rsidR="001F2700" w:rsidRPr="007404FA">
        <w:rPr>
          <w:rFonts w:ascii="Times New Roman" w:hAnsi="Times New Roman" w:cs="Times New Roman"/>
          <w:b/>
          <w:sz w:val="24"/>
          <w:szCs w:val="24"/>
        </w:rPr>
        <w:t>. Съдебна практика</w:t>
      </w:r>
      <w:r w:rsidR="00AE2950" w:rsidRPr="007404FA">
        <w:rPr>
          <w:rFonts w:ascii="Times New Roman" w:hAnsi="Times New Roman" w:cs="Times New Roman"/>
          <w:b/>
          <w:sz w:val="24"/>
          <w:szCs w:val="24"/>
        </w:rPr>
        <w:t>.</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Постановените в хода на производството по</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38 от ЗЗЛД решения на КЗЛД подлежат на двуинстанционен съдебен контрол по реда на АПК.</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Съобразно местната подсъдност по</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133,</w:t>
      </w:r>
      <w:r w:rsidR="00F06583" w:rsidRPr="007404FA">
        <w:rPr>
          <w:rFonts w:ascii="Times New Roman" w:hAnsi="Times New Roman" w:cs="Times New Roman"/>
          <w:sz w:val="24"/>
          <w:szCs w:val="24"/>
        </w:rPr>
        <w:t xml:space="preserve"> ал. </w:t>
      </w:r>
      <w:r w:rsidRPr="007404FA">
        <w:rPr>
          <w:rFonts w:ascii="Times New Roman" w:hAnsi="Times New Roman" w:cs="Times New Roman"/>
          <w:sz w:val="24"/>
          <w:szCs w:val="24"/>
        </w:rPr>
        <w:t>1 и 2 от АПК делата се разглеждат от административния съд по постоянен адрес или седалище на посочения в акта адресат, съответно адресати. Когато посоченият в акта адресат има постоянен адрес или седалище в чужбина, споровете се разглеждат от Административен съд София-град. Когато посочените в акта адресати са повече от един и са с различен постоянен адрес или седалище, но в рамките на един съдебен район, делата се разглеждат от административния съд в района на териториалната структура на органа, издал акта. Във всички останали случаи делата се разглеждат от административния съд, в района на който е седалището на орган</w:t>
      </w:r>
      <w:r w:rsidR="00FC7DB4">
        <w:rPr>
          <w:rFonts w:ascii="Times New Roman" w:hAnsi="Times New Roman" w:cs="Times New Roman"/>
          <w:sz w:val="24"/>
          <w:szCs w:val="24"/>
        </w:rPr>
        <w:t xml:space="preserve">а, в случая Административен съд </w:t>
      </w:r>
      <w:r w:rsidRPr="007404FA">
        <w:rPr>
          <w:rFonts w:ascii="Times New Roman" w:hAnsi="Times New Roman" w:cs="Times New Roman"/>
          <w:sz w:val="24"/>
          <w:szCs w:val="24"/>
        </w:rPr>
        <w:t>София-град. Втора касационна инстанция по законосъобразност на актовете, издадени от КЗЛД в производството по</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38,</w:t>
      </w:r>
      <w:r w:rsidR="00F06583" w:rsidRPr="007404FA">
        <w:rPr>
          <w:rFonts w:ascii="Times New Roman" w:hAnsi="Times New Roman" w:cs="Times New Roman"/>
          <w:sz w:val="24"/>
          <w:szCs w:val="24"/>
        </w:rPr>
        <w:t xml:space="preserve"> ал. </w:t>
      </w:r>
      <w:r w:rsidR="00FC7DB4">
        <w:rPr>
          <w:rFonts w:ascii="Times New Roman" w:hAnsi="Times New Roman" w:cs="Times New Roman"/>
          <w:sz w:val="24"/>
          <w:szCs w:val="24"/>
        </w:rPr>
        <w:t>1 от ЗЗЛД, е Върховният</w:t>
      </w:r>
      <w:r w:rsidRPr="007404FA">
        <w:rPr>
          <w:rFonts w:ascii="Times New Roman" w:hAnsi="Times New Roman" w:cs="Times New Roman"/>
          <w:sz w:val="24"/>
          <w:szCs w:val="24"/>
        </w:rPr>
        <w:t xml:space="preserve"> административен съд.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През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са проведени над 118 съдебни заседания по дела, образувани през 2021</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и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с участие на процесуален представител на КЗЛД по оспорени на първа и втора инстанция актове на КЗЛД, постановени по реда на</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38,</w:t>
      </w:r>
      <w:r w:rsidR="00F06583" w:rsidRPr="007404FA">
        <w:rPr>
          <w:rFonts w:ascii="Times New Roman" w:hAnsi="Times New Roman" w:cs="Times New Roman"/>
          <w:sz w:val="24"/>
          <w:szCs w:val="24"/>
        </w:rPr>
        <w:t xml:space="preserve"> ал. </w:t>
      </w:r>
      <w:r w:rsidRPr="007404FA">
        <w:rPr>
          <w:rFonts w:ascii="Times New Roman" w:hAnsi="Times New Roman" w:cs="Times New Roman"/>
          <w:sz w:val="24"/>
          <w:szCs w:val="24"/>
        </w:rPr>
        <w:t>1 от ЗЗЛД.</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През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по жалби, подадени срещу постановени по този ред решения на КЗЛД, са образувани общо 109 първоинстанционни съдебни дела, от тях: в Административен съд София-град</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84, в Административен съд Варна</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13, Административен съд Пловдив</w:t>
      </w:r>
      <w:r w:rsidR="00553661" w:rsidRPr="007404FA">
        <w:rPr>
          <w:rFonts w:ascii="Times New Roman" w:hAnsi="Times New Roman" w:cs="Times New Roman"/>
          <w:sz w:val="24"/>
          <w:szCs w:val="24"/>
        </w:rPr>
        <w:t xml:space="preserve"> – </w:t>
      </w:r>
      <w:r w:rsidR="00FC7DB4">
        <w:rPr>
          <w:rFonts w:ascii="Times New Roman" w:hAnsi="Times New Roman" w:cs="Times New Roman"/>
          <w:sz w:val="24"/>
          <w:szCs w:val="24"/>
        </w:rPr>
        <w:t>3; Административен съд София-</w:t>
      </w:r>
      <w:r w:rsidRPr="007404FA">
        <w:rPr>
          <w:rFonts w:ascii="Times New Roman" w:hAnsi="Times New Roman" w:cs="Times New Roman"/>
          <w:sz w:val="24"/>
          <w:szCs w:val="24"/>
        </w:rPr>
        <w:t>област</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1; Административен съд Благоевград</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2; Административен съд Русе</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2; Административен съд Смолян</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1; Административен съд Бургас</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1, Административен съд Добрич</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1</w:t>
      </w:r>
      <w:r w:rsidR="00FC7DB4">
        <w:rPr>
          <w:rFonts w:ascii="Times New Roman" w:hAnsi="Times New Roman" w:cs="Times New Roman"/>
          <w:sz w:val="24"/>
          <w:szCs w:val="24"/>
        </w:rPr>
        <w:t xml:space="preserve">, и Административен съд София-област – </w:t>
      </w:r>
      <w:r w:rsidRPr="007404FA">
        <w:rPr>
          <w:rFonts w:ascii="Times New Roman" w:hAnsi="Times New Roman" w:cs="Times New Roman"/>
          <w:sz w:val="24"/>
          <w:szCs w:val="24"/>
        </w:rPr>
        <w:t xml:space="preserve">1.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През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първоинстанционният съд се е произнесъл с решения по 110 дела, включително по такива, образувани и преди 2021</w:t>
      </w:r>
      <w:r w:rsidR="00F06583" w:rsidRPr="007404FA">
        <w:rPr>
          <w:rFonts w:ascii="Times New Roman" w:hAnsi="Times New Roman" w:cs="Times New Roman"/>
          <w:sz w:val="24"/>
          <w:szCs w:val="24"/>
        </w:rPr>
        <w:t> г.</w:t>
      </w:r>
      <w:r w:rsidR="00FC7DB4">
        <w:rPr>
          <w:rFonts w:ascii="Times New Roman" w:hAnsi="Times New Roman" w:cs="Times New Roman"/>
          <w:sz w:val="24"/>
          <w:szCs w:val="24"/>
        </w:rPr>
        <w:t xml:space="preserve"> С</w:t>
      </w:r>
      <w:r w:rsidRPr="007404FA">
        <w:rPr>
          <w:rFonts w:ascii="Times New Roman" w:hAnsi="Times New Roman" w:cs="Times New Roman"/>
          <w:sz w:val="24"/>
          <w:szCs w:val="24"/>
        </w:rPr>
        <w:t xml:space="preserve"> 95 съдебни решения са потвърдени оспорените административни актове на КЗЛД, с 5 съдебни акта са частично изменени постановени от КЗЛД решения в санкционната част, отменени на първа инстанция са 10 издадени от КЗЛД решения. </w:t>
      </w:r>
    </w:p>
    <w:p w:rsidR="001F2700" w:rsidRPr="007404FA" w:rsidRDefault="001F2700"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На графиката е изобразен броят на потвърдените и отменените решен</w:t>
      </w:r>
      <w:r w:rsidR="00490FAA" w:rsidRPr="007404FA">
        <w:rPr>
          <w:rFonts w:ascii="Times New Roman" w:hAnsi="Times New Roman" w:cs="Times New Roman"/>
          <w:sz w:val="24"/>
          <w:szCs w:val="24"/>
        </w:rPr>
        <w:t>ия на КЗЛД на първа инстанция (</w:t>
      </w:r>
      <w:r w:rsidR="00FC7DB4">
        <w:rPr>
          <w:rFonts w:ascii="Times New Roman" w:hAnsi="Times New Roman" w:cs="Times New Roman"/>
          <w:b/>
          <w:sz w:val="24"/>
          <w:szCs w:val="24"/>
        </w:rPr>
        <w:t>ф</w:t>
      </w:r>
      <w:r w:rsidRPr="007404FA">
        <w:rPr>
          <w:rFonts w:ascii="Times New Roman" w:hAnsi="Times New Roman" w:cs="Times New Roman"/>
          <w:b/>
          <w:sz w:val="24"/>
          <w:szCs w:val="24"/>
        </w:rPr>
        <w:t>иг. 3</w:t>
      </w:r>
      <w:r w:rsidRPr="007404FA">
        <w:rPr>
          <w:rFonts w:ascii="Times New Roman" w:hAnsi="Times New Roman" w:cs="Times New Roman"/>
          <w:sz w:val="24"/>
          <w:szCs w:val="24"/>
        </w:rPr>
        <w:t>):</w:t>
      </w:r>
    </w:p>
    <w:p w:rsidR="007D329B" w:rsidRPr="007404FA" w:rsidRDefault="007D329B" w:rsidP="00DB6B05">
      <w:pPr>
        <w:spacing w:line="360" w:lineRule="auto"/>
        <w:ind w:firstLine="709"/>
        <w:jc w:val="both"/>
        <w:rPr>
          <w:rFonts w:ascii="Times New Roman" w:hAnsi="Times New Roman" w:cs="Times New Roman"/>
          <w:sz w:val="24"/>
          <w:szCs w:val="24"/>
        </w:rPr>
      </w:pPr>
    </w:p>
    <w:p w:rsidR="007D329B" w:rsidRPr="007404FA" w:rsidRDefault="00DE175B" w:rsidP="0049564C">
      <w:pPr>
        <w:tabs>
          <w:tab w:val="left" w:pos="8789"/>
        </w:tabs>
        <w:ind w:firstLine="567"/>
        <w:rPr>
          <w:rFonts w:ascii="Times New Roman" w:hAnsi="Times New Roman" w:cs="Times New Roman"/>
          <w:sz w:val="24"/>
          <w:szCs w:val="24"/>
        </w:rPr>
      </w:pPr>
      <w:r w:rsidRPr="007404FA">
        <w:rPr>
          <w:rFonts w:eastAsia="Calibri" w:cs="Times New Roman"/>
          <w:noProof/>
          <w:lang w:val="en-US" w:eastAsia="en-US"/>
        </w:rPr>
        <w:lastRenderedPageBreak/>
        <w:drawing>
          <wp:inline distT="0" distB="0" distL="0" distR="0" wp14:anchorId="149652E4" wp14:editId="65F6BA96">
            <wp:extent cx="5152445" cy="2989580"/>
            <wp:effectExtent l="57150" t="57150" r="40640" b="3937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90FAA" w:rsidRDefault="00490FAA" w:rsidP="00DB6B05">
      <w:pPr>
        <w:jc w:val="center"/>
        <w:rPr>
          <w:rFonts w:ascii="Times New Roman" w:hAnsi="Times New Roman" w:cs="Times New Roman"/>
          <w:b/>
          <w:sz w:val="24"/>
          <w:szCs w:val="24"/>
        </w:rPr>
      </w:pPr>
      <w:r w:rsidRPr="007404FA">
        <w:rPr>
          <w:rFonts w:ascii="Times New Roman" w:hAnsi="Times New Roman" w:cs="Times New Roman"/>
          <w:b/>
          <w:sz w:val="24"/>
          <w:szCs w:val="24"/>
        </w:rPr>
        <w:t>Фиг. 3</w:t>
      </w:r>
    </w:p>
    <w:p w:rsidR="00825621" w:rsidRPr="007404FA" w:rsidRDefault="00825621" w:rsidP="00DB6B05">
      <w:pPr>
        <w:jc w:val="center"/>
        <w:rPr>
          <w:rFonts w:ascii="Times New Roman" w:hAnsi="Times New Roman" w:cs="Times New Roman"/>
          <w:b/>
          <w:sz w:val="24"/>
          <w:szCs w:val="24"/>
        </w:rPr>
      </w:pPr>
    </w:p>
    <w:p w:rsidR="001F2700" w:rsidRPr="007404FA" w:rsidRDefault="001F2700" w:rsidP="00825621">
      <w:pPr>
        <w:spacing w:line="360" w:lineRule="exact"/>
        <w:ind w:firstLine="709"/>
        <w:jc w:val="both"/>
        <w:rPr>
          <w:rFonts w:ascii="Times New Roman" w:hAnsi="Times New Roman" w:cs="Times New Roman"/>
          <w:sz w:val="24"/>
          <w:szCs w:val="24"/>
        </w:rPr>
      </w:pPr>
      <w:r w:rsidRPr="007404FA">
        <w:rPr>
          <w:rFonts w:ascii="Times New Roman" w:hAnsi="Times New Roman" w:cs="Times New Roman"/>
          <w:sz w:val="24"/>
          <w:szCs w:val="24"/>
        </w:rPr>
        <w:t>През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пред Върховния административен съд (ВАС), като касационна инстанция, са образувани 60 дела.</w:t>
      </w:r>
      <w:r w:rsidR="00157B49">
        <w:rPr>
          <w:rFonts w:ascii="Times New Roman" w:hAnsi="Times New Roman" w:cs="Times New Roman"/>
          <w:sz w:val="24"/>
          <w:szCs w:val="24"/>
        </w:rPr>
        <w:t xml:space="preserve"> </w:t>
      </w:r>
    </w:p>
    <w:p w:rsidR="001F2700" w:rsidRPr="007404FA" w:rsidRDefault="001F2700" w:rsidP="00825621">
      <w:pPr>
        <w:spacing w:line="360" w:lineRule="exact"/>
        <w:ind w:firstLine="709"/>
        <w:jc w:val="both"/>
        <w:rPr>
          <w:rFonts w:ascii="Times New Roman" w:hAnsi="Times New Roman" w:cs="Times New Roman"/>
          <w:sz w:val="24"/>
          <w:szCs w:val="24"/>
        </w:rPr>
      </w:pPr>
      <w:r w:rsidRPr="007404FA">
        <w:rPr>
          <w:rFonts w:ascii="Times New Roman" w:hAnsi="Times New Roman" w:cs="Times New Roman"/>
          <w:sz w:val="24"/>
          <w:szCs w:val="24"/>
        </w:rPr>
        <w:t>През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ВАС се е произнесъл с решения по 59 дела, в това число такива, образувани преди 2021</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като е потвърдил 38 издадени от КЗЛД индивидуални административни акта, 8 решения на КЗЛД са отменени изцяло, едно решение е отменено и върнато за ново разглеждане от КЗЛД, отменени са три решения на първоинстанционния съд и преписките са върнати за ново разглеждане от съда. Останалите дела са образувани по частни жалби за освобождаване от държавна такса и повдигнати спорове за подсъдност.</w:t>
      </w:r>
      <w:r w:rsidR="00157B49">
        <w:rPr>
          <w:rFonts w:ascii="Times New Roman" w:hAnsi="Times New Roman" w:cs="Times New Roman"/>
          <w:sz w:val="24"/>
          <w:szCs w:val="24"/>
        </w:rPr>
        <w:t xml:space="preserve"> </w:t>
      </w:r>
    </w:p>
    <w:p w:rsidR="001F2700" w:rsidRPr="007404FA" w:rsidRDefault="001F2700" w:rsidP="00825621">
      <w:pPr>
        <w:spacing w:line="360" w:lineRule="exact"/>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На графиката </w:t>
      </w:r>
      <w:r w:rsidR="00FC7DB4">
        <w:rPr>
          <w:rFonts w:ascii="Times New Roman" w:hAnsi="Times New Roman" w:cs="Times New Roman"/>
          <w:sz w:val="24"/>
          <w:szCs w:val="24"/>
        </w:rPr>
        <w:t>е изобразен</w:t>
      </w:r>
      <w:r w:rsidRPr="007404FA">
        <w:rPr>
          <w:rFonts w:ascii="Times New Roman" w:hAnsi="Times New Roman" w:cs="Times New Roman"/>
          <w:sz w:val="24"/>
          <w:szCs w:val="24"/>
        </w:rPr>
        <w:t xml:space="preserve"> броят на потвърдените и отменените от решен</w:t>
      </w:r>
      <w:r w:rsidR="0072088F" w:rsidRPr="007404FA">
        <w:rPr>
          <w:rFonts w:ascii="Times New Roman" w:hAnsi="Times New Roman" w:cs="Times New Roman"/>
          <w:sz w:val="24"/>
          <w:szCs w:val="24"/>
        </w:rPr>
        <w:t>ия на КЗЛД на втора инстанция (</w:t>
      </w:r>
      <w:r w:rsidR="00FC7DB4">
        <w:rPr>
          <w:rFonts w:ascii="Times New Roman" w:hAnsi="Times New Roman" w:cs="Times New Roman"/>
          <w:b/>
          <w:sz w:val="24"/>
          <w:szCs w:val="24"/>
        </w:rPr>
        <w:t>ф</w:t>
      </w:r>
      <w:r w:rsidRPr="007404FA">
        <w:rPr>
          <w:rFonts w:ascii="Times New Roman" w:hAnsi="Times New Roman" w:cs="Times New Roman"/>
          <w:b/>
          <w:sz w:val="24"/>
          <w:szCs w:val="24"/>
        </w:rPr>
        <w:t>иг. 4</w:t>
      </w:r>
      <w:r w:rsidRPr="007404FA">
        <w:rPr>
          <w:rFonts w:ascii="Times New Roman" w:hAnsi="Times New Roman" w:cs="Times New Roman"/>
          <w:sz w:val="24"/>
          <w:szCs w:val="24"/>
        </w:rPr>
        <w:t xml:space="preserve">): </w:t>
      </w:r>
    </w:p>
    <w:p w:rsidR="00E92551" w:rsidRPr="007404FA" w:rsidRDefault="00E92551" w:rsidP="00475790">
      <w:pPr>
        <w:tabs>
          <w:tab w:val="left" w:pos="8789"/>
        </w:tabs>
        <w:spacing w:line="360" w:lineRule="auto"/>
        <w:ind w:firstLine="567"/>
        <w:jc w:val="both"/>
        <w:rPr>
          <w:rFonts w:ascii="Times New Roman" w:hAnsi="Times New Roman" w:cs="Times New Roman"/>
          <w:sz w:val="24"/>
          <w:szCs w:val="24"/>
        </w:rPr>
      </w:pPr>
      <w:r w:rsidRPr="007404FA">
        <w:rPr>
          <w:rFonts w:eastAsia="Calibri" w:cs="Times New Roman"/>
          <w:noProof/>
          <w:lang w:val="en-US" w:eastAsia="en-US"/>
        </w:rPr>
        <w:drawing>
          <wp:inline distT="0" distB="0" distL="0" distR="0" wp14:anchorId="7107727E" wp14:editId="45C0490E">
            <wp:extent cx="5120640" cy="3235960"/>
            <wp:effectExtent l="38100" t="57150" r="41910" b="4064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2088F" w:rsidRPr="00C529D6" w:rsidRDefault="0072088F" w:rsidP="00C529D6">
      <w:pPr>
        <w:spacing w:line="259" w:lineRule="auto"/>
        <w:jc w:val="center"/>
        <w:rPr>
          <w:rFonts w:ascii="Times New Roman" w:hAnsi="Times New Roman" w:cs="Times New Roman"/>
          <w:b/>
          <w:sz w:val="24"/>
          <w:szCs w:val="24"/>
        </w:rPr>
      </w:pPr>
      <w:r w:rsidRPr="007404FA">
        <w:rPr>
          <w:rFonts w:ascii="Times New Roman" w:hAnsi="Times New Roman" w:cs="Times New Roman"/>
          <w:b/>
          <w:sz w:val="24"/>
          <w:szCs w:val="24"/>
        </w:rPr>
        <w:t>Фиг. 4</w:t>
      </w:r>
      <w:r w:rsidRPr="007404FA">
        <w:rPr>
          <w:rFonts w:ascii="Times New Roman" w:hAnsi="Times New Roman" w:cs="Times New Roman"/>
          <w:sz w:val="24"/>
          <w:szCs w:val="24"/>
          <w:highlight w:val="yellow"/>
        </w:rPr>
        <w:br w:type="page"/>
      </w:r>
    </w:p>
    <w:p w:rsidR="00E42714" w:rsidRDefault="00E42714" w:rsidP="00644574">
      <w:pPr>
        <w:pStyle w:val="Heading1"/>
        <w:spacing w:before="0" w:line="360" w:lineRule="auto"/>
        <w:ind w:firstLine="709"/>
        <w:rPr>
          <w:rFonts w:ascii="Times New Roman" w:eastAsia="Batang" w:hAnsi="Times New Roman" w:cs="Times New Roman"/>
          <w:sz w:val="24"/>
          <w:szCs w:val="24"/>
        </w:rPr>
      </w:pPr>
      <w:bookmarkStart w:id="3" w:name="_Toc130915380"/>
      <w:r w:rsidRPr="00644574">
        <w:rPr>
          <w:rFonts w:ascii="Times New Roman" w:eastAsia="Batang" w:hAnsi="Times New Roman" w:cs="Times New Roman"/>
          <w:sz w:val="24"/>
          <w:szCs w:val="24"/>
        </w:rPr>
        <w:lastRenderedPageBreak/>
        <w:t>IV. КОНТРОЛНА ДЕЙНОСТ</w:t>
      </w:r>
      <w:bookmarkEnd w:id="3"/>
    </w:p>
    <w:p w:rsidR="00644574" w:rsidRPr="00644574" w:rsidRDefault="00644574" w:rsidP="00644574">
      <w:pPr>
        <w:rPr>
          <w:lang w:val="en-US" w:eastAsia="en-US"/>
        </w:rPr>
      </w:pPr>
    </w:p>
    <w:p w:rsidR="0063284A" w:rsidRPr="007404FA" w:rsidRDefault="0063284A" w:rsidP="00DB6B05">
      <w:pPr>
        <w:spacing w:line="360" w:lineRule="auto"/>
        <w:ind w:firstLine="709"/>
        <w:jc w:val="both"/>
        <w:rPr>
          <w:rFonts w:ascii="Times New Roman" w:hAnsi="Times New Roman" w:cs="Times New Roman"/>
          <w:b/>
          <w:sz w:val="24"/>
          <w:szCs w:val="24"/>
        </w:rPr>
      </w:pPr>
      <w:r w:rsidRPr="007404FA">
        <w:rPr>
          <w:rFonts w:ascii="Times New Roman" w:hAnsi="Times New Roman" w:cs="Times New Roman"/>
          <w:b/>
          <w:sz w:val="24"/>
          <w:szCs w:val="24"/>
        </w:rPr>
        <w:t xml:space="preserve">1. Сигнали и </w:t>
      </w:r>
      <w:r w:rsidR="008868F6" w:rsidRPr="007404FA">
        <w:rPr>
          <w:rFonts w:ascii="Times New Roman" w:hAnsi="Times New Roman" w:cs="Times New Roman"/>
          <w:b/>
          <w:sz w:val="24"/>
          <w:szCs w:val="24"/>
        </w:rPr>
        <w:t>запитвания</w:t>
      </w:r>
      <w:r w:rsidR="00553661" w:rsidRPr="007404FA">
        <w:rPr>
          <w:rFonts w:ascii="Times New Roman" w:hAnsi="Times New Roman" w:cs="Times New Roman"/>
          <w:b/>
          <w:sz w:val="24"/>
          <w:szCs w:val="24"/>
        </w:rPr>
        <w:t xml:space="preserve"> – </w:t>
      </w:r>
      <w:r w:rsidR="00E5420D">
        <w:rPr>
          <w:rFonts w:ascii="Times New Roman" w:hAnsi="Times New Roman" w:cs="Times New Roman"/>
          <w:b/>
          <w:sz w:val="24"/>
          <w:szCs w:val="24"/>
        </w:rPr>
        <w:t>сравнителна</w:t>
      </w:r>
      <w:r w:rsidRPr="007404FA">
        <w:rPr>
          <w:rFonts w:ascii="Times New Roman" w:hAnsi="Times New Roman" w:cs="Times New Roman"/>
          <w:b/>
          <w:sz w:val="24"/>
          <w:szCs w:val="24"/>
        </w:rPr>
        <w:t xml:space="preserve"> характеристика на постъпилите сигнали и искания от граждани, касаещи защитата от незаконосъобразното обработване на лични данни на физическите лица съгласно правната уредба в Регламент 2016/679 и ЗЗЛД за 2022</w:t>
      </w:r>
      <w:r w:rsidR="00F06583" w:rsidRPr="007404FA">
        <w:rPr>
          <w:rFonts w:ascii="Times New Roman" w:hAnsi="Times New Roman" w:cs="Times New Roman"/>
          <w:b/>
          <w:sz w:val="24"/>
          <w:szCs w:val="24"/>
        </w:rPr>
        <w:t> г.</w:t>
      </w:r>
    </w:p>
    <w:p w:rsidR="0063284A" w:rsidRPr="007404FA" w:rsidRDefault="002C44F4"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Сигналите</w:t>
      </w:r>
      <w:r w:rsidR="0063284A" w:rsidRPr="007404FA">
        <w:rPr>
          <w:rFonts w:ascii="Times New Roman" w:eastAsia="Batang" w:hAnsi="Times New Roman" w:cs="Times New Roman"/>
          <w:sz w:val="24"/>
          <w:szCs w:val="24"/>
        </w:rPr>
        <w:t xml:space="preserve"> и запитванията са регламентиран способ за публичен контрол върху спазването на нормативните актове по отношение на личните данни. През отчетната 2022</w:t>
      </w:r>
      <w:r w:rsidR="00F06583" w:rsidRPr="007404FA">
        <w:rPr>
          <w:rFonts w:ascii="Times New Roman" w:eastAsia="Batang" w:hAnsi="Times New Roman" w:cs="Times New Roman"/>
          <w:sz w:val="24"/>
          <w:szCs w:val="24"/>
        </w:rPr>
        <w:t> г.</w:t>
      </w:r>
      <w:r w:rsidR="0063284A" w:rsidRPr="007404FA">
        <w:rPr>
          <w:rFonts w:ascii="Times New Roman" w:eastAsia="Batang" w:hAnsi="Times New Roman" w:cs="Times New Roman"/>
          <w:sz w:val="24"/>
          <w:szCs w:val="24"/>
        </w:rPr>
        <w:t xml:space="preserve"> в КЗЛД постъпват сигнали и запитвания по актуални въпроси във връзка с обработването на лични данни и изложени твърдения за нарушения на Регламент 2016/679 и ЗЗЛД. От подадените </w:t>
      </w:r>
      <w:r w:rsidR="00E5420D" w:rsidRPr="007404FA">
        <w:rPr>
          <w:rFonts w:ascii="Times New Roman" w:eastAsia="Batang" w:hAnsi="Times New Roman" w:cs="Times New Roman"/>
          <w:sz w:val="24"/>
          <w:szCs w:val="24"/>
        </w:rPr>
        <w:t>394 бр.</w:t>
      </w:r>
      <w:r w:rsidR="00E5420D">
        <w:rPr>
          <w:rFonts w:ascii="Times New Roman" w:eastAsia="Batang" w:hAnsi="Times New Roman" w:cs="Times New Roman"/>
          <w:sz w:val="24"/>
          <w:szCs w:val="24"/>
        </w:rPr>
        <w:t xml:space="preserve"> </w:t>
      </w:r>
      <w:r w:rsidR="0063284A" w:rsidRPr="007404FA">
        <w:rPr>
          <w:rFonts w:ascii="Times New Roman" w:eastAsia="Batang" w:hAnsi="Times New Roman" w:cs="Times New Roman"/>
          <w:sz w:val="24"/>
          <w:szCs w:val="24"/>
        </w:rPr>
        <w:t xml:space="preserve">сигнали и </w:t>
      </w:r>
      <w:r w:rsidR="004623CC" w:rsidRPr="007404FA">
        <w:rPr>
          <w:rFonts w:ascii="Times New Roman" w:eastAsia="Batang" w:hAnsi="Times New Roman" w:cs="Times New Roman"/>
          <w:sz w:val="24"/>
          <w:szCs w:val="24"/>
        </w:rPr>
        <w:t>искания за упражняване на надзорни правомощия</w:t>
      </w:r>
      <w:r w:rsidR="0063284A" w:rsidRPr="007404FA">
        <w:rPr>
          <w:rFonts w:ascii="Times New Roman" w:eastAsia="Batang" w:hAnsi="Times New Roman" w:cs="Times New Roman"/>
          <w:sz w:val="24"/>
          <w:szCs w:val="24"/>
        </w:rPr>
        <w:t xml:space="preserve"> са приключени 380</w:t>
      </w:r>
      <w:r w:rsidR="00D1189D" w:rsidRPr="007404FA">
        <w:rPr>
          <w:rFonts w:ascii="Times New Roman" w:eastAsia="Batang" w:hAnsi="Times New Roman" w:cs="Times New Roman"/>
          <w:sz w:val="24"/>
          <w:szCs w:val="24"/>
        </w:rPr>
        <w:t> бр.</w:t>
      </w:r>
      <w:r w:rsidR="0063284A" w:rsidRPr="007404FA">
        <w:rPr>
          <w:rFonts w:ascii="Times New Roman" w:eastAsia="Batang" w:hAnsi="Times New Roman" w:cs="Times New Roman"/>
          <w:sz w:val="24"/>
          <w:szCs w:val="24"/>
        </w:rPr>
        <w:t>, като са изпратени съответни отговори, а при необходимост получените сигнали са изпращани и на съ</w:t>
      </w:r>
      <w:r w:rsidR="00E5420D">
        <w:rPr>
          <w:rFonts w:ascii="Times New Roman" w:eastAsia="Batang" w:hAnsi="Times New Roman" w:cs="Times New Roman"/>
          <w:sz w:val="24"/>
          <w:szCs w:val="24"/>
        </w:rPr>
        <w:t>ответните органи или институции</w:t>
      </w:r>
      <w:r w:rsidR="0063284A" w:rsidRPr="007404FA">
        <w:rPr>
          <w:rFonts w:ascii="Times New Roman" w:eastAsia="Batang" w:hAnsi="Times New Roman" w:cs="Times New Roman"/>
          <w:sz w:val="24"/>
          <w:szCs w:val="24"/>
        </w:rPr>
        <w:t xml:space="preserve"> за произнасяне</w:t>
      </w:r>
      <w:r w:rsidR="00E5420D">
        <w:rPr>
          <w:rFonts w:ascii="Times New Roman" w:eastAsia="Batang" w:hAnsi="Times New Roman" w:cs="Times New Roman"/>
          <w:sz w:val="24"/>
          <w:szCs w:val="24"/>
        </w:rPr>
        <w:t xml:space="preserve"> по компетентност. За сравнение</w:t>
      </w:r>
      <w:r w:rsidR="0063284A" w:rsidRPr="007404FA">
        <w:rPr>
          <w:rFonts w:ascii="Times New Roman" w:eastAsia="Batang" w:hAnsi="Times New Roman" w:cs="Times New Roman"/>
          <w:sz w:val="24"/>
          <w:szCs w:val="24"/>
        </w:rPr>
        <w:t xml:space="preserve"> през 2018</w:t>
      </w:r>
      <w:r w:rsidR="00F06583" w:rsidRPr="007404FA">
        <w:rPr>
          <w:rFonts w:ascii="Times New Roman" w:eastAsia="Batang" w:hAnsi="Times New Roman" w:cs="Times New Roman"/>
          <w:sz w:val="24"/>
          <w:szCs w:val="24"/>
        </w:rPr>
        <w:t> г.</w:t>
      </w:r>
      <w:r w:rsidR="0063284A" w:rsidRPr="007404FA">
        <w:rPr>
          <w:rFonts w:ascii="Times New Roman" w:eastAsia="Batang" w:hAnsi="Times New Roman" w:cs="Times New Roman"/>
          <w:sz w:val="24"/>
          <w:szCs w:val="24"/>
        </w:rPr>
        <w:t>, първата от прилагането на Регламент 2016/679, са постъпили 290</w:t>
      </w:r>
      <w:r w:rsidR="00D1189D" w:rsidRPr="007404FA">
        <w:rPr>
          <w:rFonts w:ascii="Times New Roman" w:eastAsia="Batang" w:hAnsi="Times New Roman" w:cs="Times New Roman"/>
          <w:sz w:val="24"/>
          <w:szCs w:val="24"/>
        </w:rPr>
        <w:t> бр.</w:t>
      </w:r>
      <w:r w:rsidR="0063284A" w:rsidRPr="007404FA">
        <w:rPr>
          <w:rFonts w:ascii="Times New Roman" w:eastAsia="Batang" w:hAnsi="Times New Roman" w:cs="Times New Roman"/>
          <w:sz w:val="24"/>
          <w:szCs w:val="24"/>
        </w:rPr>
        <w:t xml:space="preserve"> сигнали и запитвания.</w:t>
      </w:r>
    </w:p>
    <w:p w:rsidR="005B03E8" w:rsidRPr="007404FA" w:rsidRDefault="005B03E8" w:rsidP="00DB6B05">
      <w:pPr>
        <w:spacing w:line="360" w:lineRule="auto"/>
        <w:ind w:firstLine="720"/>
        <w:jc w:val="both"/>
        <w:rPr>
          <w:rFonts w:ascii="Times New Roman" w:hAnsi="Times New Roman" w:cs="Times New Roman"/>
          <w:sz w:val="24"/>
          <w:szCs w:val="24"/>
        </w:rPr>
      </w:pPr>
      <w:r w:rsidRPr="007404FA">
        <w:rPr>
          <w:rFonts w:ascii="Times New Roman" w:hAnsi="Times New Roman" w:cs="Times New Roman"/>
          <w:sz w:val="24"/>
          <w:szCs w:val="24"/>
        </w:rPr>
        <w:t xml:space="preserve">Значителен брой запитвания и сигнали са получени срещу администратори на лични данни, предоставящи </w:t>
      </w:r>
      <w:r w:rsidRPr="007404FA">
        <w:rPr>
          <w:rFonts w:ascii="Times New Roman" w:hAnsi="Times New Roman" w:cs="Times New Roman"/>
          <w:bCs/>
          <w:sz w:val="24"/>
          <w:szCs w:val="24"/>
        </w:rPr>
        <w:t>интернет</w:t>
      </w:r>
      <w:r w:rsidRPr="007404FA">
        <w:rPr>
          <w:rFonts w:ascii="Times New Roman" w:hAnsi="Times New Roman" w:cs="Times New Roman"/>
          <w:sz w:val="24"/>
          <w:szCs w:val="24"/>
        </w:rPr>
        <w:t xml:space="preserve"> </w:t>
      </w:r>
      <w:r w:rsidRPr="007404FA">
        <w:rPr>
          <w:rFonts w:ascii="Times New Roman" w:hAnsi="Times New Roman" w:cs="Times New Roman"/>
          <w:bCs/>
          <w:sz w:val="24"/>
          <w:szCs w:val="24"/>
        </w:rPr>
        <w:t>услуги и on-line търговия</w:t>
      </w:r>
      <w:r w:rsidR="00553661" w:rsidRPr="007404FA">
        <w:rPr>
          <w:rFonts w:ascii="Times New Roman" w:hAnsi="Times New Roman" w:cs="Times New Roman"/>
          <w:sz w:val="24"/>
          <w:szCs w:val="24"/>
        </w:rPr>
        <w:t xml:space="preserve"> – </w:t>
      </w:r>
      <w:r w:rsidRPr="007404FA">
        <w:rPr>
          <w:rFonts w:ascii="Times New Roman" w:hAnsi="Times New Roman" w:cs="Times New Roman"/>
          <w:bCs/>
          <w:sz w:val="24"/>
          <w:szCs w:val="24"/>
        </w:rPr>
        <w:t>75</w:t>
      </w:r>
      <w:r w:rsidR="00D1189D" w:rsidRPr="007404FA">
        <w:rPr>
          <w:rFonts w:ascii="Times New Roman" w:hAnsi="Times New Roman" w:cs="Times New Roman"/>
          <w:sz w:val="24"/>
          <w:szCs w:val="24"/>
        </w:rPr>
        <w:t> бр.</w:t>
      </w:r>
      <w:r w:rsidRPr="007404FA">
        <w:rPr>
          <w:rFonts w:ascii="Times New Roman" w:hAnsi="Times New Roman" w:cs="Times New Roman"/>
          <w:sz w:val="24"/>
          <w:szCs w:val="24"/>
        </w:rPr>
        <w:t xml:space="preserve"> На следващо място са сигнали в сектор </w:t>
      </w:r>
      <w:r w:rsidR="00E5420D">
        <w:rPr>
          <w:rFonts w:ascii="Times New Roman" w:hAnsi="Times New Roman" w:cs="Times New Roman"/>
          <w:sz w:val="24"/>
          <w:szCs w:val="24"/>
        </w:rPr>
        <w:t>б</w:t>
      </w:r>
      <w:r w:rsidRPr="007404FA">
        <w:rPr>
          <w:rFonts w:ascii="Times New Roman" w:hAnsi="Times New Roman" w:cs="Times New Roman"/>
          <w:sz w:val="24"/>
          <w:szCs w:val="24"/>
        </w:rPr>
        <w:t>анково дело и кредитна дейност</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36</w:t>
      </w:r>
      <w:r w:rsidR="00D1189D" w:rsidRPr="007404FA">
        <w:rPr>
          <w:rFonts w:ascii="Times New Roman" w:hAnsi="Times New Roman" w:cs="Times New Roman"/>
          <w:sz w:val="24"/>
          <w:szCs w:val="24"/>
        </w:rPr>
        <w:t> бр.</w:t>
      </w:r>
      <w:r w:rsidRPr="007404FA">
        <w:rPr>
          <w:rFonts w:ascii="Times New Roman" w:hAnsi="Times New Roman" w:cs="Times New Roman"/>
          <w:sz w:val="24"/>
          <w:szCs w:val="24"/>
        </w:rPr>
        <w:t>, следвани от сигнали за незаконосъобразно обработване на лични данни от администратори на лични данни</w:t>
      </w:r>
      <w:r w:rsidR="00E5420D">
        <w:rPr>
          <w:rFonts w:ascii="Times New Roman" w:hAnsi="Times New Roman" w:cs="Times New Roman"/>
          <w:sz w:val="24"/>
          <w:szCs w:val="24"/>
        </w:rPr>
        <w:t>,</w:t>
      </w:r>
      <w:r w:rsidRPr="007404FA">
        <w:rPr>
          <w:rFonts w:ascii="Times New Roman" w:hAnsi="Times New Roman" w:cs="Times New Roman"/>
          <w:sz w:val="24"/>
          <w:szCs w:val="24"/>
        </w:rPr>
        <w:t xml:space="preserve"> органи на </w:t>
      </w:r>
      <w:r w:rsidRPr="007404FA">
        <w:rPr>
          <w:rFonts w:ascii="Times New Roman" w:hAnsi="Times New Roman" w:cs="Times New Roman"/>
          <w:bCs/>
          <w:sz w:val="24"/>
          <w:szCs w:val="24"/>
        </w:rPr>
        <w:t>държавната администрация</w:t>
      </w:r>
      <w:r w:rsidR="00553661" w:rsidRPr="007404FA">
        <w:rPr>
          <w:rFonts w:ascii="Times New Roman" w:hAnsi="Times New Roman" w:cs="Times New Roman"/>
          <w:sz w:val="24"/>
          <w:szCs w:val="24"/>
        </w:rPr>
        <w:t xml:space="preserve"> – </w:t>
      </w:r>
      <w:r w:rsidRPr="007404FA">
        <w:rPr>
          <w:rFonts w:ascii="Times New Roman" w:hAnsi="Times New Roman" w:cs="Times New Roman"/>
          <w:bCs/>
          <w:sz w:val="24"/>
          <w:szCs w:val="24"/>
        </w:rPr>
        <w:t>29</w:t>
      </w:r>
      <w:r w:rsidR="00D1189D" w:rsidRPr="007404FA">
        <w:rPr>
          <w:rFonts w:ascii="Times New Roman" w:hAnsi="Times New Roman" w:cs="Times New Roman"/>
          <w:sz w:val="24"/>
          <w:szCs w:val="24"/>
        </w:rPr>
        <w:t> бр.</w:t>
      </w:r>
      <w:r w:rsidR="00E5420D">
        <w:rPr>
          <w:rFonts w:ascii="Times New Roman" w:hAnsi="Times New Roman" w:cs="Times New Roman"/>
          <w:sz w:val="24"/>
          <w:szCs w:val="24"/>
        </w:rPr>
        <w:t>,</w:t>
      </w:r>
      <w:r w:rsidRPr="007404FA">
        <w:rPr>
          <w:rFonts w:ascii="Times New Roman" w:hAnsi="Times New Roman" w:cs="Times New Roman"/>
          <w:sz w:val="24"/>
          <w:szCs w:val="24"/>
        </w:rPr>
        <w:t xml:space="preserve"> и такива за целите на </w:t>
      </w:r>
      <w:r w:rsidRPr="007404FA">
        <w:rPr>
          <w:rFonts w:ascii="Times New Roman" w:hAnsi="Times New Roman" w:cs="Times New Roman"/>
          <w:bCs/>
          <w:sz w:val="24"/>
          <w:szCs w:val="24"/>
        </w:rPr>
        <w:t>директния маркетинг</w:t>
      </w:r>
      <w:r w:rsidR="00553661" w:rsidRPr="007404FA">
        <w:rPr>
          <w:rFonts w:ascii="Times New Roman" w:hAnsi="Times New Roman" w:cs="Times New Roman"/>
          <w:bCs/>
          <w:sz w:val="24"/>
          <w:szCs w:val="24"/>
        </w:rPr>
        <w:t xml:space="preserve"> – </w:t>
      </w:r>
      <w:r w:rsidRPr="007404FA">
        <w:rPr>
          <w:rFonts w:ascii="Times New Roman" w:hAnsi="Times New Roman" w:cs="Times New Roman"/>
          <w:bCs/>
          <w:sz w:val="24"/>
          <w:szCs w:val="24"/>
        </w:rPr>
        <w:t>26</w:t>
      </w:r>
      <w:r w:rsidR="00D1189D" w:rsidRPr="007404FA">
        <w:rPr>
          <w:rFonts w:ascii="Times New Roman" w:hAnsi="Times New Roman" w:cs="Times New Roman"/>
          <w:bCs/>
          <w:sz w:val="24"/>
          <w:szCs w:val="24"/>
        </w:rPr>
        <w:t> бр.</w:t>
      </w:r>
      <w:r w:rsidRPr="007404FA">
        <w:rPr>
          <w:rFonts w:ascii="Times New Roman" w:hAnsi="Times New Roman" w:cs="Times New Roman"/>
          <w:bCs/>
          <w:sz w:val="24"/>
          <w:szCs w:val="24"/>
        </w:rPr>
        <w:t xml:space="preserve"> </w:t>
      </w:r>
      <w:r w:rsidRPr="007404FA">
        <w:rPr>
          <w:rFonts w:ascii="Times New Roman" w:hAnsi="Times New Roman" w:cs="Times New Roman"/>
          <w:sz w:val="24"/>
          <w:szCs w:val="24"/>
        </w:rPr>
        <w:t xml:space="preserve">Постъпили са сигнали срещу администратори, обработващи лични данни чрез изградени системи за </w:t>
      </w:r>
      <w:r w:rsidRPr="007404FA">
        <w:rPr>
          <w:rFonts w:ascii="Times New Roman" w:hAnsi="Times New Roman" w:cs="Times New Roman"/>
          <w:bCs/>
          <w:sz w:val="24"/>
          <w:szCs w:val="24"/>
        </w:rPr>
        <w:t>видеонаблюдение</w:t>
      </w:r>
      <w:r w:rsidR="00553661" w:rsidRPr="007404FA">
        <w:rPr>
          <w:rFonts w:ascii="Times New Roman" w:hAnsi="Times New Roman" w:cs="Times New Roman"/>
          <w:bCs/>
          <w:sz w:val="24"/>
          <w:szCs w:val="24"/>
        </w:rPr>
        <w:t xml:space="preserve"> – </w:t>
      </w:r>
      <w:r w:rsidRPr="007404FA">
        <w:rPr>
          <w:rFonts w:ascii="Times New Roman" w:hAnsi="Times New Roman" w:cs="Times New Roman"/>
          <w:bCs/>
          <w:sz w:val="24"/>
          <w:szCs w:val="24"/>
        </w:rPr>
        <w:t>23</w:t>
      </w:r>
      <w:r w:rsidR="00D1189D" w:rsidRPr="007404FA">
        <w:rPr>
          <w:rFonts w:ascii="Times New Roman" w:hAnsi="Times New Roman" w:cs="Times New Roman"/>
          <w:sz w:val="24"/>
          <w:szCs w:val="24"/>
        </w:rPr>
        <w:t> бр.</w:t>
      </w:r>
      <w:r w:rsidRPr="007404FA">
        <w:rPr>
          <w:rFonts w:ascii="Times New Roman" w:hAnsi="Times New Roman" w:cs="Times New Roman"/>
          <w:bCs/>
          <w:sz w:val="24"/>
          <w:szCs w:val="24"/>
        </w:rPr>
        <w:t>,</w:t>
      </w:r>
      <w:r w:rsidRPr="007404FA">
        <w:rPr>
          <w:rFonts w:ascii="Times New Roman" w:hAnsi="Times New Roman" w:cs="Times New Roman"/>
          <w:sz w:val="24"/>
          <w:szCs w:val="24"/>
        </w:rPr>
        <w:t xml:space="preserve"> както и</w:t>
      </w:r>
      <w:r w:rsidR="00157B49">
        <w:rPr>
          <w:rFonts w:ascii="Times New Roman" w:hAnsi="Times New Roman" w:cs="Times New Roman"/>
          <w:sz w:val="24"/>
          <w:szCs w:val="24"/>
        </w:rPr>
        <w:t xml:space="preserve"> </w:t>
      </w:r>
      <w:r w:rsidRPr="007404FA">
        <w:rPr>
          <w:rFonts w:ascii="Times New Roman" w:hAnsi="Times New Roman" w:cs="Times New Roman"/>
          <w:sz w:val="24"/>
          <w:szCs w:val="24"/>
        </w:rPr>
        <w:t xml:space="preserve">такива в сферите на </w:t>
      </w:r>
      <w:r w:rsidRPr="007404FA">
        <w:rPr>
          <w:rFonts w:ascii="Times New Roman" w:hAnsi="Times New Roman" w:cs="Times New Roman"/>
          <w:bCs/>
          <w:sz w:val="24"/>
          <w:szCs w:val="24"/>
        </w:rPr>
        <w:t>търговията и услуги</w:t>
      </w:r>
      <w:r w:rsidR="00553661" w:rsidRPr="007404FA">
        <w:rPr>
          <w:rFonts w:ascii="Times New Roman" w:hAnsi="Times New Roman" w:cs="Times New Roman"/>
          <w:bCs/>
          <w:sz w:val="24"/>
          <w:szCs w:val="24"/>
        </w:rPr>
        <w:t xml:space="preserve"> – </w:t>
      </w:r>
      <w:r w:rsidRPr="007404FA">
        <w:rPr>
          <w:rFonts w:ascii="Times New Roman" w:hAnsi="Times New Roman" w:cs="Times New Roman"/>
          <w:bCs/>
          <w:sz w:val="24"/>
          <w:szCs w:val="24"/>
        </w:rPr>
        <w:t>21</w:t>
      </w:r>
      <w:r w:rsidR="00D1189D" w:rsidRPr="007404FA">
        <w:rPr>
          <w:rFonts w:ascii="Times New Roman" w:hAnsi="Times New Roman" w:cs="Times New Roman"/>
          <w:sz w:val="24"/>
          <w:szCs w:val="24"/>
        </w:rPr>
        <w:t> бр.</w:t>
      </w:r>
      <w:r w:rsidR="00E5420D">
        <w:rPr>
          <w:rFonts w:ascii="Times New Roman" w:hAnsi="Times New Roman" w:cs="Times New Roman"/>
          <w:sz w:val="24"/>
          <w:szCs w:val="24"/>
        </w:rPr>
        <w:t>,</w:t>
      </w:r>
      <w:r w:rsidRPr="007404FA">
        <w:rPr>
          <w:rFonts w:ascii="Times New Roman" w:hAnsi="Times New Roman" w:cs="Times New Roman"/>
          <w:bCs/>
          <w:sz w:val="24"/>
          <w:szCs w:val="24"/>
        </w:rPr>
        <w:t xml:space="preserve"> </w:t>
      </w:r>
      <w:r w:rsidRPr="007404FA">
        <w:rPr>
          <w:rFonts w:ascii="Times New Roman" w:hAnsi="Times New Roman" w:cs="Times New Roman"/>
          <w:sz w:val="24"/>
          <w:szCs w:val="24"/>
        </w:rPr>
        <w:t xml:space="preserve">и </w:t>
      </w:r>
      <w:r w:rsidRPr="007404FA">
        <w:rPr>
          <w:rFonts w:ascii="Times New Roman" w:hAnsi="Times New Roman" w:cs="Times New Roman"/>
          <w:bCs/>
          <w:sz w:val="24"/>
          <w:szCs w:val="24"/>
        </w:rPr>
        <w:t>телекомуникации</w:t>
      </w:r>
      <w:r w:rsidR="00E5420D">
        <w:rPr>
          <w:rFonts w:ascii="Times New Roman" w:hAnsi="Times New Roman" w:cs="Times New Roman"/>
          <w:bCs/>
          <w:sz w:val="24"/>
          <w:szCs w:val="24"/>
        </w:rPr>
        <w:t>те</w:t>
      </w:r>
      <w:r w:rsidR="00553661" w:rsidRPr="007404FA">
        <w:rPr>
          <w:rFonts w:ascii="Times New Roman" w:hAnsi="Times New Roman" w:cs="Times New Roman"/>
          <w:bCs/>
          <w:sz w:val="24"/>
          <w:szCs w:val="24"/>
        </w:rPr>
        <w:t xml:space="preserve"> – </w:t>
      </w:r>
      <w:r w:rsidRPr="007404FA">
        <w:rPr>
          <w:rFonts w:ascii="Times New Roman" w:hAnsi="Times New Roman" w:cs="Times New Roman"/>
          <w:bCs/>
          <w:sz w:val="24"/>
          <w:szCs w:val="24"/>
        </w:rPr>
        <w:t>21</w:t>
      </w:r>
      <w:r w:rsidR="00D1189D" w:rsidRPr="007404FA">
        <w:rPr>
          <w:rFonts w:ascii="Times New Roman" w:hAnsi="Times New Roman" w:cs="Times New Roman"/>
          <w:bCs/>
          <w:sz w:val="24"/>
          <w:szCs w:val="24"/>
        </w:rPr>
        <w:t> бр.</w:t>
      </w:r>
      <w:r w:rsidRPr="007404FA">
        <w:rPr>
          <w:rFonts w:ascii="Times New Roman" w:hAnsi="Times New Roman" w:cs="Times New Roman"/>
          <w:bCs/>
          <w:sz w:val="24"/>
          <w:szCs w:val="24"/>
        </w:rPr>
        <w:t xml:space="preserve"> </w:t>
      </w:r>
      <w:r w:rsidRPr="007404FA">
        <w:rPr>
          <w:rFonts w:ascii="Times New Roman" w:hAnsi="Times New Roman" w:cs="Times New Roman"/>
          <w:sz w:val="24"/>
          <w:szCs w:val="24"/>
        </w:rPr>
        <w:t xml:space="preserve">Важна част касаят незаконосъобразно обработване на лични данни в областта на </w:t>
      </w:r>
      <w:r w:rsidRPr="007404FA">
        <w:rPr>
          <w:rFonts w:ascii="Times New Roman" w:hAnsi="Times New Roman" w:cs="Times New Roman"/>
          <w:bCs/>
          <w:sz w:val="24"/>
          <w:szCs w:val="24"/>
        </w:rPr>
        <w:t>пощенските услуги</w:t>
      </w:r>
      <w:r w:rsidR="00553661" w:rsidRPr="007404FA">
        <w:rPr>
          <w:rFonts w:ascii="Times New Roman" w:hAnsi="Times New Roman" w:cs="Times New Roman"/>
          <w:bCs/>
          <w:sz w:val="24"/>
          <w:szCs w:val="24"/>
        </w:rPr>
        <w:t xml:space="preserve"> – </w:t>
      </w:r>
      <w:r w:rsidRPr="007404FA">
        <w:rPr>
          <w:rFonts w:ascii="Times New Roman" w:hAnsi="Times New Roman" w:cs="Times New Roman"/>
          <w:bCs/>
          <w:sz w:val="24"/>
          <w:szCs w:val="24"/>
        </w:rPr>
        <w:t>16</w:t>
      </w:r>
      <w:r w:rsidR="00D1189D" w:rsidRPr="007404FA">
        <w:rPr>
          <w:rFonts w:ascii="Times New Roman" w:hAnsi="Times New Roman" w:cs="Times New Roman"/>
          <w:bCs/>
          <w:sz w:val="24"/>
          <w:szCs w:val="24"/>
        </w:rPr>
        <w:t> бр.</w:t>
      </w:r>
      <w:r w:rsidRPr="007404FA">
        <w:rPr>
          <w:rFonts w:ascii="Times New Roman" w:hAnsi="Times New Roman" w:cs="Times New Roman"/>
          <w:sz w:val="24"/>
          <w:szCs w:val="24"/>
        </w:rPr>
        <w:t xml:space="preserve">, в сферата на </w:t>
      </w:r>
      <w:r w:rsidRPr="007404FA">
        <w:rPr>
          <w:rFonts w:ascii="Times New Roman" w:hAnsi="Times New Roman" w:cs="Times New Roman"/>
          <w:bCs/>
          <w:sz w:val="24"/>
          <w:szCs w:val="24"/>
        </w:rPr>
        <w:t>здравеопазването</w:t>
      </w:r>
      <w:r w:rsidR="00553661" w:rsidRPr="007404FA">
        <w:rPr>
          <w:rFonts w:ascii="Times New Roman" w:hAnsi="Times New Roman" w:cs="Times New Roman"/>
          <w:bCs/>
          <w:sz w:val="24"/>
          <w:szCs w:val="24"/>
        </w:rPr>
        <w:t xml:space="preserve"> – </w:t>
      </w:r>
      <w:r w:rsidRPr="007404FA">
        <w:rPr>
          <w:rFonts w:ascii="Times New Roman" w:hAnsi="Times New Roman" w:cs="Times New Roman"/>
          <w:bCs/>
          <w:sz w:val="24"/>
          <w:szCs w:val="24"/>
        </w:rPr>
        <w:t>15</w:t>
      </w:r>
      <w:r w:rsidR="00D1189D" w:rsidRPr="007404FA">
        <w:rPr>
          <w:rFonts w:ascii="Times New Roman" w:hAnsi="Times New Roman" w:cs="Times New Roman"/>
          <w:bCs/>
          <w:sz w:val="24"/>
          <w:szCs w:val="24"/>
        </w:rPr>
        <w:t> бр.</w:t>
      </w:r>
      <w:r w:rsidRPr="007404FA">
        <w:rPr>
          <w:rFonts w:ascii="Times New Roman" w:hAnsi="Times New Roman" w:cs="Times New Roman"/>
          <w:sz w:val="24"/>
          <w:szCs w:val="24"/>
        </w:rPr>
        <w:t xml:space="preserve"> Сигналите срещу дружества с предмет на дейност </w:t>
      </w:r>
      <w:r w:rsidRPr="007404FA">
        <w:rPr>
          <w:rFonts w:ascii="Times New Roman" w:hAnsi="Times New Roman" w:cs="Times New Roman"/>
          <w:bCs/>
          <w:sz w:val="24"/>
          <w:szCs w:val="24"/>
        </w:rPr>
        <w:t>хазарт</w:t>
      </w:r>
      <w:r w:rsidR="00553661" w:rsidRPr="007404FA">
        <w:rPr>
          <w:rFonts w:ascii="Times New Roman" w:hAnsi="Times New Roman" w:cs="Times New Roman"/>
          <w:bCs/>
          <w:sz w:val="24"/>
          <w:szCs w:val="24"/>
        </w:rPr>
        <w:t xml:space="preserve"> – </w:t>
      </w:r>
      <w:r w:rsidRPr="007404FA">
        <w:rPr>
          <w:rFonts w:ascii="Times New Roman" w:hAnsi="Times New Roman" w:cs="Times New Roman"/>
          <w:bCs/>
          <w:sz w:val="24"/>
          <w:szCs w:val="24"/>
        </w:rPr>
        <w:t>14</w:t>
      </w:r>
      <w:r w:rsidR="00D1189D" w:rsidRPr="007404FA">
        <w:rPr>
          <w:rFonts w:ascii="Times New Roman" w:hAnsi="Times New Roman" w:cs="Times New Roman"/>
          <w:sz w:val="24"/>
          <w:szCs w:val="24"/>
        </w:rPr>
        <w:t> бр.</w:t>
      </w:r>
      <w:r w:rsidRPr="007404FA">
        <w:rPr>
          <w:rFonts w:ascii="Times New Roman" w:hAnsi="Times New Roman" w:cs="Times New Roman"/>
          <w:sz w:val="24"/>
          <w:szCs w:val="24"/>
        </w:rPr>
        <w:t xml:space="preserve">, срещу сайтове за търсене и предлагане на работа и/или сектор </w:t>
      </w:r>
      <w:r w:rsidRPr="007404FA">
        <w:rPr>
          <w:rFonts w:ascii="Times New Roman" w:hAnsi="Times New Roman" w:cs="Times New Roman"/>
          <w:bCs/>
          <w:sz w:val="24"/>
          <w:szCs w:val="24"/>
        </w:rPr>
        <w:t>човешки ресурси</w:t>
      </w:r>
      <w:r w:rsidR="00553661" w:rsidRPr="007404FA">
        <w:rPr>
          <w:rFonts w:ascii="Times New Roman" w:hAnsi="Times New Roman" w:cs="Times New Roman"/>
          <w:bCs/>
          <w:sz w:val="24"/>
          <w:szCs w:val="24"/>
        </w:rPr>
        <w:t xml:space="preserve"> – </w:t>
      </w:r>
      <w:r w:rsidRPr="007404FA">
        <w:rPr>
          <w:rFonts w:ascii="Times New Roman" w:hAnsi="Times New Roman" w:cs="Times New Roman"/>
          <w:bCs/>
          <w:sz w:val="24"/>
          <w:szCs w:val="24"/>
        </w:rPr>
        <w:t>14</w:t>
      </w:r>
      <w:r w:rsidR="00D1189D" w:rsidRPr="007404FA">
        <w:rPr>
          <w:rFonts w:ascii="Times New Roman" w:hAnsi="Times New Roman" w:cs="Times New Roman"/>
          <w:bCs/>
          <w:sz w:val="24"/>
          <w:szCs w:val="24"/>
        </w:rPr>
        <w:t> бр.</w:t>
      </w:r>
      <w:r w:rsidRPr="007404FA">
        <w:rPr>
          <w:rFonts w:ascii="Times New Roman" w:hAnsi="Times New Roman" w:cs="Times New Roman"/>
          <w:sz w:val="24"/>
          <w:szCs w:val="24"/>
        </w:rPr>
        <w:t xml:space="preserve">, в сферата на </w:t>
      </w:r>
      <w:r w:rsidRPr="007404FA">
        <w:rPr>
          <w:rFonts w:ascii="Times New Roman" w:hAnsi="Times New Roman" w:cs="Times New Roman"/>
          <w:bCs/>
          <w:sz w:val="24"/>
          <w:szCs w:val="24"/>
        </w:rPr>
        <w:t>политиката</w:t>
      </w:r>
      <w:r w:rsidR="00553661" w:rsidRPr="007404FA">
        <w:rPr>
          <w:rFonts w:ascii="Times New Roman" w:hAnsi="Times New Roman" w:cs="Times New Roman"/>
          <w:bCs/>
          <w:sz w:val="24"/>
          <w:szCs w:val="24"/>
        </w:rPr>
        <w:t xml:space="preserve"> – </w:t>
      </w:r>
      <w:r w:rsidRPr="007404FA">
        <w:rPr>
          <w:rFonts w:ascii="Times New Roman" w:hAnsi="Times New Roman" w:cs="Times New Roman"/>
          <w:bCs/>
          <w:sz w:val="24"/>
          <w:szCs w:val="24"/>
        </w:rPr>
        <w:t>13</w:t>
      </w:r>
      <w:r w:rsidR="00D1189D" w:rsidRPr="007404FA">
        <w:rPr>
          <w:rFonts w:ascii="Times New Roman" w:hAnsi="Times New Roman" w:cs="Times New Roman"/>
          <w:bCs/>
          <w:sz w:val="24"/>
          <w:szCs w:val="24"/>
        </w:rPr>
        <w:t> бр.</w:t>
      </w:r>
      <w:r w:rsidRPr="007404FA">
        <w:rPr>
          <w:rFonts w:ascii="Times New Roman" w:hAnsi="Times New Roman" w:cs="Times New Roman"/>
          <w:sz w:val="24"/>
          <w:szCs w:val="24"/>
        </w:rPr>
        <w:t xml:space="preserve">, в </w:t>
      </w:r>
      <w:r w:rsidRPr="007404FA">
        <w:rPr>
          <w:rFonts w:ascii="Times New Roman" w:hAnsi="Times New Roman" w:cs="Times New Roman"/>
          <w:bCs/>
          <w:sz w:val="24"/>
          <w:szCs w:val="24"/>
        </w:rPr>
        <w:t>други сектори</w:t>
      </w:r>
      <w:r w:rsidR="00553661" w:rsidRPr="007404FA">
        <w:rPr>
          <w:rFonts w:ascii="Times New Roman" w:hAnsi="Times New Roman" w:cs="Times New Roman"/>
          <w:bCs/>
          <w:sz w:val="24"/>
          <w:szCs w:val="24"/>
        </w:rPr>
        <w:t xml:space="preserve"> – </w:t>
      </w:r>
      <w:r w:rsidRPr="007404FA">
        <w:rPr>
          <w:rFonts w:ascii="Times New Roman" w:hAnsi="Times New Roman" w:cs="Times New Roman"/>
          <w:bCs/>
          <w:sz w:val="24"/>
          <w:szCs w:val="24"/>
        </w:rPr>
        <w:t>91</w:t>
      </w:r>
      <w:r w:rsidR="00D1189D" w:rsidRPr="007404FA">
        <w:rPr>
          <w:rFonts w:ascii="Times New Roman" w:hAnsi="Times New Roman" w:cs="Times New Roman"/>
          <w:bCs/>
          <w:sz w:val="24"/>
          <w:szCs w:val="24"/>
        </w:rPr>
        <w:t> бр.</w:t>
      </w: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На графиката е изобразен сравнителен анализ на постъпилите за разглеждане сигнали и искания за периода 2017</w:t>
      </w:r>
      <w:r w:rsidR="00553661" w:rsidRPr="007404FA">
        <w:rPr>
          <w:rFonts w:ascii="Times New Roman" w:eastAsia="Batang" w:hAnsi="Times New Roman" w:cs="Times New Roman"/>
          <w:sz w:val="24"/>
          <w:szCs w:val="24"/>
        </w:rPr>
        <w:t xml:space="preserve"> – </w:t>
      </w:r>
      <w:r w:rsidR="0072088F" w:rsidRPr="007404FA">
        <w:rPr>
          <w:rFonts w:ascii="Times New Roman" w:eastAsia="Batang" w:hAnsi="Times New Roman" w:cs="Times New Roman"/>
          <w:sz w:val="24"/>
          <w:szCs w:val="24"/>
        </w:rPr>
        <w:t>2022</w:t>
      </w:r>
      <w:r w:rsidR="00F06583" w:rsidRPr="007404FA">
        <w:rPr>
          <w:rFonts w:ascii="Times New Roman" w:eastAsia="Batang" w:hAnsi="Times New Roman" w:cs="Times New Roman"/>
          <w:sz w:val="24"/>
          <w:szCs w:val="24"/>
        </w:rPr>
        <w:t> г.</w:t>
      </w:r>
      <w:r w:rsidR="0072088F" w:rsidRPr="007404FA">
        <w:rPr>
          <w:rFonts w:ascii="Times New Roman" w:eastAsia="Batang" w:hAnsi="Times New Roman" w:cs="Times New Roman"/>
          <w:sz w:val="24"/>
          <w:szCs w:val="24"/>
        </w:rPr>
        <w:t xml:space="preserve"> (</w:t>
      </w:r>
      <w:r w:rsidR="00E5420D">
        <w:rPr>
          <w:rFonts w:ascii="Times New Roman" w:eastAsia="Batang" w:hAnsi="Times New Roman" w:cs="Times New Roman"/>
          <w:b/>
          <w:sz w:val="24"/>
          <w:szCs w:val="24"/>
        </w:rPr>
        <w:t>ф</w:t>
      </w:r>
      <w:r w:rsidR="0072088F" w:rsidRPr="007404FA">
        <w:rPr>
          <w:rFonts w:ascii="Times New Roman" w:eastAsia="Batang" w:hAnsi="Times New Roman" w:cs="Times New Roman"/>
          <w:b/>
          <w:sz w:val="24"/>
          <w:szCs w:val="24"/>
        </w:rPr>
        <w:t>иг.</w:t>
      </w:r>
      <w:r w:rsidR="00E5420D">
        <w:rPr>
          <w:rFonts w:ascii="Times New Roman" w:eastAsia="Batang" w:hAnsi="Times New Roman" w:cs="Times New Roman"/>
          <w:b/>
          <w:sz w:val="24"/>
          <w:szCs w:val="24"/>
        </w:rPr>
        <w:t xml:space="preserve"> </w:t>
      </w:r>
      <w:r w:rsidR="0072088F" w:rsidRPr="007404FA">
        <w:rPr>
          <w:rFonts w:ascii="Times New Roman" w:eastAsia="Batang" w:hAnsi="Times New Roman" w:cs="Times New Roman"/>
          <w:b/>
          <w:sz w:val="24"/>
          <w:szCs w:val="24"/>
        </w:rPr>
        <w:t>5</w:t>
      </w:r>
      <w:r w:rsidRPr="007404FA">
        <w:rPr>
          <w:rFonts w:ascii="Times New Roman" w:eastAsia="Batang" w:hAnsi="Times New Roman" w:cs="Times New Roman"/>
          <w:sz w:val="24"/>
          <w:szCs w:val="24"/>
        </w:rPr>
        <w:t>):</w:t>
      </w:r>
    </w:p>
    <w:p w:rsidR="0063284A" w:rsidRPr="007404FA" w:rsidRDefault="0063284A" w:rsidP="00DB6B05">
      <w:pPr>
        <w:spacing w:line="360" w:lineRule="auto"/>
        <w:ind w:firstLine="709"/>
        <w:jc w:val="both"/>
        <w:rPr>
          <w:rFonts w:ascii="Times New Roman" w:eastAsia="Batang" w:hAnsi="Times New Roman" w:cs="Times New Roman"/>
          <w:sz w:val="24"/>
          <w:szCs w:val="24"/>
        </w:rPr>
      </w:pPr>
    </w:p>
    <w:p w:rsidR="0063284A" w:rsidRPr="007404FA" w:rsidRDefault="0063284A" w:rsidP="00DB6B05">
      <w:pPr>
        <w:spacing w:line="360" w:lineRule="auto"/>
        <w:ind w:firstLine="709"/>
        <w:jc w:val="both"/>
        <w:rPr>
          <w:rFonts w:ascii="Times New Roman" w:hAnsi="Times New Roman" w:cs="Times New Roman"/>
          <w:sz w:val="24"/>
          <w:szCs w:val="24"/>
        </w:rPr>
      </w:pPr>
    </w:p>
    <w:p w:rsidR="008131ED" w:rsidRPr="007404FA" w:rsidRDefault="002B0CAE" w:rsidP="001622B8">
      <w:pPr>
        <w:tabs>
          <w:tab w:val="left" w:pos="9072"/>
        </w:tabs>
        <w:spacing w:line="360" w:lineRule="auto"/>
        <w:ind w:firstLine="142"/>
        <w:jc w:val="both"/>
        <w:rPr>
          <w:rFonts w:ascii="Times New Roman" w:hAnsi="Times New Roman" w:cs="Times New Roman"/>
          <w:sz w:val="24"/>
          <w:szCs w:val="24"/>
        </w:rPr>
      </w:pPr>
      <w:r w:rsidRPr="007404FA">
        <w:rPr>
          <w:rFonts w:eastAsia="Batang" w:cs="Times New Roman"/>
          <w:b/>
          <w:noProof/>
          <w:lang w:val="en-US" w:eastAsia="en-US"/>
        </w:rPr>
        <w:lastRenderedPageBreak/>
        <w:drawing>
          <wp:inline distT="0" distB="0" distL="0" distR="0" wp14:anchorId="0259BEDA" wp14:editId="47FB6B31">
            <wp:extent cx="5661329" cy="3763645"/>
            <wp:effectExtent l="38100" t="57150" r="53975" b="4635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2088F" w:rsidRPr="007404FA" w:rsidRDefault="0072088F" w:rsidP="00DB6B05">
      <w:pPr>
        <w:spacing w:line="360" w:lineRule="auto"/>
        <w:ind w:firstLine="709"/>
        <w:jc w:val="center"/>
        <w:rPr>
          <w:rFonts w:ascii="Times New Roman" w:hAnsi="Times New Roman" w:cs="Times New Roman"/>
          <w:b/>
          <w:sz w:val="24"/>
          <w:szCs w:val="24"/>
        </w:rPr>
      </w:pPr>
      <w:r w:rsidRPr="007404FA">
        <w:rPr>
          <w:rFonts w:ascii="Times New Roman" w:hAnsi="Times New Roman" w:cs="Times New Roman"/>
          <w:b/>
          <w:sz w:val="24"/>
          <w:szCs w:val="24"/>
        </w:rPr>
        <w:t>Фиг. 5</w:t>
      </w:r>
    </w:p>
    <w:p w:rsidR="0063284A" w:rsidRPr="007404FA" w:rsidRDefault="0063284A" w:rsidP="00DB6B05">
      <w:pPr>
        <w:spacing w:line="360" w:lineRule="auto"/>
        <w:ind w:firstLine="709"/>
        <w:jc w:val="both"/>
        <w:rPr>
          <w:rFonts w:ascii="Times New Roman" w:hAnsi="Times New Roman" w:cs="Times New Roman"/>
          <w:sz w:val="24"/>
          <w:szCs w:val="24"/>
        </w:rPr>
      </w:pPr>
    </w:p>
    <w:p w:rsidR="0063284A" w:rsidRPr="007404FA" w:rsidRDefault="0063284A"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Постъпилите сигнали и искания през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са многобройни и разнородни по своето естест</w:t>
      </w:r>
      <w:r w:rsidR="000E44A9" w:rsidRPr="007404FA">
        <w:rPr>
          <w:rFonts w:ascii="Times New Roman" w:hAnsi="Times New Roman" w:cs="Times New Roman"/>
          <w:sz w:val="24"/>
          <w:szCs w:val="24"/>
        </w:rPr>
        <w:t>во. П</w:t>
      </w:r>
      <w:r w:rsidRPr="007404FA">
        <w:rPr>
          <w:rFonts w:ascii="Times New Roman" w:hAnsi="Times New Roman" w:cs="Times New Roman"/>
          <w:sz w:val="24"/>
          <w:szCs w:val="24"/>
        </w:rPr>
        <w:t>реобладаващи са тези, в които се съобщава за предполаг</w:t>
      </w:r>
      <w:r w:rsidR="001B382F" w:rsidRPr="007404FA">
        <w:rPr>
          <w:rFonts w:ascii="Times New Roman" w:hAnsi="Times New Roman" w:cs="Times New Roman"/>
          <w:sz w:val="24"/>
          <w:szCs w:val="24"/>
        </w:rPr>
        <w:t xml:space="preserve">аема злоупотреба с лични данни или се </w:t>
      </w:r>
      <w:r w:rsidRPr="007404FA">
        <w:rPr>
          <w:rFonts w:ascii="Times New Roman" w:hAnsi="Times New Roman" w:cs="Times New Roman"/>
          <w:sz w:val="24"/>
          <w:szCs w:val="24"/>
        </w:rPr>
        <w:t>търси</w:t>
      </w:r>
      <w:r w:rsidR="001B382F" w:rsidRPr="007404FA">
        <w:rPr>
          <w:rFonts w:ascii="Times New Roman" w:hAnsi="Times New Roman" w:cs="Times New Roman"/>
          <w:sz w:val="24"/>
          <w:szCs w:val="24"/>
        </w:rPr>
        <w:t xml:space="preserve"> </w:t>
      </w:r>
      <w:r w:rsidRPr="007404FA">
        <w:rPr>
          <w:rFonts w:ascii="Times New Roman" w:hAnsi="Times New Roman" w:cs="Times New Roman"/>
          <w:sz w:val="24"/>
          <w:szCs w:val="24"/>
        </w:rPr>
        <w:t>съдействие за разрешаване на междуличностни конфликти посредством запитвания, отправени до КЗЛД. През отчетния период се забелязва тенденция към увеличаване на запитванията (по брой и съдържание) по теми, свързани със социалните мрежи, за упражняване и/или нарушаване на права на физически лица в сектор хазарт, видеонаблюдение и видеозаснемане, обработване на лични данни от куриерски дружества, сигнали, касаещи проблеми относно обработването на лични данни в сферата на здравеопазването, проблеми при обработването на лични данни при онлайн търговия и услуги. Получени са множество сигнали, касаещи сектор политика по повод политическата обстановка в страната и проведените парламентарни избори, както и стартирани подписки за национални и регионални референдуми</w:t>
      </w:r>
      <w:r w:rsidR="00157B49">
        <w:rPr>
          <w:rFonts w:ascii="Times New Roman" w:hAnsi="Times New Roman" w:cs="Times New Roman"/>
          <w:sz w:val="24"/>
          <w:szCs w:val="24"/>
        </w:rPr>
        <w:t xml:space="preserve"> </w:t>
      </w:r>
      <w:r w:rsidRPr="007404FA">
        <w:rPr>
          <w:rFonts w:ascii="Times New Roman" w:hAnsi="Times New Roman" w:cs="Times New Roman"/>
          <w:sz w:val="24"/>
          <w:szCs w:val="24"/>
        </w:rPr>
        <w:t xml:space="preserve">и свързаните с тях дейности на политическите субекти и упълномощени от тях лица. </w:t>
      </w:r>
    </w:p>
    <w:p w:rsidR="0063284A" w:rsidRPr="007404FA" w:rsidRDefault="0063284A"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Традиционно постъпват и множество запитвания, свързани с използване на лични данни от страна на мобилни оператори, пощенски оператори, фирми за бързо кредитиране и предоставяне на лични данни на</w:t>
      </w:r>
      <w:r w:rsidR="00E5420D">
        <w:rPr>
          <w:rFonts w:ascii="Times New Roman" w:hAnsi="Times New Roman" w:cs="Times New Roman"/>
          <w:sz w:val="24"/>
          <w:szCs w:val="24"/>
        </w:rPr>
        <w:t xml:space="preserve"> т.</w:t>
      </w:r>
      <w:r w:rsidRPr="007404FA">
        <w:rPr>
          <w:rFonts w:ascii="Times New Roman" w:hAnsi="Times New Roman" w:cs="Times New Roman"/>
          <w:sz w:val="24"/>
          <w:szCs w:val="24"/>
        </w:rPr>
        <w:t>нар. колекторски фирми</w:t>
      </w:r>
      <w:r w:rsidR="00E5420D">
        <w:rPr>
          <w:rFonts w:ascii="Times New Roman" w:hAnsi="Times New Roman" w:cs="Times New Roman"/>
          <w:sz w:val="24"/>
          <w:szCs w:val="24"/>
        </w:rPr>
        <w:t>,</w:t>
      </w:r>
      <w:r w:rsidRPr="007404FA">
        <w:rPr>
          <w:rFonts w:ascii="Times New Roman" w:hAnsi="Times New Roman" w:cs="Times New Roman"/>
          <w:sz w:val="24"/>
          <w:szCs w:val="24"/>
        </w:rPr>
        <w:t xml:space="preserve"> и обработване на лични данни за целите на директния маркетинг. Продължава да се засилва тенденцията за постъпване на сигнали, касаещи онлайн платформите за търсене и предлагане на работа, както и </w:t>
      </w:r>
      <w:r w:rsidRPr="007404FA">
        <w:rPr>
          <w:rFonts w:ascii="Times New Roman" w:hAnsi="Times New Roman" w:cs="Times New Roman"/>
          <w:sz w:val="24"/>
          <w:szCs w:val="24"/>
        </w:rPr>
        <w:lastRenderedPageBreak/>
        <w:t>обработването на лични данни при участие в подписки, свързани с политическата дейност в страната. Проблемна зона със значително завишени сигнали и запитвания се очертават компаниите, организиращи онлайн залагания, относно вида и обем обработвани лични данни и коректността при обработването, както и по отношение на предприетите мерки за защита при обработването на лични данни на български граждани, разположени на сървъри в различни държави</w:t>
      </w:r>
      <w:r w:rsidR="00E06D6E">
        <w:rPr>
          <w:rFonts w:ascii="Times New Roman" w:hAnsi="Times New Roman" w:cs="Times New Roman"/>
          <w:sz w:val="24"/>
          <w:szCs w:val="24"/>
        </w:rPr>
        <w:t xml:space="preserve"> –</w:t>
      </w:r>
      <w:r w:rsidRPr="007404FA">
        <w:rPr>
          <w:rFonts w:ascii="Times New Roman" w:hAnsi="Times New Roman" w:cs="Times New Roman"/>
          <w:sz w:val="24"/>
          <w:szCs w:val="24"/>
        </w:rPr>
        <w:t xml:space="preserve"> членки на ЕС и извън него. Често получавани са сигнали за нарушения, при които е наличен преобладаващ обществен интерес (например при средствата за масово осведомяване).</w:t>
      </w:r>
    </w:p>
    <w:p w:rsidR="0063284A" w:rsidRPr="007404FA" w:rsidRDefault="0063284A"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Все още се наблюдава проблемът администратори на лични данни да отказват или изобщо да не подават коректно данни за контакт </w:t>
      </w:r>
      <w:r w:rsidR="0091562F" w:rsidRPr="007404FA">
        <w:rPr>
          <w:rFonts w:ascii="Times New Roman" w:hAnsi="Times New Roman" w:cs="Times New Roman"/>
          <w:sz w:val="24"/>
          <w:szCs w:val="24"/>
        </w:rPr>
        <w:t>с</w:t>
      </w:r>
      <w:r w:rsidRPr="007404FA">
        <w:rPr>
          <w:rFonts w:ascii="Times New Roman" w:hAnsi="Times New Roman" w:cs="Times New Roman"/>
          <w:sz w:val="24"/>
          <w:szCs w:val="24"/>
        </w:rPr>
        <w:t xml:space="preserve"> физическите лица </w:t>
      </w:r>
      <w:r w:rsidR="0091562F" w:rsidRPr="007404FA">
        <w:rPr>
          <w:rFonts w:ascii="Times New Roman" w:hAnsi="Times New Roman" w:cs="Times New Roman"/>
          <w:sz w:val="24"/>
          <w:szCs w:val="24"/>
        </w:rPr>
        <w:t xml:space="preserve">при желание от тяхна страна </w:t>
      </w:r>
      <w:r w:rsidRPr="007404FA">
        <w:rPr>
          <w:rFonts w:ascii="Times New Roman" w:hAnsi="Times New Roman" w:cs="Times New Roman"/>
          <w:sz w:val="24"/>
          <w:szCs w:val="24"/>
        </w:rPr>
        <w:t>да упражнят правата си по Регламента, особено по отн</w:t>
      </w:r>
      <w:r w:rsidR="001A0803" w:rsidRPr="007404FA">
        <w:rPr>
          <w:rFonts w:ascii="Times New Roman" w:hAnsi="Times New Roman" w:cs="Times New Roman"/>
          <w:sz w:val="24"/>
          <w:szCs w:val="24"/>
        </w:rPr>
        <w:t xml:space="preserve">ошение на правото за изтриване. Това поведение се извежда като </w:t>
      </w:r>
      <w:r w:rsidRPr="007404FA">
        <w:rPr>
          <w:rFonts w:ascii="Times New Roman" w:hAnsi="Times New Roman" w:cs="Times New Roman"/>
          <w:sz w:val="24"/>
          <w:szCs w:val="24"/>
        </w:rPr>
        <w:t xml:space="preserve">едно от основните нарушения в областта на защита на личните данни. Продължава тенденцията, в която субектите се опитват да избегнат или заобиколят свои финансови или други задължения чрез упражняване на „правото да бъдеш забравен“ или посредством оттегляне на съгласие за обработване на данните им. </w:t>
      </w:r>
    </w:p>
    <w:p w:rsidR="0063284A" w:rsidRPr="007404FA" w:rsidRDefault="0063284A"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От изключителна важност през последните три години е обработването на множество данни за здравословното състояние на гражданите, които представляват специални категории лични данни по смисъла на</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 xml:space="preserve">9 от Регламента, в национални регистри, създадени по повод епидемична обстановка в страната, администрирани от Министерството на здравеопазването. Създаването на тези регистри </w:t>
      </w:r>
      <w:r w:rsidR="004E3FDD" w:rsidRPr="007404FA">
        <w:rPr>
          <w:rFonts w:ascii="Times New Roman" w:hAnsi="Times New Roman" w:cs="Times New Roman"/>
          <w:sz w:val="24"/>
          <w:szCs w:val="24"/>
        </w:rPr>
        <w:t>провокира</w:t>
      </w:r>
      <w:r w:rsidRPr="007404FA">
        <w:rPr>
          <w:rFonts w:ascii="Times New Roman" w:hAnsi="Times New Roman" w:cs="Times New Roman"/>
          <w:sz w:val="24"/>
          <w:szCs w:val="24"/>
        </w:rPr>
        <w:t xml:space="preserve"> постъпването на множество сигнали, касаещи въведените системи за регистрация и отчет на заболелите и карантинирани лица с </w:t>
      </w:r>
      <w:r w:rsidR="00E06D6E">
        <w:rPr>
          <w:rFonts w:ascii="Times New Roman" w:hAnsi="Times New Roman" w:cs="Times New Roman"/>
          <w:sz w:val="24"/>
          <w:szCs w:val="24"/>
          <w:lang w:val="en-US"/>
        </w:rPr>
        <w:t>COVID</w:t>
      </w:r>
      <w:r w:rsidRPr="007404FA">
        <w:rPr>
          <w:rFonts w:ascii="Times New Roman" w:hAnsi="Times New Roman" w:cs="Times New Roman"/>
          <w:sz w:val="24"/>
          <w:szCs w:val="24"/>
        </w:rPr>
        <w:t xml:space="preserve"> 19, както и регистърът с данни за лицата с проведени ваксини и придобилите имунитет в резултат на преболедуване. Тези въпроси разбираемо са свързани с развитието на пандемията в световен мащаб и често се комбинират с искания за информация по отношение правата на лицата в онлайн среда. Следва да се отчита, че г</w:t>
      </w:r>
      <w:r w:rsidRPr="007404FA">
        <w:rPr>
          <w:rFonts w:ascii="Times New Roman" w:eastAsia="Times New Roman" w:hAnsi="Times New Roman" w:cs="Times New Roman"/>
          <w:sz w:val="24"/>
          <w:szCs w:val="24"/>
        </w:rPr>
        <w:t xml:space="preserve">оляма част от </w:t>
      </w:r>
      <w:r w:rsidR="003D7C7E" w:rsidRPr="007404FA">
        <w:rPr>
          <w:rFonts w:ascii="Times New Roman" w:eastAsia="Times New Roman" w:hAnsi="Times New Roman" w:cs="Times New Roman"/>
          <w:sz w:val="24"/>
          <w:szCs w:val="24"/>
        </w:rPr>
        <w:t xml:space="preserve">изпълнението на </w:t>
      </w:r>
      <w:r w:rsidRPr="007404FA">
        <w:rPr>
          <w:rFonts w:ascii="Times New Roman" w:eastAsia="Times New Roman" w:hAnsi="Times New Roman" w:cs="Times New Roman"/>
          <w:sz w:val="24"/>
          <w:szCs w:val="24"/>
        </w:rPr>
        <w:t>чисто организационните мерки по преодоляване на последиците и за борба с коронавируса са свързани директно със защитата на неприкосновеността на личния жи</w:t>
      </w:r>
      <w:r w:rsidR="00E06D6E">
        <w:rPr>
          <w:rFonts w:ascii="Times New Roman" w:eastAsia="Times New Roman" w:hAnsi="Times New Roman" w:cs="Times New Roman"/>
          <w:sz w:val="24"/>
          <w:szCs w:val="24"/>
        </w:rPr>
        <w:t>вот и защитата на личните данни</w:t>
      </w:r>
      <w:r w:rsidRPr="007404FA">
        <w:rPr>
          <w:rFonts w:ascii="Times New Roman" w:eastAsia="Times New Roman" w:hAnsi="Times New Roman" w:cs="Times New Roman"/>
          <w:sz w:val="24"/>
          <w:szCs w:val="24"/>
        </w:rPr>
        <w:t xml:space="preserve"> както на национално, така и на международно ниво.</w:t>
      </w:r>
      <w:r w:rsidRPr="007404FA">
        <w:rPr>
          <w:rFonts w:ascii="Times New Roman" w:hAnsi="Times New Roman" w:cs="Times New Roman"/>
          <w:sz w:val="24"/>
          <w:szCs w:val="24"/>
        </w:rPr>
        <w:t xml:space="preserve"> </w:t>
      </w:r>
    </w:p>
    <w:p w:rsidR="0063284A" w:rsidRPr="007404FA" w:rsidRDefault="0063284A"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През целия отчетен период се запазва и тенденцията за запитвания по отношение на процедурите, които се прилагат при подаването на жалби и сигнали. Гражданите се интересуват от действията, които трябва да предприемат в качеството си на жалбоподател</w:t>
      </w:r>
      <w:r w:rsidR="00E33D95" w:rsidRPr="007404FA">
        <w:rPr>
          <w:rFonts w:ascii="Times New Roman" w:hAnsi="Times New Roman" w:cs="Times New Roman"/>
          <w:sz w:val="24"/>
          <w:szCs w:val="24"/>
        </w:rPr>
        <w:t>и</w:t>
      </w:r>
      <w:r w:rsidRPr="007404FA">
        <w:rPr>
          <w:rFonts w:ascii="Times New Roman" w:hAnsi="Times New Roman" w:cs="Times New Roman"/>
          <w:sz w:val="24"/>
          <w:szCs w:val="24"/>
        </w:rPr>
        <w:t>, срокове за разглеждане на техния казус и начините за получаване на обратна връзка, въпреки че тази информация е налична на страница</w:t>
      </w:r>
      <w:r w:rsidR="00E06D6E">
        <w:rPr>
          <w:rFonts w:ascii="Times New Roman" w:hAnsi="Times New Roman" w:cs="Times New Roman"/>
          <w:sz w:val="24"/>
          <w:szCs w:val="24"/>
        </w:rPr>
        <w:t>та</w:t>
      </w:r>
      <w:r w:rsidRPr="007404FA">
        <w:rPr>
          <w:rFonts w:ascii="Times New Roman" w:hAnsi="Times New Roman" w:cs="Times New Roman"/>
          <w:sz w:val="24"/>
          <w:szCs w:val="24"/>
        </w:rPr>
        <w:t xml:space="preserve"> на КЗЛД.</w:t>
      </w:r>
    </w:p>
    <w:p w:rsidR="0063284A" w:rsidRPr="007404FA" w:rsidRDefault="0063284A"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lastRenderedPageBreak/>
        <w:t>През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се забелязва значително нарастване на препратените по компетентност преписки от прокуратурата</w:t>
      </w:r>
      <w:r w:rsidR="00AF3AC3" w:rsidRPr="007404FA">
        <w:rPr>
          <w:rFonts w:ascii="Times New Roman" w:hAnsi="Times New Roman" w:cs="Times New Roman"/>
          <w:sz w:val="24"/>
          <w:szCs w:val="24"/>
        </w:rPr>
        <w:t xml:space="preserve"> и от</w:t>
      </w:r>
      <w:r w:rsidRPr="007404FA">
        <w:rPr>
          <w:rFonts w:ascii="Times New Roman" w:hAnsi="Times New Roman" w:cs="Times New Roman"/>
          <w:sz w:val="24"/>
          <w:szCs w:val="24"/>
        </w:rPr>
        <w:t xml:space="preserve"> органите на МВР, когато е отказано образуване на наказателно производство поради липсата на достатъчно събрани доказателства за престъпление, но има събрани факти и твърдения за евентуално извършени нарушения в областта на защитата на личните данни. </w:t>
      </w: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hAnsi="Times New Roman" w:cs="Times New Roman"/>
          <w:sz w:val="24"/>
          <w:szCs w:val="24"/>
        </w:rPr>
        <w:t>През визирания отчетен период в КЗЛД постъпват по компетентност преписки за произнасяне по компетентност, както следва: от органи и структури на МВР</w:t>
      </w:r>
      <w:r w:rsidR="00E06D6E">
        <w:rPr>
          <w:rFonts w:ascii="Times New Roman" w:hAnsi="Times New Roman" w:cs="Times New Roman"/>
          <w:sz w:val="24"/>
          <w:szCs w:val="24"/>
        </w:rPr>
        <w:t xml:space="preserve"> </w:t>
      </w:r>
      <w:r w:rsidRPr="007404FA">
        <w:rPr>
          <w:rFonts w:ascii="Times New Roman" w:hAnsi="Times New Roman" w:cs="Times New Roman"/>
          <w:sz w:val="24"/>
          <w:szCs w:val="24"/>
        </w:rPr>
        <w:t>– 13</w:t>
      </w:r>
      <w:r w:rsidR="00D1189D" w:rsidRPr="007404FA">
        <w:rPr>
          <w:rFonts w:ascii="Times New Roman" w:hAnsi="Times New Roman" w:cs="Times New Roman"/>
          <w:sz w:val="24"/>
          <w:szCs w:val="24"/>
        </w:rPr>
        <w:t> бр.</w:t>
      </w:r>
      <w:r w:rsidR="00E06D6E">
        <w:rPr>
          <w:rFonts w:ascii="Times New Roman" w:hAnsi="Times New Roman" w:cs="Times New Roman"/>
          <w:sz w:val="24"/>
          <w:szCs w:val="24"/>
        </w:rPr>
        <w:t>, от п</w:t>
      </w:r>
      <w:r w:rsidRPr="007404FA">
        <w:rPr>
          <w:rFonts w:ascii="Times New Roman" w:hAnsi="Times New Roman" w:cs="Times New Roman"/>
          <w:sz w:val="24"/>
          <w:szCs w:val="24"/>
        </w:rPr>
        <w:t>рокуратурата</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18</w:t>
      </w:r>
      <w:r w:rsidR="00D1189D" w:rsidRPr="007404FA">
        <w:rPr>
          <w:rFonts w:ascii="Times New Roman" w:hAnsi="Times New Roman" w:cs="Times New Roman"/>
          <w:sz w:val="24"/>
          <w:szCs w:val="24"/>
        </w:rPr>
        <w:t> бр.</w:t>
      </w:r>
      <w:r w:rsidRPr="007404FA">
        <w:rPr>
          <w:rFonts w:ascii="Times New Roman" w:hAnsi="Times New Roman" w:cs="Times New Roman"/>
          <w:sz w:val="24"/>
          <w:szCs w:val="24"/>
        </w:rPr>
        <w:t>, от КЗП</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21</w:t>
      </w:r>
      <w:r w:rsidR="00D1189D" w:rsidRPr="007404FA">
        <w:rPr>
          <w:rFonts w:ascii="Times New Roman" w:hAnsi="Times New Roman" w:cs="Times New Roman"/>
          <w:sz w:val="24"/>
          <w:szCs w:val="24"/>
        </w:rPr>
        <w:t> бр.</w:t>
      </w:r>
      <w:r w:rsidRPr="007404FA">
        <w:rPr>
          <w:rFonts w:ascii="Times New Roman" w:hAnsi="Times New Roman" w:cs="Times New Roman"/>
          <w:sz w:val="24"/>
          <w:szCs w:val="24"/>
        </w:rPr>
        <w:t>, КФН</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2</w:t>
      </w:r>
      <w:r w:rsidR="00D1189D" w:rsidRPr="007404FA">
        <w:rPr>
          <w:rFonts w:ascii="Times New Roman" w:hAnsi="Times New Roman" w:cs="Times New Roman"/>
          <w:sz w:val="24"/>
          <w:szCs w:val="24"/>
        </w:rPr>
        <w:t> бр.</w:t>
      </w:r>
      <w:r w:rsidRPr="007404FA">
        <w:rPr>
          <w:rFonts w:ascii="Times New Roman" w:hAnsi="Times New Roman" w:cs="Times New Roman"/>
          <w:sz w:val="24"/>
          <w:szCs w:val="24"/>
        </w:rPr>
        <w:t>, ЦИК</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7</w:t>
      </w:r>
      <w:r w:rsidR="00D1189D" w:rsidRPr="007404FA">
        <w:rPr>
          <w:rFonts w:ascii="Times New Roman" w:hAnsi="Times New Roman" w:cs="Times New Roman"/>
          <w:sz w:val="24"/>
          <w:szCs w:val="24"/>
        </w:rPr>
        <w:t> бр.</w:t>
      </w:r>
      <w:r w:rsidR="00E06D6E">
        <w:rPr>
          <w:rFonts w:ascii="Times New Roman" w:hAnsi="Times New Roman" w:cs="Times New Roman"/>
          <w:sz w:val="24"/>
          <w:szCs w:val="24"/>
        </w:rPr>
        <w:t>, о</w:t>
      </w:r>
      <w:r w:rsidRPr="007404FA">
        <w:rPr>
          <w:rFonts w:ascii="Times New Roman" w:hAnsi="Times New Roman" w:cs="Times New Roman"/>
          <w:sz w:val="24"/>
          <w:szCs w:val="24"/>
        </w:rPr>
        <w:t>мбудсман на Република България</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1</w:t>
      </w:r>
      <w:r w:rsidR="00D1189D" w:rsidRPr="007404FA">
        <w:rPr>
          <w:rFonts w:ascii="Times New Roman" w:hAnsi="Times New Roman" w:cs="Times New Roman"/>
          <w:sz w:val="24"/>
          <w:szCs w:val="24"/>
        </w:rPr>
        <w:t> бр.</w:t>
      </w:r>
      <w:r w:rsidRPr="007404FA">
        <w:rPr>
          <w:rFonts w:ascii="Times New Roman" w:hAnsi="Times New Roman" w:cs="Times New Roman"/>
          <w:sz w:val="24"/>
          <w:szCs w:val="24"/>
        </w:rPr>
        <w:t>, ДАНС</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1</w:t>
      </w:r>
      <w:r w:rsidR="00D1189D" w:rsidRPr="007404FA">
        <w:rPr>
          <w:rFonts w:ascii="Times New Roman" w:hAnsi="Times New Roman" w:cs="Times New Roman"/>
          <w:sz w:val="24"/>
          <w:szCs w:val="24"/>
        </w:rPr>
        <w:t> бр.</w:t>
      </w:r>
      <w:r w:rsidRPr="007404FA">
        <w:rPr>
          <w:rFonts w:ascii="Times New Roman" w:hAnsi="Times New Roman" w:cs="Times New Roman"/>
          <w:sz w:val="24"/>
          <w:szCs w:val="24"/>
        </w:rPr>
        <w:t>, ГДБОП</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1</w:t>
      </w:r>
      <w:r w:rsidR="00D1189D" w:rsidRPr="007404FA">
        <w:rPr>
          <w:rFonts w:ascii="Times New Roman" w:hAnsi="Times New Roman" w:cs="Times New Roman"/>
          <w:sz w:val="24"/>
          <w:szCs w:val="24"/>
        </w:rPr>
        <w:t> бр.</w:t>
      </w:r>
      <w:r w:rsidR="00E06D6E">
        <w:rPr>
          <w:rFonts w:ascii="Times New Roman" w:hAnsi="Times New Roman" w:cs="Times New Roman"/>
          <w:sz w:val="24"/>
          <w:szCs w:val="24"/>
        </w:rPr>
        <w:t xml:space="preserve">, НС – </w:t>
      </w:r>
      <w:r w:rsidRPr="007404FA">
        <w:rPr>
          <w:rFonts w:ascii="Times New Roman" w:hAnsi="Times New Roman" w:cs="Times New Roman"/>
          <w:sz w:val="24"/>
          <w:szCs w:val="24"/>
        </w:rPr>
        <w:t>1</w:t>
      </w:r>
      <w:r w:rsidR="00D1189D" w:rsidRPr="007404FA">
        <w:rPr>
          <w:rFonts w:ascii="Times New Roman" w:hAnsi="Times New Roman" w:cs="Times New Roman"/>
          <w:sz w:val="24"/>
          <w:szCs w:val="24"/>
        </w:rPr>
        <w:t> бр.</w:t>
      </w:r>
      <w:r w:rsidRPr="007404FA">
        <w:rPr>
          <w:rFonts w:ascii="Times New Roman" w:hAnsi="Times New Roman" w:cs="Times New Roman"/>
          <w:sz w:val="24"/>
          <w:szCs w:val="24"/>
        </w:rPr>
        <w:t>, министерства</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6</w:t>
      </w:r>
      <w:r w:rsidR="00D1189D" w:rsidRPr="007404FA">
        <w:rPr>
          <w:rFonts w:ascii="Times New Roman" w:hAnsi="Times New Roman" w:cs="Times New Roman"/>
          <w:sz w:val="24"/>
          <w:szCs w:val="24"/>
        </w:rPr>
        <w:t> бр.</w:t>
      </w:r>
      <w:r w:rsidR="00E06D6E">
        <w:rPr>
          <w:rFonts w:ascii="Times New Roman" w:hAnsi="Times New Roman" w:cs="Times New Roman"/>
          <w:sz w:val="24"/>
          <w:szCs w:val="24"/>
        </w:rPr>
        <w:t>,</w:t>
      </w:r>
      <w:r w:rsidRPr="007404FA">
        <w:rPr>
          <w:rFonts w:ascii="Times New Roman" w:hAnsi="Times New Roman" w:cs="Times New Roman"/>
          <w:sz w:val="24"/>
          <w:szCs w:val="24"/>
        </w:rPr>
        <w:t xml:space="preserve"> и др.</w:t>
      </w: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 xml:space="preserve">Относително голям брой са постъпилите сигнали и запитвания относно законосъобразното обработване на лични данни от страна на телекомуникационните компании, куриерските дружества, дружествата за събиране на вземания, интернет сайтове и платформи и банкови институции, сайтове за търсене и предлагане на работа и сайтове за хазартни игри. </w:t>
      </w: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Значителен е броят на постъпилите преписки, касаещи обработване на лични данни на физически лица от различни интернет сайтове и платформи по отношение неспазване на изискванията на Регламент 2016/679 и ЗЗЛД</w:t>
      </w:r>
      <w:r w:rsidR="00E06D6E">
        <w:rPr>
          <w:rFonts w:ascii="Times New Roman" w:eastAsia="Batang" w:hAnsi="Times New Roman" w:cs="Times New Roman"/>
          <w:sz w:val="24"/>
          <w:szCs w:val="24"/>
        </w:rPr>
        <w:t>,</w:t>
      </w:r>
      <w:r w:rsidRPr="007404FA">
        <w:rPr>
          <w:rFonts w:ascii="Times New Roman" w:eastAsia="Batang" w:hAnsi="Times New Roman" w:cs="Times New Roman"/>
          <w:sz w:val="24"/>
          <w:szCs w:val="24"/>
        </w:rPr>
        <w:t xml:space="preserve"> и по-точно</w:t>
      </w:r>
      <w:r w:rsidR="00E06D6E">
        <w:rPr>
          <w:rFonts w:ascii="Times New Roman" w:eastAsia="Batang" w:hAnsi="Times New Roman" w:cs="Times New Roman"/>
          <w:sz w:val="24"/>
          <w:szCs w:val="24"/>
        </w:rPr>
        <w:t>,</w:t>
      </w:r>
      <w:r w:rsidRPr="007404FA">
        <w:rPr>
          <w:rFonts w:ascii="Times New Roman" w:eastAsia="Batang" w:hAnsi="Times New Roman" w:cs="Times New Roman"/>
          <w:sz w:val="24"/>
          <w:szCs w:val="24"/>
        </w:rPr>
        <w:t xml:space="preserve"> на задълженията на администраторите на интернет платформите да публикуват своите правила или политики за обработване на личните данни на потребителите, политики за поверителност при използването на</w:t>
      </w:r>
      <w:r w:rsidR="00E06D6E">
        <w:rPr>
          <w:rFonts w:ascii="Times New Roman" w:eastAsia="Batang" w:hAnsi="Times New Roman" w:cs="Times New Roman"/>
          <w:sz w:val="24"/>
          <w:szCs w:val="24"/>
        </w:rPr>
        <w:t xml:space="preserve"> т.</w:t>
      </w:r>
      <w:r w:rsidRPr="007404FA">
        <w:rPr>
          <w:rFonts w:ascii="Times New Roman" w:eastAsia="Batang" w:hAnsi="Times New Roman" w:cs="Times New Roman"/>
          <w:sz w:val="24"/>
          <w:szCs w:val="24"/>
        </w:rPr>
        <w:t>н</w:t>
      </w:r>
      <w:r w:rsidR="00E06D6E">
        <w:rPr>
          <w:rFonts w:ascii="Times New Roman" w:eastAsia="Batang" w:hAnsi="Times New Roman" w:cs="Times New Roman"/>
          <w:sz w:val="24"/>
          <w:szCs w:val="24"/>
        </w:rPr>
        <w:t>ар</w:t>
      </w:r>
      <w:r w:rsidRPr="007404FA">
        <w:rPr>
          <w:rFonts w:ascii="Times New Roman" w:eastAsia="Batang" w:hAnsi="Times New Roman" w:cs="Times New Roman"/>
          <w:sz w:val="24"/>
          <w:szCs w:val="24"/>
        </w:rPr>
        <w:t>. „бисквитки“. Посочва се, че липсват данни за контакт с администратора на сайта и/ил</w:t>
      </w:r>
      <w:r w:rsidR="00E06D6E">
        <w:rPr>
          <w:rFonts w:ascii="Times New Roman" w:eastAsia="Batang" w:hAnsi="Times New Roman" w:cs="Times New Roman"/>
          <w:sz w:val="24"/>
          <w:szCs w:val="24"/>
        </w:rPr>
        <w:t>и с лицето по защита на данните</w:t>
      </w:r>
      <w:r w:rsidRPr="007404FA">
        <w:rPr>
          <w:rFonts w:ascii="Times New Roman" w:eastAsia="Batang" w:hAnsi="Times New Roman" w:cs="Times New Roman"/>
          <w:sz w:val="24"/>
          <w:szCs w:val="24"/>
        </w:rPr>
        <w:t xml:space="preserve"> с оглед упражняване на правата на потребителите по Регламент 2016/679. </w:t>
      </w: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Много от сигналоподателите искат съдействие от КЗЛД за упражняване на правото на регистрираните потребители да бъдат деактивирани техните акаунти и/или изтрита публикувана от/за тях информация, съдържаща лични данни.</w:t>
      </w: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За отбелязване е и нарасналият брой сигнали за неправомерен достъп до потребителски профили във Фейсбук, Google и други електронни платформи. Сигналите са за създаване на фалшиви (неистински) профили, злоупотреба с публикувана в мрежата информация (вкл. видео и снимков материал) и др. На подателите на този род сигнали и запитвания се разяснява, че относно установяване на авторите на такива деяния, когато извършителят е неизвестен, е необходим достъп до „трафични данни</w:t>
      </w:r>
      <w:r w:rsidR="00E435D6">
        <w:rPr>
          <w:rFonts w:ascii="Times New Roman" w:eastAsia="Batang" w:hAnsi="Times New Roman" w:cs="Times New Roman"/>
          <w:sz w:val="24"/>
          <w:szCs w:val="24"/>
        </w:rPr>
        <w:t>“</w:t>
      </w:r>
      <w:r w:rsidRPr="007404FA">
        <w:rPr>
          <w:rFonts w:ascii="Times New Roman" w:eastAsia="Batang" w:hAnsi="Times New Roman" w:cs="Times New Roman"/>
          <w:sz w:val="24"/>
          <w:szCs w:val="24"/>
        </w:rPr>
        <w:t>, който обаче се осъществява на основание и по реда на Закона за електронните съобщения, по който КЗЛД няма правомощия. За съжаление</w:t>
      </w:r>
      <w:r w:rsidR="00E06D6E">
        <w:rPr>
          <w:rFonts w:ascii="Times New Roman" w:eastAsia="Batang" w:hAnsi="Times New Roman" w:cs="Times New Roman"/>
          <w:sz w:val="24"/>
          <w:szCs w:val="24"/>
        </w:rPr>
        <w:t xml:space="preserve">, </w:t>
      </w:r>
      <w:r w:rsidRPr="007404FA">
        <w:rPr>
          <w:rFonts w:ascii="Times New Roman" w:eastAsia="Batang" w:hAnsi="Times New Roman" w:cs="Times New Roman"/>
          <w:sz w:val="24"/>
          <w:szCs w:val="24"/>
        </w:rPr>
        <w:t>практиката на компетентните да извършват справки по Закона з</w:t>
      </w:r>
      <w:r w:rsidR="00E06D6E">
        <w:rPr>
          <w:rFonts w:ascii="Times New Roman" w:eastAsia="Batang" w:hAnsi="Times New Roman" w:cs="Times New Roman"/>
          <w:sz w:val="24"/>
          <w:szCs w:val="24"/>
        </w:rPr>
        <w:t>а електронните съобщения органи</w:t>
      </w:r>
      <w:r w:rsidRPr="007404FA">
        <w:rPr>
          <w:rFonts w:ascii="Times New Roman" w:eastAsia="Batang" w:hAnsi="Times New Roman" w:cs="Times New Roman"/>
          <w:sz w:val="24"/>
          <w:szCs w:val="24"/>
        </w:rPr>
        <w:t xml:space="preserve"> показва, че често пъти домейните са хоствани и регистрирани извън територията на страната от чужди граждани с непълен адрес, поради </w:t>
      </w:r>
      <w:r w:rsidRPr="007404FA">
        <w:rPr>
          <w:rFonts w:ascii="Times New Roman" w:eastAsia="Batang" w:hAnsi="Times New Roman" w:cs="Times New Roman"/>
          <w:sz w:val="24"/>
          <w:szCs w:val="24"/>
        </w:rPr>
        <w:lastRenderedPageBreak/>
        <w:t xml:space="preserve">което КЗЛД не е в състояние да упражни своите корективни правомощия. В тази връзка КЗЛД предприема действия за повишаване на правната култура по отношение на защита на личните данни на субектите чрез публикации и интервюта в средствата за масово осведомяване и публикуване на интернет страницата си на становища, решения по казуси, брошури, отговори на запитвания с цел информиране на гражданите за техните права и начини за защита на личните им данни. </w:t>
      </w:r>
    </w:p>
    <w:p w:rsidR="0063284A" w:rsidRPr="007404FA" w:rsidRDefault="0063284A"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Комисията за защита на личните данни системно и методично разработва както отговори, така и информационни материали през годините, които разясняват правата на лицата и задълженията на администраторите при защитата на личните данни. Константна практика е да се обръща внимание, че институции и дружества, които осъществяват своята дейност в условията на строга регламентация</w:t>
      </w:r>
      <w:r w:rsidR="00E06D6E">
        <w:rPr>
          <w:rFonts w:ascii="Times New Roman" w:hAnsi="Times New Roman" w:cs="Times New Roman"/>
          <w:sz w:val="24"/>
          <w:szCs w:val="24"/>
        </w:rPr>
        <w:t>,</w:t>
      </w:r>
      <w:r w:rsidRPr="007404FA">
        <w:rPr>
          <w:rFonts w:ascii="Times New Roman" w:hAnsi="Times New Roman" w:cs="Times New Roman"/>
          <w:sz w:val="24"/>
          <w:szCs w:val="24"/>
        </w:rPr>
        <w:t xml:space="preserve"> не обработват лични данни на основание съгласието на субектите на данни. Разяснява се, че правото на изтриване („да бъдеш забравен“) не е абсолютно право и то е подложено на редица ограничения, сред които попадат законовите задължения, обвързващи администраторите на лични данни със задължението да съхраняват данни за определен период от време (например публични органи, кредитни и финансови институции, мобилни оператори и</w:t>
      </w:r>
      <w:r w:rsidR="00E06D6E">
        <w:rPr>
          <w:rFonts w:ascii="Times New Roman" w:hAnsi="Times New Roman" w:cs="Times New Roman"/>
          <w:sz w:val="24"/>
          <w:szCs w:val="24"/>
        </w:rPr>
        <w:t xml:space="preserve"> т.</w:t>
      </w:r>
      <w:r w:rsidRPr="007404FA">
        <w:rPr>
          <w:rFonts w:ascii="Times New Roman" w:hAnsi="Times New Roman" w:cs="Times New Roman"/>
          <w:sz w:val="24"/>
          <w:szCs w:val="24"/>
        </w:rPr>
        <w:t>н.).</w:t>
      </w:r>
    </w:p>
    <w:p w:rsidR="0063284A" w:rsidRPr="007404FA" w:rsidRDefault="0063284A"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Прави впечатление, че субектите на данни са добре запознати с правата си по Регламент (ЕС) 2016/679 и ЗЗЛД. Значително са намалели сигналите и з</w:t>
      </w:r>
      <w:r w:rsidR="00E06D6E">
        <w:rPr>
          <w:rFonts w:ascii="Times New Roman" w:hAnsi="Times New Roman" w:cs="Times New Roman"/>
          <w:sz w:val="24"/>
          <w:szCs w:val="24"/>
        </w:rPr>
        <w:t>апитванията, касаещи съгласието</w:t>
      </w:r>
      <w:r w:rsidRPr="007404FA">
        <w:rPr>
          <w:rFonts w:ascii="Times New Roman" w:hAnsi="Times New Roman" w:cs="Times New Roman"/>
          <w:sz w:val="24"/>
          <w:szCs w:val="24"/>
        </w:rPr>
        <w:t xml:space="preserve"> като основание за обработване на лични данни, което вече се разбира от физическите лица и не се разглежда като „най-значимо“ правно основание за обработване на лични данни. Хипотезите за законосъобразно обработване на лични данни, изчерпателно изброени в разпоредбите на</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 xml:space="preserve">6, </w:t>
      </w:r>
      <w:r w:rsidR="00E06D6E">
        <w:rPr>
          <w:rFonts w:ascii="Times New Roman" w:hAnsi="Times New Roman" w:cs="Times New Roman"/>
          <w:sz w:val="24"/>
          <w:szCs w:val="24"/>
        </w:rPr>
        <w:t>§</w:t>
      </w:r>
      <w:r w:rsidRPr="007404FA">
        <w:rPr>
          <w:rFonts w:ascii="Times New Roman" w:hAnsi="Times New Roman" w:cs="Times New Roman"/>
          <w:sz w:val="24"/>
          <w:szCs w:val="24"/>
        </w:rPr>
        <w:t>1 и</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 xml:space="preserve">9, </w:t>
      </w:r>
      <w:r w:rsidR="00E06D6E">
        <w:rPr>
          <w:rFonts w:ascii="Times New Roman" w:hAnsi="Times New Roman" w:cs="Times New Roman"/>
          <w:sz w:val="24"/>
          <w:szCs w:val="24"/>
        </w:rPr>
        <w:t>§</w:t>
      </w:r>
      <w:r w:rsidRPr="007404FA">
        <w:rPr>
          <w:rFonts w:ascii="Times New Roman" w:hAnsi="Times New Roman" w:cs="Times New Roman"/>
          <w:sz w:val="24"/>
          <w:szCs w:val="24"/>
        </w:rPr>
        <w:t xml:space="preserve">2 и </w:t>
      </w:r>
      <w:r w:rsidR="00E06D6E">
        <w:rPr>
          <w:rFonts w:ascii="Times New Roman" w:hAnsi="Times New Roman" w:cs="Times New Roman"/>
          <w:sz w:val="24"/>
          <w:szCs w:val="24"/>
        </w:rPr>
        <w:t>§</w:t>
      </w:r>
      <w:r w:rsidRPr="007404FA">
        <w:rPr>
          <w:rFonts w:ascii="Times New Roman" w:hAnsi="Times New Roman" w:cs="Times New Roman"/>
          <w:sz w:val="24"/>
          <w:szCs w:val="24"/>
        </w:rPr>
        <w:t>4 от Регламент (ЕС) 2016/679</w:t>
      </w:r>
      <w:r w:rsidR="00AF3AC3" w:rsidRPr="007404FA">
        <w:rPr>
          <w:rFonts w:ascii="Times New Roman" w:hAnsi="Times New Roman" w:cs="Times New Roman"/>
          <w:sz w:val="24"/>
          <w:szCs w:val="24"/>
        </w:rPr>
        <w:t>,</w:t>
      </w:r>
      <w:r w:rsidRPr="007404FA">
        <w:rPr>
          <w:rFonts w:ascii="Times New Roman" w:hAnsi="Times New Roman" w:cs="Times New Roman"/>
          <w:sz w:val="24"/>
          <w:szCs w:val="24"/>
        </w:rPr>
        <w:t xml:space="preserve"> вече са познати на значителен брой субекти на лични данни относно тяхната самостоятелност и равнопоставеност, като същите не са изброени в йерархичен ред по важност.</w:t>
      </w:r>
    </w:p>
    <w:p w:rsidR="0063284A" w:rsidRPr="007404FA" w:rsidRDefault="0063284A" w:rsidP="00DB6B05">
      <w:pPr>
        <w:spacing w:line="360" w:lineRule="auto"/>
        <w:ind w:firstLine="709"/>
        <w:jc w:val="both"/>
        <w:rPr>
          <w:rFonts w:ascii="Times New Roman" w:eastAsia="Batang" w:hAnsi="Times New Roman" w:cs="Times New Roman"/>
          <w:sz w:val="24"/>
          <w:szCs w:val="24"/>
        </w:rPr>
      </w:pPr>
    </w:p>
    <w:p w:rsidR="0063284A" w:rsidRPr="007404FA" w:rsidRDefault="0063284A" w:rsidP="00DB6B05">
      <w:pPr>
        <w:spacing w:line="360" w:lineRule="auto"/>
        <w:ind w:firstLine="709"/>
        <w:jc w:val="both"/>
        <w:rPr>
          <w:rFonts w:ascii="Times New Roman" w:eastAsia="Batang" w:hAnsi="Times New Roman" w:cs="Times New Roman"/>
          <w:b/>
          <w:sz w:val="24"/>
          <w:szCs w:val="24"/>
        </w:rPr>
      </w:pPr>
      <w:r w:rsidRPr="007404FA">
        <w:rPr>
          <w:rFonts w:ascii="Times New Roman" w:eastAsia="Batang" w:hAnsi="Times New Roman" w:cs="Times New Roman"/>
          <w:b/>
          <w:sz w:val="24"/>
          <w:szCs w:val="24"/>
        </w:rPr>
        <w:t>2. Назначени и извършени проверки през 2022</w:t>
      </w:r>
      <w:r w:rsidR="00F06583" w:rsidRPr="007404FA">
        <w:rPr>
          <w:rFonts w:ascii="Times New Roman" w:eastAsia="Batang" w:hAnsi="Times New Roman" w:cs="Times New Roman"/>
          <w:b/>
          <w:sz w:val="24"/>
          <w:szCs w:val="24"/>
        </w:rPr>
        <w:t> г.</w:t>
      </w: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 xml:space="preserve">В качеството ѝ на национален надзорен орган КЗЛД прилага механизъм за ефективен надзор в областта на защитата на личните данни чрез извършване на проверки на място на администраторите по подадени жалби и сигнали за незаконосъобразно обработване на лични данни на физически лица. Проверки </w:t>
      </w:r>
      <w:r w:rsidR="00E06D6E">
        <w:rPr>
          <w:rFonts w:ascii="Times New Roman" w:eastAsia="Batang" w:hAnsi="Times New Roman" w:cs="Times New Roman"/>
          <w:sz w:val="24"/>
          <w:szCs w:val="24"/>
        </w:rPr>
        <w:t>се извършват и след решения на К</w:t>
      </w:r>
      <w:r w:rsidRPr="007404FA">
        <w:rPr>
          <w:rFonts w:ascii="Times New Roman" w:eastAsia="Batang" w:hAnsi="Times New Roman" w:cs="Times New Roman"/>
          <w:sz w:val="24"/>
          <w:szCs w:val="24"/>
        </w:rPr>
        <w:t>омисията по доклади, съдържащи предложения за проверки в определени сектори, където се наблюдава засилен интерес и/или повишен</w:t>
      </w:r>
      <w:r w:rsidR="00E06D6E">
        <w:rPr>
          <w:rFonts w:ascii="Times New Roman" w:eastAsia="Batang" w:hAnsi="Times New Roman" w:cs="Times New Roman"/>
          <w:sz w:val="24"/>
          <w:szCs w:val="24"/>
        </w:rPr>
        <w:t>о подаване на жалби и сигнали и</w:t>
      </w:r>
      <w:r w:rsidRPr="007404FA">
        <w:rPr>
          <w:rFonts w:ascii="Times New Roman" w:eastAsia="Batang" w:hAnsi="Times New Roman" w:cs="Times New Roman"/>
          <w:sz w:val="24"/>
          <w:szCs w:val="24"/>
        </w:rPr>
        <w:t xml:space="preserve">/или въвеждане на нови технологии и регистри, касаещи обработването на множество лични данни на физически </w:t>
      </w:r>
      <w:r w:rsidRPr="007404FA">
        <w:rPr>
          <w:rFonts w:ascii="Times New Roman" w:eastAsia="Batang" w:hAnsi="Times New Roman" w:cs="Times New Roman"/>
          <w:sz w:val="24"/>
          <w:szCs w:val="24"/>
        </w:rPr>
        <w:lastRenderedPageBreak/>
        <w:t>лица. Проверки на място се извършват при констатиране на висок риск при постъпили уведомления за нарушаване на сигурността на основание</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33 от Регламент 2016/679.</w:t>
      </w:r>
    </w:p>
    <w:p w:rsidR="0063284A" w:rsidRPr="007404FA" w:rsidRDefault="00800555" w:rsidP="00DB6B05">
      <w:pPr>
        <w:spacing w:line="360" w:lineRule="auto"/>
        <w:ind w:firstLine="709"/>
        <w:jc w:val="both"/>
        <w:rPr>
          <w:rFonts w:ascii="Times New Roman" w:eastAsia="Batang" w:hAnsi="Times New Roman"/>
          <w:sz w:val="24"/>
          <w:szCs w:val="24"/>
        </w:rPr>
      </w:pPr>
      <w:r w:rsidRPr="007404FA">
        <w:rPr>
          <w:rFonts w:ascii="Times New Roman" w:eastAsia="Batang" w:hAnsi="Times New Roman" w:cs="Times New Roman"/>
          <w:sz w:val="24"/>
          <w:szCs w:val="24"/>
        </w:rPr>
        <w:t>К</w:t>
      </w:r>
      <w:r w:rsidR="0063284A" w:rsidRPr="007404FA">
        <w:rPr>
          <w:rFonts w:ascii="Times New Roman" w:eastAsia="Batang" w:hAnsi="Times New Roman" w:cs="Times New Roman"/>
          <w:sz w:val="24"/>
          <w:szCs w:val="24"/>
        </w:rPr>
        <w:t xml:space="preserve">онтролната </w:t>
      </w:r>
      <w:r w:rsidRPr="007404FA">
        <w:rPr>
          <w:rFonts w:ascii="Times New Roman" w:eastAsia="Batang" w:hAnsi="Times New Roman" w:cs="Times New Roman"/>
          <w:sz w:val="24"/>
          <w:szCs w:val="24"/>
        </w:rPr>
        <w:t>дейност на</w:t>
      </w:r>
      <w:r w:rsidR="0063284A" w:rsidRPr="007404FA">
        <w:rPr>
          <w:rFonts w:ascii="Times New Roman" w:eastAsia="Batang" w:hAnsi="Times New Roman" w:cs="Times New Roman"/>
          <w:sz w:val="24"/>
          <w:szCs w:val="24"/>
        </w:rPr>
        <w:t xml:space="preserve"> КЗЛД </w:t>
      </w:r>
      <w:r w:rsidRPr="007404FA">
        <w:rPr>
          <w:rFonts w:ascii="Times New Roman" w:eastAsia="Batang" w:hAnsi="Times New Roman" w:cs="Times New Roman"/>
          <w:sz w:val="24"/>
          <w:szCs w:val="24"/>
        </w:rPr>
        <w:t xml:space="preserve">се реализира на базата на </w:t>
      </w:r>
      <w:r w:rsidR="001704F7" w:rsidRPr="007404FA">
        <w:rPr>
          <w:rFonts w:ascii="Times New Roman" w:eastAsia="Batang" w:hAnsi="Times New Roman" w:cs="Times New Roman"/>
          <w:sz w:val="24"/>
          <w:szCs w:val="24"/>
        </w:rPr>
        <w:t>ключови документи</w:t>
      </w:r>
      <w:r w:rsidR="0063284A" w:rsidRPr="007404FA">
        <w:rPr>
          <w:rFonts w:ascii="Times New Roman" w:eastAsia="Batang" w:hAnsi="Times New Roman" w:cs="Times New Roman"/>
          <w:sz w:val="24"/>
          <w:szCs w:val="24"/>
        </w:rPr>
        <w:t xml:space="preserve">, </w:t>
      </w:r>
      <w:r w:rsidRPr="007404FA">
        <w:rPr>
          <w:rFonts w:ascii="Times New Roman" w:eastAsia="Batang" w:hAnsi="Times New Roman" w:cs="Times New Roman"/>
          <w:sz w:val="24"/>
          <w:szCs w:val="24"/>
        </w:rPr>
        <w:t xml:space="preserve">а именно </w:t>
      </w:r>
      <w:r w:rsidR="0063284A" w:rsidRPr="007404FA">
        <w:rPr>
          <w:rFonts w:ascii="Times New Roman" w:eastAsia="Batang" w:hAnsi="Times New Roman"/>
          <w:sz w:val="24"/>
          <w:szCs w:val="24"/>
        </w:rPr>
        <w:t>Инструкция за практическото осъществяван</w:t>
      </w:r>
      <w:r w:rsidRPr="007404FA">
        <w:rPr>
          <w:rFonts w:ascii="Times New Roman" w:eastAsia="Batang" w:hAnsi="Times New Roman"/>
          <w:sz w:val="24"/>
          <w:szCs w:val="24"/>
        </w:rPr>
        <w:t xml:space="preserve">е на надзорната дейност на КЗЛД; </w:t>
      </w:r>
      <w:r w:rsidR="0063284A" w:rsidRPr="007404FA">
        <w:rPr>
          <w:rFonts w:ascii="Times New Roman" w:eastAsia="Batang" w:hAnsi="Times New Roman"/>
          <w:sz w:val="24"/>
          <w:szCs w:val="24"/>
        </w:rPr>
        <w:t>Методика за определяне нивото на риска при нарушения на сигурността на личните данни (методиката е приложение към Инструкцията за практическото осъществяване на надзорната дейност на КЗЛД и представлява инструментариума, с помощта на който КЗЛД оценява рисковете за правата и свободите на физическите лица, чиито лични да</w:t>
      </w:r>
      <w:r w:rsidRPr="007404FA">
        <w:rPr>
          <w:rFonts w:ascii="Times New Roman" w:eastAsia="Batang" w:hAnsi="Times New Roman"/>
          <w:sz w:val="24"/>
          <w:szCs w:val="24"/>
        </w:rPr>
        <w:t xml:space="preserve">нни са с нарушена сигурност); </w:t>
      </w:r>
      <w:r w:rsidR="0063284A" w:rsidRPr="007404FA">
        <w:rPr>
          <w:rFonts w:ascii="Times New Roman" w:eastAsia="Batang" w:hAnsi="Times New Roman"/>
          <w:sz w:val="24"/>
          <w:szCs w:val="24"/>
        </w:rPr>
        <w:t>Въпросник за извършване на проверки при осъществяване на надзорната дейност на КЗЛД (въпросникът е приложим към всички видове проверки, осъществявани о</w:t>
      </w:r>
      <w:r w:rsidRPr="007404FA">
        <w:rPr>
          <w:rFonts w:ascii="Times New Roman" w:eastAsia="Batang" w:hAnsi="Times New Roman"/>
          <w:sz w:val="24"/>
          <w:szCs w:val="24"/>
        </w:rPr>
        <w:t xml:space="preserve">т КЗЛД и нейната администрация); </w:t>
      </w:r>
      <w:r w:rsidR="0063284A" w:rsidRPr="007404FA">
        <w:rPr>
          <w:rFonts w:ascii="Times New Roman" w:eastAsia="Batang" w:hAnsi="Times New Roman"/>
          <w:sz w:val="24"/>
          <w:szCs w:val="24"/>
        </w:rPr>
        <w:t xml:space="preserve">Практиката на КЗЛД, Българските съдилища и на </w:t>
      </w:r>
      <w:r w:rsidR="00833772" w:rsidRPr="007404FA">
        <w:rPr>
          <w:rFonts w:ascii="Times New Roman" w:eastAsia="Batang" w:hAnsi="Times New Roman"/>
          <w:sz w:val="24"/>
          <w:szCs w:val="24"/>
        </w:rPr>
        <w:t>Съда на Европейския съюз</w:t>
      </w:r>
      <w:r w:rsidR="00BE41A2" w:rsidRPr="007404FA">
        <w:rPr>
          <w:rFonts w:ascii="Times New Roman" w:eastAsia="Batang" w:hAnsi="Times New Roman"/>
          <w:sz w:val="24"/>
          <w:szCs w:val="24"/>
        </w:rPr>
        <w:t xml:space="preserve"> (СЕС)</w:t>
      </w:r>
      <w:r w:rsidR="0063284A" w:rsidRPr="007404FA">
        <w:rPr>
          <w:rFonts w:ascii="Times New Roman" w:eastAsia="Batang" w:hAnsi="Times New Roman"/>
          <w:sz w:val="24"/>
          <w:szCs w:val="24"/>
        </w:rPr>
        <w:t>.</w:t>
      </w: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През 2022</w:t>
      </w:r>
      <w:r w:rsidR="00F06583" w:rsidRPr="007404FA">
        <w:rPr>
          <w:rFonts w:ascii="Times New Roman" w:eastAsia="Batang" w:hAnsi="Times New Roman" w:cs="Times New Roman"/>
          <w:sz w:val="24"/>
          <w:szCs w:val="24"/>
        </w:rPr>
        <w:t> г.</w:t>
      </w:r>
      <w:r w:rsidRPr="007404FA">
        <w:rPr>
          <w:rFonts w:ascii="Times New Roman" w:eastAsia="Batang" w:hAnsi="Times New Roman" w:cs="Times New Roman"/>
          <w:sz w:val="24"/>
          <w:szCs w:val="24"/>
        </w:rPr>
        <w:t xml:space="preserve"> са назначени 3</w:t>
      </w:r>
      <w:r w:rsidR="00427CD8" w:rsidRPr="007404FA">
        <w:rPr>
          <w:rFonts w:ascii="Times New Roman" w:eastAsia="Batang" w:hAnsi="Times New Roman" w:cs="Times New Roman"/>
          <w:sz w:val="24"/>
          <w:szCs w:val="24"/>
        </w:rPr>
        <w:t>24</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 xml:space="preserve"> проверки на място по повод постъпили в КЗЛД жалби, искания и сигнали, като 32</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 xml:space="preserve"> от тях</w:t>
      </w:r>
      <w:r w:rsidR="007F3273" w:rsidRPr="007404FA">
        <w:rPr>
          <w:rFonts w:ascii="Times New Roman" w:eastAsia="Batang" w:hAnsi="Times New Roman" w:cs="Times New Roman"/>
          <w:sz w:val="24"/>
          <w:szCs w:val="24"/>
        </w:rPr>
        <w:t xml:space="preserve"> са назначени в края на 2021</w:t>
      </w:r>
      <w:r w:rsidR="00F06583" w:rsidRPr="007404FA">
        <w:rPr>
          <w:rFonts w:ascii="Times New Roman" w:eastAsia="Batang" w:hAnsi="Times New Roman" w:cs="Times New Roman"/>
          <w:sz w:val="24"/>
          <w:szCs w:val="24"/>
        </w:rPr>
        <w:t> г.</w:t>
      </w:r>
      <w:r w:rsidRPr="007404FA">
        <w:rPr>
          <w:rFonts w:ascii="Times New Roman" w:eastAsia="Batang" w:hAnsi="Times New Roman" w:cs="Times New Roman"/>
          <w:sz w:val="24"/>
          <w:szCs w:val="24"/>
        </w:rPr>
        <w:t xml:space="preserve"> Назначените </w:t>
      </w:r>
      <w:r w:rsidR="00B82C65" w:rsidRPr="007404FA">
        <w:rPr>
          <w:rFonts w:ascii="Times New Roman" w:eastAsia="Batang" w:hAnsi="Times New Roman" w:cs="Times New Roman"/>
          <w:sz w:val="24"/>
          <w:szCs w:val="24"/>
        </w:rPr>
        <w:t xml:space="preserve">през този период </w:t>
      </w:r>
      <w:r w:rsidRPr="007404FA">
        <w:rPr>
          <w:rFonts w:ascii="Times New Roman" w:eastAsia="Batang" w:hAnsi="Times New Roman" w:cs="Times New Roman"/>
          <w:sz w:val="24"/>
          <w:szCs w:val="24"/>
        </w:rPr>
        <w:t>проверки на място по уведомления за нарушаване на сигурността на личните данни съгласно</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33 от Регламент 2016/679 с висок риск са 12</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 xml:space="preserve"> Изцяло приключили с констативен акт и решение на КЗЛД са 264</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 xml:space="preserve"> </w:t>
      </w: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 xml:space="preserve">На графиката е изобразена сравнителна статистика на назначените </w:t>
      </w:r>
      <w:r w:rsidR="008B1A2C" w:rsidRPr="007404FA">
        <w:rPr>
          <w:rFonts w:ascii="Times New Roman" w:eastAsia="Batang" w:hAnsi="Times New Roman" w:cs="Times New Roman"/>
          <w:sz w:val="24"/>
          <w:szCs w:val="24"/>
        </w:rPr>
        <w:t>в периода 2017</w:t>
      </w:r>
      <w:r w:rsidR="00E06D6E">
        <w:rPr>
          <w:rFonts w:ascii="Times New Roman" w:eastAsia="Batang" w:hAnsi="Times New Roman" w:cs="Times New Roman"/>
          <w:sz w:val="24"/>
          <w:szCs w:val="24"/>
        </w:rPr>
        <w:t> –</w:t>
      </w:r>
      <w:r w:rsidR="00F06583" w:rsidRPr="007404FA">
        <w:rPr>
          <w:rFonts w:ascii="Times New Roman" w:eastAsia="Batang" w:hAnsi="Times New Roman" w:cs="Times New Roman"/>
          <w:sz w:val="24"/>
          <w:szCs w:val="24"/>
        </w:rPr>
        <w:t xml:space="preserve"> </w:t>
      </w:r>
      <w:r w:rsidRPr="007404FA">
        <w:rPr>
          <w:rFonts w:ascii="Times New Roman" w:eastAsia="Batang" w:hAnsi="Times New Roman" w:cs="Times New Roman"/>
          <w:sz w:val="24"/>
          <w:szCs w:val="24"/>
        </w:rPr>
        <w:t>2022</w:t>
      </w:r>
      <w:r w:rsidR="00F06583" w:rsidRPr="007404FA">
        <w:rPr>
          <w:rFonts w:ascii="Times New Roman" w:eastAsia="Batang" w:hAnsi="Times New Roman" w:cs="Times New Roman"/>
          <w:sz w:val="24"/>
          <w:szCs w:val="24"/>
        </w:rPr>
        <w:t> г.</w:t>
      </w:r>
      <w:r w:rsidRPr="007404FA">
        <w:rPr>
          <w:rFonts w:ascii="Times New Roman" w:eastAsia="Batang" w:hAnsi="Times New Roman" w:cs="Times New Roman"/>
          <w:sz w:val="24"/>
          <w:szCs w:val="24"/>
        </w:rPr>
        <w:t xml:space="preserve"> проверки </w:t>
      </w:r>
      <w:r w:rsidR="0072088F" w:rsidRPr="007404FA">
        <w:rPr>
          <w:rFonts w:ascii="Times New Roman" w:eastAsia="Batang" w:hAnsi="Times New Roman" w:cs="Times New Roman"/>
          <w:sz w:val="24"/>
          <w:szCs w:val="24"/>
        </w:rPr>
        <w:t>(</w:t>
      </w:r>
      <w:r w:rsidR="00E06D6E">
        <w:rPr>
          <w:rFonts w:ascii="Times New Roman" w:eastAsia="Batang" w:hAnsi="Times New Roman" w:cs="Times New Roman"/>
          <w:b/>
          <w:sz w:val="24"/>
          <w:szCs w:val="24"/>
        </w:rPr>
        <w:t>ф</w:t>
      </w:r>
      <w:r w:rsidRPr="007404FA">
        <w:rPr>
          <w:rFonts w:ascii="Times New Roman" w:eastAsia="Batang" w:hAnsi="Times New Roman" w:cs="Times New Roman"/>
          <w:b/>
          <w:sz w:val="24"/>
          <w:szCs w:val="24"/>
        </w:rPr>
        <w:t xml:space="preserve">иг. </w:t>
      </w:r>
      <w:r w:rsidR="0072088F" w:rsidRPr="007404FA">
        <w:rPr>
          <w:rFonts w:ascii="Times New Roman" w:eastAsia="Batang" w:hAnsi="Times New Roman" w:cs="Times New Roman"/>
          <w:b/>
          <w:sz w:val="24"/>
          <w:szCs w:val="24"/>
        </w:rPr>
        <w:t>6</w:t>
      </w:r>
      <w:r w:rsidRPr="007404FA">
        <w:rPr>
          <w:rFonts w:ascii="Times New Roman" w:eastAsia="Batang" w:hAnsi="Times New Roman" w:cs="Times New Roman"/>
          <w:sz w:val="24"/>
          <w:szCs w:val="24"/>
        </w:rPr>
        <w:t>)</w:t>
      </w:r>
      <w:r w:rsidR="00E06D6E">
        <w:rPr>
          <w:rFonts w:ascii="Times New Roman" w:eastAsia="Batang" w:hAnsi="Times New Roman" w:cs="Times New Roman"/>
          <w:sz w:val="24"/>
          <w:szCs w:val="24"/>
        </w:rPr>
        <w:t>:</w:t>
      </w:r>
    </w:p>
    <w:p w:rsidR="002509D9" w:rsidRPr="007404FA" w:rsidRDefault="002509D9" w:rsidP="00DB6B05">
      <w:pPr>
        <w:spacing w:line="360" w:lineRule="auto"/>
        <w:ind w:firstLine="142"/>
        <w:jc w:val="both"/>
        <w:rPr>
          <w:rFonts w:ascii="Times New Roman" w:hAnsi="Times New Roman" w:cs="Times New Roman"/>
          <w:noProof/>
          <w:sz w:val="24"/>
          <w:szCs w:val="24"/>
        </w:rPr>
      </w:pPr>
      <w:r w:rsidRPr="007404FA">
        <w:rPr>
          <w:rFonts w:eastAsia="Batang" w:cs="Times New Roman"/>
          <w:b/>
          <w:noProof/>
          <w:lang w:val="en-US" w:eastAsia="en-US"/>
        </w:rPr>
        <w:drawing>
          <wp:inline distT="0" distB="0" distL="0" distR="0" wp14:anchorId="7D164C05" wp14:editId="5B6F4E3B">
            <wp:extent cx="5731510" cy="3763645"/>
            <wp:effectExtent l="38100" t="38100" r="40640" b="4635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2088F" w:rsidRPr="007404FA" w:rsidRDefault="0072088F" w:rsidP="00DB6B05">
      <w:pPr>
        <w:spacing w:line="360" w:lineRule="auto"/>
        <w:ind w:firstLine="709"/>
        <w:jc w:val="center"/>
        <w:rPr>
          <w:rFonts w:ascii="Times New Roman" w:hAnsi="Times New Roman" w:cs="Times New Roman"/>
          <w:b/>
          <w:noProof/>
          <w:sz w:val="24"/>
          <w:szCs w:val="24"/>
        </w:rPr>
      </w:pPr>
      <w:r w:rsidRPr="007404FA">
        <w:rPr>
          <w:rFonts w:ascii="Times New Roman" w:hAnsi="Times New Roman" w:cs="Times New Roman"/>
          <w:b/>
          <w:noProof/>
          <w:sz w:val="24"/>
          <w:szCs w:val="24"/>
        </w:rPr>
        <w:t>Фиг. 6</w:t>
      </w: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lastRenderedPageBreak/>
        <w:t>Във връзка с нестабилната политическа обстановка и множество изборни процеси и подписки за референдуми</w:t>
      </w:r>
      <w:r w:rsidR="00E06D6E">
        <w:rPr>
          <w:rFonts w:ascii="Times New Roman" w:eastAsia="Batang" w:hAnsi="Times New Roman" w:cs="Times New Roman"/>
          <w:sz w:val="24"/>
          <w:szCs w:val="24"/>
        </w:rPr>
        <w:t xml:space="preserve"> – </w:t>
      </w:r>
      <w:r w:rsidRPr="007404FA">
        <w:rPr>
          <w:rFonts w:ascii="Times New Roman" w:eastAsia="Batang" w:hAnsi="Times New Roman" w:cs="Times New Roman"/>
          <w:sz w:val="24"/>
          <w:szCs w:val="24"/>
        </w:rPr>
        <w:t>местни и национални</w:t>
      </w:r>
      <w:r w:rsidR="009C00BC" w:rsidRPr="007404FA">
        <w:rPr>
          <w:rFonts w:ascii="Times New Roman" w:eastAsia="Batang" w:hAnsi="Times New Roman" w:cs="Times New Roman"/>
          <w:sz w:val="24"/>
          <w:szCs w:val="24"/>
        </w:rPr>
        <w:t>,</w:t>
      </w:r>
      <w:r w:rsidRPr="007404FA">
        <w:rPr>
          <w:rFonts w:ascii="Times New Roman" w:eastAsia="Batang" w:hAnsi="Times New Roman" w:cs="Times New Roman"/>
          <w:sz w:val="24"/>
          <w:szCs w:val="24"/>
        </w:rPr>
        <w:t xml:space="preserve"> </w:t>
      </w:r>
      <w:r w:rsidR="009C00BC" w:rsidRPr="007404FA">
        <w:rPr>
          <w:rFonts w:ascii="Times New Roman" w:eastAsia="Batang" w:hAnsi="Times New Roman" w:cs="Times New Roman"/>
          <w:sz w:val="24"/>
          <w:szCs w:val="24"/>
        </w:rPr>
        <w:t>през отчетния</w:t>
      </w:r>
      <w:r w:rsidRPr="007404FA">
        <w:rPr>
          <w:rFonts w:ascii="Times New Roman" w:eastAsia="Batang" w:hAnsi="Times New Roman" w:cs="Times New Roman"/>
          <w:sz w:val="24"/>
          <w:szCs w:val="24"/>
        </w:rPr>
        <w:t xml:space="preserve"> период в сектор политика са из</w:t>
      </w:r>
      <w:r w:rsidR="008719CA">
        <w:rPr>
          <w:rFonts w:ascii="Times New Roman" w:eastAsia="Batang" w:hAnsi="Times New Roman" w:cs="Times New Roman"/>
          <w:sz w:val="24"/>
          <w:szCs w:val="24"/>
        </w:rPr>
        <w:t>вършени 46 проверки. В сектор</w:t>
      </w:r>
      <w:r w:rsidRPr="007404FA">
        <w:rPr>
          <w:rFonts w:ascii="Times New Roman" w:eastAsia="Batang" w:hAnsi="Times New Roman" w:cs="Times New Roman"/>
          <w:sz w:val="24"/>
          <w:szCs w:val="24"/>
        </w:rPr>
        <w:t xml:space="preserve"> здравеопазване са извършени 8</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 xml:space="preserve"> проверки, държавната администрация</w:t>
      </w:r>
      <w:r w:rsidR="00553661" w:rsidRPr="007404FA">
        <w:rPr>
          <w:rFonts w:ascii="Times New Roman" w:eastAsia="Batang" w:hAnsi="Times New Roman" w:cs="Times New Roman"/>
          <w:sz w:val="24"/>
          <w:szCs w:val="24"/>
        </w:rPr>
        <w:t xml:space="preserve"> – </w:t>
      </w:r>
      <w:r w:rsidRPr="007404FA">
        <w:rPr>
          <w:rFonts w:ascii="Times New Roman" w:eastAsia="Batang" w:hAnsi="Times New Roman" w:cs="Times New Roman"/>
          <w:sz w:val="24"/>
          <w:szCs w:val="24"/>
        </w:rPr>
        <w:t>6</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 в сферата на търговията и услугите</w:t>
      </w:r>
      <w:r w:rsidR="00553661" w:rsidRPr="007404FA">
        <w:rPr>
          <w:rFonts w:ascii="Times New Roman" w:eastAsia="Batang" w:hAnsi="Times New Roman" w:cs="Times New Roman"/>
          <w:sz w:val="24"/>
          <w:szCs w:val="24"/>
        </w:rPr>
        <w:t xml:space="preserve"> – </w:t>
      </w:r>
      <w:r w:rsidRPr="007404FA">
        <w:rPr>
          <w:rFonts w:ascii="Times New Roman" w:eastAsia="Batang" w:hAnsi="Times New Roman" w:cs="Times New Roman"/>
          <w:sz w:val="24"/>
          <w:szCs w:val="24"/>
        </w:rPr>
        <w:t>5</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 в сферата на образованието и обучението</w:t>
      </w:r>
      <w:r w:rsidR="00553661" w:rsidRPr="007404FA">
        <w:rPr>
          <w:rFonts w:ascii="Times New Roman" w:eastAsia="Batang" w:hAnsi="Times New Roman" w:cs="Times New Roman"/>
          <w:sz w:val="24"/>
          <w:szCs w:val="24"/>
        </w:rPr>
        <w:t xml:space="preserve"> – </w:t>
      </w:r>
      <w:r w:rsidRPr="007404FA">
        <w:rPr>
          <w:rFonts w:ascii="Times New Roman" w:eastAsia="Batang" w:hAnsi="Times New Roman" w:cs="Times New Roman"/>
          <w:sz w:val="24"/>
          <w:szCs w:val="24"/>
        </w:rPr>
        <w:t>4</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 xml:space="preserve">, </w:t>
      </w:r>
      <w:r w:rsidR="009C00BC" w:rsidRPr="007404FA">
        <w:rPr>
          <w:rFonts w:ascii="Times New Roman" w:eastAsia="Batang" w:hAnsi="Times New Roman" w:cs="Times New Roman"/>
          <w:sz w:val="24"/>
          <w:szCs w:val="24"/>
        </w:rPr>
        <w:t>в</w:t>
      </w:r>
      <w:r w:rsidRPr="007404FA">
        <w:rPr>
          <w:rFonts w:ascii="Times New Roman" w:eastAsia="Batang" w:hAnsi="Times New Roman" w:cs="Times New Roman"/>
          <w:sz w:val="24"/>
          <w:szCs w:val="24"/>
        </w:rPr>
        <w:t xml:space="preserve"> сектор телекомуникации</w:t>
      </w:r>
      <w:r w:rsidR="00553661" w:rsidRPr="007404FA">
        <w:rPr>
          <w:rFonts w:ascii="Times New Roman" w:eastAsia="Batang" w:hAnsi="Times New Roman" w:cs="Times New Roman"/>
          <w:sz w:val="24"/>
          <w:szCs w:val="24"/>
        </w:rPr>
        <w:t xml:space="preserve"> – </w:t>
      </w:r>
      <w:r w:rsidRPr="007404FA">
        <w:rPr>
          <w:rFonts w:ascii="Times New Roman" w:eastAsia="Batang" w:hAnsi="Times New Roman" w:cs="Times New Roman"/>
          <w:sz w:val="24"/>
          <w:szCs w:val="24"/>
        </w:rPr>
        <w:t>4</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 и в областта на информационните технологии</w:t>
      </w:r>
      <w:r w:rsidR="00553661" w:rsidRPr="007404FA">
        <w:rPr>
          <w:rFonts w:ascii="Times New Roman" w:eastAsia="Batang" w:hAnsi="Times New Roman" w:cs="Times New Roman"/>
          <w:sz w:val="24"/>
          <w:szCs w:val="24"/>
        </w:rPr>
        <w:t xml:space="preserve"> – </w:t>
      </w:r>
      <w:r w:rsidRPr="007404FA">
        <w:rPr>
          <w:rFonts w:ascii="Times New Roman" w:eastAsia="Batang" w:hAnsi="Times New Roman" w:cs="Times New Roman"/>
          <w:sz w:val="24"/>
          <w:szCs w:val="24"/>
        </w:rPr>
        <w:t>4</w:t>
      </w:r>
      <w:r w:rsidR="00D1189D" w:rsidRPr="007404FA">
        <w:rPr>
          <w:rFonts w:ascii="Times New Roman" w:eastAsia="Batang" w:hAnsi="Times New Roman" w:cs="Times New Roman"/>
          <w:sz w:val="24"/>
          <w:szCs w:val="24"/>
        </w:rPr>
        <w:t> бр.</w:t>
      </w: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Най-много проверки са извършени в областите: София</w:t>
      </w:r>
      <w:r w:rsidR="00553661" w:rsidRPr="007404FA">
        <w:rPr>
          <w:rFonts w:ascii="Times New Roman" w:eastAsia="Batang" w:hAnsi="Times New Roman" w:cs="Times New Roman"/>
          <w:sz w:val="24"/>
          <w:szCs w:val="24"/>
        </w:rPr>
        <w:t xml:space="preserve"> – </w:t>
      </w:r>
      <w:r w:rsidRPr="007404FA">
        <w:rPr>
          <w:rFonts w:ascii="Times New Roman" w:eastAsia="Batang" w:hAnsi="Times New Roman" w:cs="Times New Roman"/>
          <w:sz w:val="24"/>
          <w:szCs w:val="24"/>
        </w:rPr>
        <w:t>169</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 Варна</w:t>
      </w:r>
      <w:r w:rsidR="00553661" w:rsidRPr="007404FA">
        <w:rPr>
          <w:rFonts w:ascii="Times New Roman" w:eastAsia="Batang" w:hAnsi="Times New Roman" w:cs="Times New Roman"/>
          <w:sz w:val="24"/>
          <w:szCs w:val="24"/>
        </w:rPr>
        <w:t xml:space="preserve"> – </w:t>
      </w:r>
      <w:r w:rsidRPr="007404FA">
        <w:rPr>
          <w:rFonts w:ascii="Times New Roman" w:eastAsia="Batang" w:hAnsi="Times New Roman" w:cs="Times New Roman"/>
          <w:sz w:val="24"/>
          <w:szCs w:val="24"/>
        </w:rPr>
        <w:t>16 бр</w:t>
      </w:r>
      <w:r w:rsidR="008719CA">
        <w:rPr>
          <w:rFonts w:ascii="Times New Roman" w:eastAsia="Batang" w:hAnsi="Times New Roman" w:cs="Times New Roman"/>
          <w:sz w:val="24"/>
          <w:szCs w:val="24"/>
        </w:rPr>
        <w:t>.</w:t>
      </w:r>
      <w:r w:rsidRPr="007404FA">
        <w:rPr>
          <w:rFonts w:ascii="Times New Roman" w:eastAsia="Batang" w:hAnsi="Times New Roman" w:cs="Times New Roman"/>
          <w:sz w:val="24"/>
          <w:szCs w:val="24"/>
        </w:rPr>
        <w:t>, Пловдив</w:t>
      </w:r>
      <w:r w:rsidR="00553661" w:rsidRPr="007404FA">
        <w:rPr>
          <w:rFonts w:ascii="Times New Roman" w:eastAsia="Batang" w:hAnsi="Times New Roman" w:cs="Times New Roman"/>
          <w:sz w:val="24"/>
          <w:szCs w:val="24"/>
        </w:rPr>
        <w:t xml:space="preserve"> – </w:t>
      </w:r>
      <w:r w:rsidRPr="007404FA">
        <w:rPr>
          <w:rFonts w:ascii="Times New Roman" w:eastAsia="Batang" w:hAnsi="Times New Roman" w:cs="Times New Roman"/>
          <w:sz w:val="24"/>
          <w:szCs w:val="24"/>
        </w:rPr>
        <w:t>35</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 Благоевград</w:t>
      </w:r>
      <w:r w:rsidR="00553661" w:rsidRPr="007404FA">
        <w:rPr>
          <w:rFonts w:ascii="Times New Roman" w:eastAsia="Batang" w:hAnsi="Times New Roman" w:cs="Times New Roman"/>
          <w:sz w:val="24"/>
          <w:szCs w:val="24"/>
        </w:rPr>
        <w:t xml:space="preserve"> – </w:t>
      </w:r>
      <w:r w:rsidRPr="007404FA">
        <w:rPr>
          <w:rFonts w:ascii="Times New Roman" w:eastAsia="Batang" w:hAnsi="Times New Roman" w:cs="Times New Roman"/>
          <w:sz w:val="24"/>
          <w:szCs w:val="24"/>
        </w:rPr>
        <w:t>18</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 Бургас</w:t>
      </w:r>
      <w:r w:rsidR="00553661" w:rsidRPr="007404FA">
        <w:rPr>
          <w:rFonts w:ascii="Times New Roman" w:eastAsia="Batang" w:hAnsi="Times New Roman" w:cs="Times New Roman"/>
          <w:sz w:val="24"/>
          <w:szCs w:val="24"/>
        </w:rPr>
        <w:t xml:space="preserve"> – </w:t>
      </w:r>
      <w:r w:rsidRPr="007404FA">
        <w:rPr>
          <w:rFonts w:ascii="Times New Roman" w:eastAsia="Batang" w:hAnsi="Times New Roman" w:cs="Times New Roman"/>
          <w:sz w:val="24"/>
          <w:szCs w:val="24"/>
        </w:rPr>
        <w:t>15</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 Велико Търново</w:t>
      </w:r>
      <w:r w:rsidR="00553661" w:rsidRPr="007404FA">
        <w:rPr>
          <w:rFonts w:ascii="Times New Roman" w:eastAsia="Batang" w:hAnsi="Times New Roman" w:cs="Times New Roman"/>
          <w:sz w:val="24"/>
          <w:szCs w:val="24"/>
        </w:rPr>
        <w:t xml:space="preserve"> – </w:t>
      </w:r>
      <w:r w:rsidRPr="007404FA">
        <w:rPr>
          <w:rFonts w:ascii="Times New Roman" w:eastAsia="Batang" w:hAnsi="Times New Roman" w:cs="Times New Roman"/>
          <w:sz w:val="24"/>
          <w:szCs w:val="24"/>
        </w:rPr>
        <w:t>5</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 Пазарджик</w:t>
      </w:r>
      <w:r w:rsidR="00553661" w:rsidRPr="007404FA">
        <w:rPr>
          <w:rFonts w:ascii="Times New Roman" w:eastAsia="Batang" w:hAnsi="Times New Roman" w:cs="Times New Roman"/>
          <w:sz w:val="24"/>
          <w:szCs w:val="24"/>
        </w:rPr>
        <w:t xml:space="preserve"> – </w:t>
      </w:r>
      <w:r w:rsidRPr="007404FA">
        <w:rPr>
          <w:rFonts w:ascii="Times New Roman" w:eastAsia="Batang" w:hAnsi="Times New Roman" w:cs="Times New Roman"/>
          <w:sz w:val="24"/>
          <w:szCs w:val="24"/>
        </w:rPr>
        <w:t>10</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 Русе</w:t>
      </w:r>
      <w:r w:rsidR="00553661" w:rsidRPr="007404FA">
        <w:rPr>
          <w:rFonts w:ascii="Times New Roman" w:eastAsia="Batang" w:hAnsi="Times New Roman" w:cs="Times New Roman"/>
          <w:sz w:val="24"/>
          <w:szCs w:val="24"/>
        </w:rPr>
        <w:t xml:space="preserve"> – </w:t>
      </w:r>
      <w:r w:rsidRPr="007404FA">
        <w:rPr>
          <w:rFonts w:ascii="Times New Roman" w:eastAsia="Batang" w:hAnsi="Times New Roman" w:cs="Times New Roman"/>
          <w:sz w:val="24"/>
          <w:szCs w:val="24"/>
        </w:rPr>
        <w:t>4</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 Стара Загора</w:t>
      </w:r>
      <w:r w:rsidR="00553661" w:rsidRPr="007404FA">
        <w:rPr>
          <w:rFonts w:ascii="Times New Roman" w:eastAsia="Batang" w:hAnsi="Times New Roman" w:cs="Times New Roman"/>
          <w:sz w:val="24"/>
          <w:szCs w:val="24"/>
        </w:rPr>
        <w:t xml:space="preserve"> – </w:t>
      </w:r>
      <w:r w:rsidRPr="007404FA">
        <w:rPr>
          <w:rFonts w:ascii="Times New Roman" w:eastAsia="Batang" w:hAnsi="Times New Roman" w:cs="Times New Roman"/>
          <w:sz w:val="24"/>
          <w:szCs w:val="24"/>
        </w:rPr>
        <w:t>2</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w:t>
      </w:r>
      <w:r w:rsidR="00157B49">
        <w:rPr>
          <w:rFonts w:ascii="Times New Roman" w:eastAsia="Batang" w:hAnsi="Times New Roman" w:cs="Times New Roman"/>
          <w:sz w:val="24"/>
          <w:szCs w:val="24"/>
        </w:rPr>
        <w:t xml:space="preserve"> </w:t>
      </w:r>
      <w:r w:rsidRPr="007404FA">
        <w:rPr>
          <w:rFonts w:ascii="Times New Roman" w:eastAsia="Batang" w:hAnsi="Times New Roman" w:cs="Times New Roman"/>
          <w:sz w:val="24"/>
          <w:szCs w:val="24"/>
        </w:rPr>
        <w:t>Плевен</w:t>
      </w:r>
      <w:r w:rsidR="00553661" w:rsidRPr="007404FA">
        <w:rPr>
          <w:rFonts w:ascii="Times New Roman" w:eastAsia="Batang" w:hAnsi="Times New Roman" w:cs="Times New Roman"/>
          <w:sz w:val="24"/>
          <w:szCs w:val="24"/>
        </w:rPr>
        <w:t xml:space="preserve"> – </w:t>
      </w:r>
      <w:r w:rsidRPr="007404FA">
        <w:rPr>
          <w:rFonts w:ascii="Times New Roman" w:eastAsia="Batang" w:hAnsi="Times New Roman" w:cs="Times New Roman"/>
          <w:sz w:val="24"/>
          <w:szCs w:val="24"/>
        </w:rPr>
        <w:t>10</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 Хасково и Ямбол– 2</w:t>
      </w:r>
      <w:r w:rsidR="00D1189D" w:rsidRPr="007404FA">
        <w:rPr>
          <w:rFonts w:ascii="Times New Roman" w:eastAsia="Batang" w:hAnsi="Times New Roman" w:cs="Times New Roman"/>
          <w:sz w:val="24"/>
          <w:szCs w:val="24"/>
        </w:rPr>
        <w:t> бр.</w:t>
      </w:r>
      <w:r w:rsidR="008719CA">
        <w:rPr>
          <w:rFonts w:ascii="Times New Roman" w:eastAsia="Batang" w:hAnsi="Times New Roman" w:cs="Times New Roman"/>
          <w:sz w:val="24"/>
          <w:szCs w:val="24"/>
        </w:rPr>
        <w:t>,</w:t>
      </w:r>
      <w:r w:rsidRPr="007404FA">
        <w:rPr>
          <w:rFonts w:ascii="Times New Roman" w:eastAsia="Batang" w:hAnsi="Times New Roman" w:cs="Times New Roman"/>
          <w:sz w:val="24"/>
          <w:szCs w:val="24"/>
        </w:rPr>
        <w:t xml:space="preserve"> и в по-малка степен в други области на страната.</w:t>
      </w: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 xml:space="preserve">Преобладаващата част от проверките са извършени след постъпили сигнали и жалби от физически лица за обработване на личните им данни посредством изградени системи за видеонаблюдение. В резултат на извършените проверки с предмет видеонаблюдение са издадени разпореждания на администраторите на лични данни да преустановят заснемането на публични площи (улици и тротоари); да изработят конкретни правила и механизми за контрол за спазване на издадените заповеди и да предприемат технически и организационни мерки, които ефективно да гарантират защитата на физическите лица. </w:t>
      </w: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Липсата на нормативна регламентация на осъществяваното в страната видеонаблюдение от различни администратори и субекти води до множество сигнали и жалби, както и до конфликтни ситуации между ад</w:t>
      </w:r>
      <w:r w:rsidR="008719CA">
        <w:rPr>
          <w:rFonts w:ascii="Times New Roman" w:eastAsia="Batang" w:hAnsi="Times New Roman" w:cs="Times New Roman"/>
          <w:sz w:val="24"/>
          <w:szCs w:val="24"/>
        </w:rPr>
        <w:t>министраторите и субектите, чии</w:t>
      </w:r>
      <w:r w:rsidRPr="007404FA">
        <w:rPr>
          <w:rFonts w:ascii="Times New Roman" w:eastAsia="Batang" w:hAnsi="Times New Roman" w:cs="Times New Roman"/>
          <w:sz w:val="24"/>
          <w:szCs w:val="24"/>
        </w:rPr>
        <w:t>то данни се обработват. Изразходва</w:t>
      </w:r>
      <w:r w:rsidR="008719CA">
        <w:rPr>
          <w:rFonts w:ascii="Times New Roman" w:eastAsia="Batang" w:hAnsi="Times New Roman" w:cs="Times New Roman"/>
          <w:sz w:val="24"/>
          <w:szCs w:val="24"/>
        </w:rPr>
        <w:t>т</w:t>
      </w:r>
      <w:r w:rsidRPr="007404FA">
        <w:rPr>
          <w:rFonts w:ascii="Times New Roman" w:eastAsia="Batang" w:hAnsi="Times New Roman" w:cs="Times New Roman"/>
          <w:sz w:val="24"/>
          <w:szCs w:val="24"/>
        </w:rPr>
        <w:t xml:space="preserve"> се изключително много човешки ресурс и средства за осъществяване именно на този вид контрол на нарушения, характеризиращ се с това, че липсва нормативна регламентация на все повече засилващата се тенденция всеки и всичко да се охранява чрез въвеждането на нови технологии и технически средства. </w:t>
      </w: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Забелязва се трайна тенденция за увеличаване на казусите, при които следва да се съберат на място правнорелевантни факти и доказателства за преценка има или не незаконосъобразно обработване на лични данни, което съответно да бъде санкционирано по реда на</w:t>
      </w:r>
      <w:r w:rsidR="00B65967" w:rsidRPr="007404FA">
        <w:rPr>
          <w:rFonts w:ascii="Times New Roman" w:eastAsia="Batang" w:hAnsi="Times New Roman" w:cs="Times New Roman"/>
          <w:sz w:val="24"/>
          <w:szCs w:val="24"/>
        </w:rPr>
        <w:t xml:space="preserve"> Закона за административните нарушения и наказания</w:t>
      </w:r>
      <w:r w:rsidRPr="007404FA">
        <w:rPr>
          <w:rFonts w:ascii="Times New Roman" w:eastAsia="Batang" w:hAnsi="Times New Roman" w:cs="Times New Roman"/>
          <w:sz w:val="24"/>
          <w:szCs w:val="24"/>
        </w:rPr>
        <w:t xml:space="preserve"> </w:t>
      </w:r>
      <w:r w:rsidR="00B65967" w:rsidRPr="007404FA">
        <w:rPr>
          <w:rFonts w:ascii="Times New Roman" w:eastAsia="Batang" w:hAnsi="Times New Roman" w:cs="Times New Roman"/>
          <w:sz w:val="24"/>
          <w:szCs w:val="24"/>
        </w:rPr>
        <w:t>(</w:t>
      </w:r>
      <w:r w:rsidRPr="007404FA">
        <w:rPr>
          <w:rFonts w:ascii="Times New Roman" w:eastAsia="Batang" w:hAnsi="Times New Roman" w:cs="Times New Roman"/>
          <w:sz w:val="24"/>
          <w:szCs w:val="24"/>
        </w:rPr>
        <w:t>ЗАНН</w:t>
      </w:r>
      <w:r w:rsidR="00B65967" w:rsidRPr="007404FA">
        <w:rPr>
          <w:rFonts w:ascii="Times New Roman" w:eastAsia="Batang" w:hAnsi="Times New Roman" w:cs="Times New Roman"/>
          <w:sz w:val="24"/>
          <w:szCs w:val="24"/>
        </w:rPr>
        <w:t>)</w:t>
      </w:r>
      <w:r w:rsidRPr="007404FA">
        <w:rPr>
          <w:rFonts w:ascii="Times New Roman" w:eastAsia="Batang" w:hAnsi="Times New Roman" w:cs="Times New Roman"/>
          <w:sz w:val="24"/>
          <w:szCs w:val="24"/>
        </w:rPr>
        <w:t xml:space="preserve"> или да бъдат наложени корективни мерки по реда на Регламент 2016/679, което на фона на двойно увеличената бройка на преписките и </w:t>
      </w:r>
      <w:r w:rsidR="007549E0" w:rsidRPr="007404FA">
        <w:rPr>
          <w:rFonts w:ascii="Times New Roman" w:eastAsia="Batang" w:hAnsi="Times New Roman" w:cs="Times New Roman"/>
          <w:sz w:val="24"/>
          <w:szCs w:val="24"/>
        </w:rPr>
        <w:t>крайно недостатъчния</w:t>
      </w:r>
      <w:r w:rsidRPr="007404FA">
        <w:rPr>
          <w:rFonts w:ascii="Times New Roman" w:eastAsia="Batang" w:hAnsi="Times New Roman" w:cs="Times New Roman"/>
          <w:sz w:val="24"/>
          <w:szCs w:val="24"/>
        </w:rPr>
        <w:t xml:space="preserve"> човешки ресурс води до изключително натоварване сред служителите</w:t>
      </w:r>
      <w:r w:rsidR="00466583" w:rsidRPr="007404FA">
        <w:rPr>
          <w:rFonts w:ascii="Times New Roman" w:eastAsia="Batang" w:hAnsi="Times New Roman" w:cs="Times New Roman"/>
          <w:sz w:val="24"/>
          <w:szCs w:val="24"/>
        </w:rPr>
        <w:t xml:space="preserve"> на КЗЛД</w:t>
      </w:r>
      <w:r w:rsidRPr="007404FA">
        <w:rPr>
          <w:rFonts w:ascii="Times New Roman" w:eastAsia="Batang" w:hAnsi="Times New Roman" w:cs="Times New Roman"/>
          <w:sz w:val="24"/>
          <w:szCs w:val="24"/>
        </w:rPr>
        <w:t xml:space="preserve">. </w:t>
      </w:r>
    </w:p>
    <w:p w:rsidR="0063284A" w:rsidRDefault="0063284A" w:rsidP="00DB6B05">
      <w:pPr>
        <w:spacing w:line="360" w:lineRule="auto"/>
        <w:ind w:firstLine="709"/>
        <w:jc w:val="both"/>
        <w:rPr>
          <w:rFonts w:ascii="Times New Roman" w:eastAsia="Batang" w:hAnsi="Times New Roman" w:cs="Times New Roman"/>
          <w:sz w:val="24"/>
          <w:szCs w:val="24"/>
        </w:rPr>
      </w:pPr>
    </w:p>
    <w:p w:rsidR="00635F35" w:rsidRDefault="00635F35" w:rsidP="00DB6B05">
      <w:pPr>
        <w:spacing w:line="360" w:lineRule="auto"/>
        <w:ind w:firstLine="709"/>
        <w:jc w:val="both"/>
        <w:rPr>
          <w:rFonts w:ascii="Times New Roman" w:eastAsia="Batang" w:hAnsi="Times New Roman" w:cs="Times New Roman"/>
          <w:sz w:val="24"/>
          <w:szCs w:val="24"/>
        </w:rPr>
      </w:pPr>
    </w:p>
    <w:p w:rsidR="00635F35" w:rsidRPr="007404FA" w:rsidRDefault="00635F35" w:rsidP="00DB6B05">
      <w:pPr>
        <w:spacing w:line="360" w:lineRule="auto"/>
        <w:ind w:firstLine="709"/>
        <w:jc w:val="both"/>
        <w:rPr>
          <w:rFonts w:ascii="Times New Roman" w:eastAsia="Batang" w:hAnsi="Times New Roman" w:cs="Times New Roman"/>
          <w:sz w:val="24"/>
          <w:szCs w:val="24"/>
        </w:rPr>
      </w:pPr>
    </w:p>
    <w:p w:rsidR="0063284A" w:rsidRPr="007404FA" w:rsidRDefault="0063284A" w:rsidP="00DB6B05">
      <w:pPr>
        <w:spacing w:line="360" w:lineRule="auto"/>
        <w:ind w:firstLine="709"/>
        <w:jc w:val="both"/>
        <w:rPr>
          <w:rFonts w:ascii="Times New Roman" w:eastAsia="Batang" w:hAnsi="Times New Roman" w:cs="Times New Roman"/>
          <w:b/>
          <w:sz w:val="24"/>
          <w:szCs w:val="24"/>
        </w:rPr>
      </w:pPr>
      <w:r w:rsidRPr="007404FA">
        <w:rPr>
          <w:rFonts w:ascii="Times New Roman" w:eastAsia="Batang" w:hAnsi="Times New Roman" w:cs="Times New Roman"/>
          <w:b/>
          <w:sz w:val="24"/>
          <w:szCs w:val="24"/>
        </w:rPr>
        <w:lastRenderedPageBreak/>
        <w:t>3. Значими проверки и интересни казуси през 2022</w:t>
      </w:r>
      <w:r w:rsidR="00F06583" w:rsidRPr="007404FA">
        <w:rPr>
          <w:rFonts w:ascii="Times New Roman" w:eastAsia="Batang" w:hAnsi="Times New Roman" w:cs="Times New Roman"/>
          <w:b/>
          <w:sz w:val="24"/>
          <w:szCs w:val="24"/>
        </w:rPr>
        <w:t> г.</w:t>
      </w:r>
      <w:r w:rsidRPr="007404FA">
        <w:rPr>
          <w:rFonts w:ascii="Times New Roman" w:eastAsia="Batang" w:hAnsi="Times New Roman" w:cs="Times New Roman"/>
          <w:b/>
          <w:sz w:val="24"/>
          <w:szCs w:val="24"/>
        </w:rPr>
        <w:t>, анализ на спазването на Регламент 2016/679 и ЗЗЛД</w:t>
      </w:r>
      <w:r w:rsidR="008719CA">
        <w:rPr>
          <w:rFonts w:ascii="Times New Roman" w:eastAsia="Batang" w:hAnsi="Times New Roman" w:cs="Times New Roman"/>
          <w:b/>
          <w:sz w:val="24"/>
          <w:szCs w:val="24"/>
        </w:rPr>
        <w:t>.</w:t>
      </w: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635F35">
        <w:rPr>
          <w:rFonts w:ascii="Times New Roman" w:eastAsia="Times New Roman" w:hAnsi="Times New Roman" w:cs="Times New Roman"/>
          <w:b/>
          <w:sz w:val="24"/>
          <w:szCs w:val="24"/>
        </w:rPr>
        <w:t xml:space="preserve">Проверка на </w:t>
      </w:r>
      <w:r w:rsidRPr="00635F35">
        <w:rPr>
          <w:rFonts w:ascii="Times New Roman" w:hAnsi="Times New Roman" w:cs="Times New Roman"/>
          <w:b/>
          <w:sz w:val="24"/>
          <w:szCs w:val="24"/>
        </w:rPr>
        <w:t xml:space="preserve">„Български пощи“ ЕАД: </w:t>
      </w:r>
      <w:r w:rsidRPr="00635F35">
        <w:rPr>
          <w:rFonts w:ascii="Times New Roman" w:hAnsi="Times New Roman" w:cs="Times New Roman"/>
          <w:sz w:val="24"/>
          <w:szCs w:val="24"/>
        </w:rPr>
        <w:t>н</w:t>
      </w:r>
      <w:r w:rsidRPr="00635F35">
        <w:rPr>
          <w:rFonts w:ascii="Times New Roman" w:eastAsia="Batang" w:hAnsi="Times New Roman" w:cs="Times New Roman"/>
          <w:sz w:val="24"/>
          <w:szCs w:val="24"/>
        </w:rPr>
        <w:t>а проведено на 04.05.2022</w:t>
      </w:r>
      <w:r w:rsidR="00F06583" w:rsidRPr="00635F35">
        <w:rPr>
          <w:rFonts w:ascii="Times New Roman" w:eastAsia="Batang" w:hAnsi="Times New Roman" w:cs="Times New Roman"/>
          <w:sz w:val="24"/>
          <w:szCs w:val="24"/>
        </w:rPr>
        <w:t> г.</w:t>
      </w:r>
      <w:r w:rsidRPr="00635F35">
        <w:rPr>
          <w:rFonts w:ascii="Times New Roman" w:eastAsia="Batang" w:hAnsi="Times New Roman" w:cs="Times New Roman"/>
          <w:sz w:val="24"/>
          <w:szCs w:val="24"/>
        </w:rPr>
        <w:t xml:space="preserve"> заседание</w:t>
      </w:r>
      <w:r w:rsidRPr="007404FA">
        <w:rPr>
          <w:rFonts w:ascii="Times New Roman" w:eastAsia="Batang" w:hAnsi="Times New Roman" w:cs="Times New Roman"/>
          <w:sz w:val="24"/>
          <w:szCs w:val="24"/>
        </w:rPr>
        <w:t xml:space="preserve"> КЗЛД прие</w:t>
      </w:r>
      <w:r w:rsidR="00466583" w:rsidRPr="007404FA">
        <w:rPr>
          <w:rFonts w:ascii="Times New Roman" w:eastAsia="Batang" w:hAnsi="Times New Roman" w:cs="Times New Roman"/>
          <w:sz w:val="24"/>
          <w:szCs w:val="24"/>
        </w:rPr>
        <w:t>ма</w:t>
      </w:r>
      <w:r w:rsidRPr="007404FA">
        <w:rPr>
          <w:rFonts w:ascii="Times New Roman" w:eastAsia="Batang" w:hAnsi="Times New Roman" w:cs="Times New Roman"/>
          <w:sz w:val="24"/>
          <w:szCs w:val="24"/>
        </w:rPr>
        <w:t xml:space="preserve"> решение за извършване на проверка на място по повод постъпило уведомление на основание</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33 от Регламент (ЕС) 2016/679 от „Български пощи“ ЕАД. В уведомлението се посочва, че на 16.04.2022</w:t>
      </w:r>
      <w:r w:rsidR="00F06583" w:rsidRPr="007404FA">
        <w:rPr>
          <w:rFonts w:ascii="Times New Roman" w:eastAsia="Batang" w:hAnsi="Times New Roman" w:cs="Times New Roman"/>
          <w:sz w:val="24"/>
          <w:szCs w:val="24"/>
        </w:rPr>
        <w:t> г.</w:t>
      </w:r>
      <w:r w:rsidRPr="007404FA">
        <w:rPr>
          <w:rFonts w:ascii="Times New Roman" w:eastAsia="Batang" w:hAnsi="Times New Roman" w:cs="Times New Roman"/>
          <w:sz w:val="24"/>
          <w:szCs w:val="24"/>
        </w:rPr>
        <w:t xml:space="preserve"> в 08:30</w:t>
      </w:r>
      <w:r w:rsidR="002B2E4F" w:rsidRPr="007404FA">
        <w:rPr>
          <w:rFonts w:ascii="Times New Roman" w:eastAsia="Batang" w:hAnsi="Times New Roman" w:cs="Times New Roman"/>
          <w:sz w:val="24"/>
          <w:szCs w:val="24"/>
        </w:rPr>
        <w:t xml:space="preserve"> </w:t>
      </w:r>
      <w:r w:rsidRPr="007404FA">
        <w:rPr>
          <w:rFonts w:ascii="Times New Roman" w:eastAsia="Batang" w:hAnsi="Times New Roman" w:cs="Times New Roman"/>
          <w:sz w:val="24"/>
          <w:szCs w:val="24"/>
        </w:rPr>
        <w:t>ч. е установена невъзможност за функциониране на софтуерните приложения в пощенските станции. След проведено обследване е установено, че причината е хакерска атака</w:t>
      </w:r>
      <w:r w:rsidR="00553661" w:rsidRPr="007404FA">
        <w:rPr>
          <w:rFonts w:ascii="Times New Roman" w:eastAsia="Batang" w:hAnsi="Times New Roman" w:cs="Times New Roman"/>
          <w:sz w:val="24"/>
          <w:szCs w:val="24"/>
        </w:rPr>
        <w:t xml:space="preserve"> – </w:t>
      </w:r>
      <w:r w:rsidRPr="007404FA">
        <w:rPr>
          <w:rFonts w:ascii="Times New Roman" w:eastAsia="Batang" w:hAnsi="Times New Roman" w:cs="Times New Roman"/>
          <w:sz w:val="24"/>
          <w:szCs w:val="24"/>
        </w:rPr>
        <w:t>пробив на сигурността на информационната инфраструктура посредством зловреден софтуер Mimikatz.</w:t>
      </w: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Установено е, че на SQL клъстера, на който са базите данни, съдържащи лични данни, фигурира нерегламентиран администраторски акаунт и голяма част от файловете и базите са криптирани в резултат на хакерска атака, криптирани са и бекъпите на базите данни. Засегнати са сървърни конфигурации на SQL сървърите, като са заразени с ransomware злонамерен софтуер. Външните нападатели не са имали непосредствен физически контакт с информационната система. Използвана е уязвимост в сигурността на Microsoft пощенски сървър, чрез която нападателите придобиват достъп до вътрешна</w:t>
      </w:r>
      <w:r w:rsidR="008719CA">
        <w:rPr>
          <w:rFonts w:ascii="Times New Roman" w:eastAsia="Batang" w:hAnsi="Times New Roman" w:cs="Times New Roman"/>
          <w:sz w:val="24"/>
          <w:szCs w:val="24"/>
        </w:rPr>
        <w:t>та</w:t>
      </w:r>
      <w:r w:rsidRPr="007404FA">
        <w:rPr>
          <w:rFonts w:ascii="Times New Roman" w:eastAsia="Batang" w:hAnsi="Times New Roman" w:cs="Times New Roman"/>
          <w:sz w:val="24"/>
          <w:szCs w:val="24"/>
        </w:rPr>
        <w:t xml:space="preserve"> памет на Windows системите. Достъпени са всички виртуални машини във виртуалния клъстер.</w:t>
      </w: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Вследствие на допускане и необезвреждане на злонамер</w:t>
      </w:r>
      <w:r w:rsidR="008719CA">
        <w:rPr>
          <w:rFonts w:ascii="Times New Roman" w:eastAsia="Batang" w:hAnsi="Times New Roman" w:cs="Times New Roman"/>
          <w:sz w:val="24"/>
          <w:szCs w:val="24"/>
        </w:rPr>
        <w:t>ен софтуер в компютърната мрежа</w:t>
      </w:r>
      <w:r w:rsidRPr="007404FA">
        <w:rPr>
          <w:rFonts w:ascii="Times New Roman" w:eastAsia="Batang" w:hAnsi="Times New Roman" w:cs="Times New Roman"/>
          <w:sz w:val="24"/>
          <w:szCs w:val="24"/>
        </w:rPr>
        <w:t xml:space="preserve"> спират основни услуги, нарушени са целостта и поверителността на информацията. </w:t>
      </w: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След установяване на осъществената хакерска атака от страна на „Български пощи“</w:t>
      </w:r>
      <w:r w:rsidR="002B2E4F" w:rsidRPr="007404FA">
        <w:rPr>
          <w:rFonts w:ascii="Times New Roman" w:eastAsia="Batang" w:hAnsi="Times New Roman" w:cs="Times New Roman"/>
          <w:sz w:val="24"/>
          <w:szCs w:val="24"/>
        </w:rPr>
        <w:t xml:space="preserve"> </w:t>
      </w:r>
      <w:r w:rsidRPr="007404FA">
        <w:rPr>
          <w:rFonts w:ascii="Times New Roman" w:eastAsia="Batang" w:hAnsi="Times New Roman" w:cs="Times New Roman"/>
          <w:sz w:val="24"/>
          <w:szCs w:val="24"/>
        </w:rPr>
        <w:t>ЕАД са предприети необходимите технически и организационни мерки за защита на данните за справяне с нарушението на сигурността на личните данни, като са спрени критични системи и приложения. Уведомени са съответните разследващи органи, партньорски пощенски институции.</w:t>
      </w: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В хода на извършената от КЗЛД проверка е установено по безспорен и категоричен начин, че при осъществяване на дей</w:t>
      </w:r>
      <w:r w:rsidR="008719CA">
        <w:rPr>
          <w:rFonts w:ascii="Times New Roman" w:eastAsia="Batang" w:hAnsi="Times New Roman" w:cs="Times New Roman"/>
          <w:sz w:val="24"/>
          <w:szCs w:val="24"/>
        </w:rPr>
        <w:t>ността си „Български пощи“ ЕАД</w:t>
      </w:r>
      <w:r w:rsidRPr="007404FA">
        <w:rPr>
          <w:rFonts w:ascii="Times New Roman" w:eastAsia="Batang" w:hAnsi="Times New Roman" w:cs="Times New Roman"/>
          <w:sz w:val="24"/>
          <w:szCs w:val="24"/>
        </w:rPr>
        <w:t xml:space="preserve"> в качеството на администратор на лични данни съгласно</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4,</w:t>
      </w:r>
      <w:r w:rsidR="00F06583" w:rsidRPr="007404FA">
        <w:rPr>
          <w:rFonts w:ascii="Times New Roman" w:eastAsia="Batang" w:hAnsi="Times New Roman" w:cs="Times New Roman"/>
          <w:sz w:val="24"/>
          <w:szCs w:val="24"/>
        </w:rPr>
        <w:t xml:space="preserve"> т. </w:t>
      </w:r>
      <w:r w:rsidR="008719CA">
        <w:rPr>
          <w:rFonts w:ascii="Times New Roman" w:eastAsia="Batang" w:hAnsi="Times New Roman" w:cs="Times New Roman"/>
          <w:sz w:val="24"/>
          <w:szCs w:val="24"/>
        </w:rPr>
        <w:t>7 от Регламент (ЕС) 2016/679</w:t>
      </w:r>
      <w:r w:rsidRPr="007404FA">
        <w:rPr>
          <w:rFonts w:ascii="Times New Roman" w:eastAsia="Batang" w:hAnsi="Times New Roman" w:cs="Times New Roman"/>
          <w:sz w:val="24"/>
          <w:szCs w:val="24"/>
        </w:rPr>
        <w:t xml:space="preserve"> не е приложило подходящи технически и организационни мерки, в резултат на което </w:t>
      </w:r>
      <w:r w:rsidR="008719CA">
        <w:rPr>
          <w:rFonts w:ascii="Times New Roman" w:eastAsia="Batang" w:hAnsi="Times New Roman" w:cs="Times New Roman"/>
          <w:sz w:val="24"/>
          <w:szCs w:val="24"/>
        </w:rPr>
        <w:t>са</w:t>
      </w:r>
      <w:r w:rsidRPr="007404FA">
        <w:rPr>
          <w:rFonts w:ascii="Times New Roman" w:eastAsia="Batang" w:hAnsi="Times New Roman" w:cs="Times New Roman"/>
          <w:sz w:val="24"/>
          <w:szCs w:val="24"/>
        </w:rPr>
        <w:t xml:space="preserve"> осъществен</w:t>
      </w:r>
      <w:r w:rsidR="008719CA">
        <w:rPr>
          <w:rFonts w:ascii="Times New Roman" w:eastAsia="Batang" w:hAnsi="Times New Roman" w:cs="Times New Roman"/>
          <w:sz w:val="24"/>
          <w:szCs w:val="24"/>
        </w:rPr>
        <w:t>и</w:t>
      </w:r>
      <w:r w:rsidRPr="007404FA">
        <w:rPr>
          <w:rFonts w:ascii="Times New Roman" w:eastAsia="Batang" w:hAnsi="Times New Roman" w:cs="Times New Roman"/>
          <w:sz w:val="24"/>
          <w:szCs w:val="24"/>
        </w:rPr>
        <w:t xml:space="preserve"> неоторизиран достъп и неразрешено разкриване на личните данни на физически лица (име, презиме, фамилия; ЕГН/ЛНЧ/служебен номер; адрес: свободен текст, пощенски код, населено място, област; телефон; адрес на електронна поща; финансови данни: заплати, пенсии, парични преводи; информация за здравословното състояние/здравни данни, в</w:t>
      </w:r>
      <w:r w:rsidR="00F06583" w:rsidRPr="007404FA">
        <w:rPr>
          <w:rFonts w:ascii="Times New Roman" w:eastAsia="Batang" w:hAnsi="Times New Roman" w:cs="Times New Roman"/>
          <w:sz w:val="24"/>
          <w:szCs w:val="24"/>
        </w:rPr>
        <w:t xml:space="preserve"> т. </w:t>
      </w:r>
      <w:r w:rsidRPr="007404FA">
        <w:rPr>
          <w:rFonts w:ascii="Times New Roman" w:eastAsia="Batang" w:hAnsi="Times New Roman" w:cs="Times New Roman"/>
          <w:sz w:val="24"/>
          <w:szCs w:val="24"/>
        </w:rPr>
        <w:t xml:space="preserve">ч. ТЕЛК/НЕЛК решения: за служителите на дружеството; трудов стаж: за служителите на дружеството; трудово възнаграждение: за служителите на </w:t>
      </w:r>
      <w:r w:rsidRPr="007404FA">
        <w:rPr>
          <w:rFonts w:ascii="Times New Roman" w:eastAsia="Batang" w:hAnsi="Times New Roman" w:cs="Times New Roman"/>
          <w:sz w:val="24"/>
          <w:szCs w:val="24"/>
        </w:rPr>
        <w:lastRenderedPageBreak/>
        <w:t xml:space="preserve">дружеството; банкова сметка: за служителите на дружеството) от поддържаните информационните бази данни. </w:t>
      </w: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От събраната в хода на проверката на КЗЛД документация е установено, че е осъществен неоторизиран достъп до личните данни на физически лица (клиенти, в</w:t>
      </w:r>
      <w:r w:rsidR="00DC7A93">
        <w:rPr>
          <w:rFonts w:ascii="Times New Roman" w:eastAsia="Batang" w:hAnsi="Times New Roman" w:cs="Times New Roman"/>
          <w:sz w:val="24"/>
          <w:szCs w:val="24"/>
        </w:rPr>
        <w:t xml:space="preserve"> т.</w:t>
      </w:r>
      <w:r w:rsidRPr="007404FA">
        <w:rPr>
          <w:rFonts w:ascii="Times New Roman" w:eastAsia="Batang" w:hAnsi="Times New Roman" w:cs="Times New Roman"/>
          <w:sz w:val="24"/>
          <w:szCs w:val="24"/>
        </w:rPr>
        <w:t>ч. пенсионери, клиенти на контрагенти по сключени договори и служители на дружеството), съдържащи се в бази данни с приблизително 4</w:t>
      </w:r>
      <w:r w:rsidR="002B2E4F" w:rsidRPr="007404FA">
        <w:rPr>
          <w:rFonts w:ascii="Times New Roman" w:eastAsia="Batang" w:hAnsi="Times New Roman" w:cs="Times New Roman"/>
          <w:sz w:val="24"/>
          <w:szCs w:val="24"/>
        </w:rPr>
        <w:t xml:space="preserve"> </w:t>
      </w:r>
      <w:r w:rsidRPr="007404FA">
        <w:rPr>
          <w:rFonts w:ascii="Times New Roman" w:eastAsia="Batang" w:hAnsi="Times New Roman" w:cs="Times New Roman"/>
          <w:sz w:val="24"/>
          <w:szCs w:val="24"/>
        </w:rPr>
        <w:t>675</w:t>
      </w:r>
      <w:r w:rsidR="002B2E4F" w:rsidRPr="007404FA">
        <w:rPr>
          <w:rFonts w:ascii="Times New Roman" w:eastAsia="Batang" w:hAnsi="Times New Roman" w:cs="Times New Roman"/>
          <w:sz w:val="24"/>
          <w:szCs w:val="24"/>
        </w:rPr>
        <w:t xml:space="preserve"> </w:t>
      </w:r>
      <w:r w:rsidRPr="007404FA">
        <w:rPr>
          <w:rFonts w:ascii="Times New Roman" w:eastAsia="Batang" w:hAnsi="Times New Roman" w:cs="Times New Roman"/>
          <w:sz w:val="24"/>
          <w:szCs w:val="24"/>
        </w:rPr>
        <w:t>393</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 xml:space="preserve"> записи, като базите данни са криптирани. Повредените от криптовируса бази данни са с обем, както следва: на базите от 2</w:t>
      </w:r>
      <w:r w:rsidR="002B2E4F" w:rsidRPr="007404FA">
        <w:rPr>
          <w:rFonts w:ascii="Times New Roman" w:eastAsia="Batang" w:hAnsi="Times New Roman" w:cs="Times New Roman"/>
          <w:sz w:val="24"/>
          <w:szCs w:val="24"/>
        </w:rPr>
        <w:t xml:space="preserve"> </w:t>
      </w:r>
      <w:r w:rsidRPr="007404FA">
        <w:rPr>
          <w:rFonts w:ascii="Times New Roman" w:eastAsia="Batang" w:hAnsi="Times New Roman" w:cs="Times New Roman"/>
          <w:sz w:val="24"/>
          <w:szCs w:val="24"/>
        </w:rPr>
        <w:t xml:space="preserve">ТВ, на архива 1 ТВ. </w:t>
      </w: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В резултат на неправомерния достъп е нарушена способността за гарантиране на постоянна поверителност, наличност, цялостност и устойчивост на системите и услугите за обработване, както и способността за своевременно възстановяване на наличността и достъпа до личните данни, с което е нарушен</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 xml:space="preserve">32, </w:t>
      </w:r>
      <w:r w:rsidR="00E06D6E">
        <w:rPr>
          <w:rFonts w:ascii="Times New Roman" w:eastAsia="Batang" w:hAnsi="Times New Roman" w:cs="Times New Roman"/>
          <w:sz w:val="24"/>
          <w:szCs w:val="24"/>
        </w:rPr>
        <w:t>§</w:t>
      </w:r>
      <w:r w:rsidRPr="007404FA">
        <w:rPr>
          <w:rFonts w:ascii="Times New Roman" w:eastAsia="Batang" w:hAnsi="Times New Roman" w:cs="Times New Roman"/>
          <w:sz w:val="24"/>
          <w:szCs w:val="24"/>
        </w:rPr>
        <w:t xml:space="preserve">1, букви „б“, „в“ и „г“ и </w:t>
      </w:r>
      <w:r w:rsidR="00E06D6E">
        <w:rPr>
          <w:rFonts w:ascii="Times New Roman" w:eastAsia="Batang" w:hAnsi="Times New Roman" w:cs="Times New Roman"/>
          <w:sz w:val="24"/>
          <w:szCs w:val="24"/>
        </w:rPr>
        <w:t>§</w:t>
      </w:r>
      <w:r w:rsidR="00DC7A93">
        <w:rPr>
          <w:rFonts w:ascii="Times New Roman" w:eastAsia="Batang" w:hAnsi="Times New Roman" w:cs="Times New Roman"/>
          <w:sz w:val="24"/>
          <w:szCs w:val="24"/>
        </w:rPr>
        <w:t>2</w:t>
      </w:r>
      <w:r w:rsidRPr="007404FA">
        <w:rPr>
          <w:rFonts w:ascii="Times New Roman" w:eastAsia="Batang" w:hAnsi="Times New Roman" w:cs="Times New Roman"/>
          <w:sz w:val="24"/>
          <w:szCs w:val="24"/>
        </w:rPr>
        <w:t xml:space="preserve"> във връзка с</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 xml:space="preserve">5, </w:t>
      </w:r>
      <w:r w:rsidR="00E06D6E">
        <w:rPr>
          <w:rFonts w:ascii="Times New Roman" w:eastAsia="Batang" w:hAnsi="Times New Roman" w:cs="Times New Roman"/>
          <w:sz w:val="24"/>
          <w:szCs w:val="24"/>
        </w:rPr>
        <w:t>§</w:t>
      </w:r>
      <w:r w:rsidRPr="007404FA">
        <w:rPr>
          <w:rFonts w:ascii="Times New Roman" w:eastAsia="Batang" w:hAnsi="Times New Roman" w:cs="Times New Roman"/>
          <w:sz w:val="24"/>
          <w:szCs w:val="24"/>
        </w:rPr>
        <w:t>1, буква „е“ от Регламент (ЕС) 2016/679.</w:t>
      </w: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За констатираното нарушение е съставен и връчен акт за установяване на административно нарушение при условията на</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40,</w:t>
      </w:r>
      <w:r w:rsidR="00F06583" w:rsidRPr="007404FA">
        <w:rPr>
          <w:rFonts w:ascii="Times New Roman" w:eastAsia="Batang" w:hAnsi="Times New Roman" w:cs="Times New Roman"/>
          <w:sz w:val="24"/>
          <w:szCs w:val="24"/>
        </w:rPr>
        <w:t xml:space="preserve"> ал. </w:t>
      </w:r>
      <w:r w:rsidRPr="007404FA">
        <w:rPr>
          <w:rFonts w:ascii="Times New Roman" w:eastAsia="Batang" w:hAnsi="Times New Roman" w:cs="Times New Roman"/>
          <w:sz w:val="24"/>
          <w:szCs w:val="24"/>
        </w:rPr>
        <w:t xml:space="preserve">1 от ЗАНН. </w:t>
      </w:r>
      <w:r w:rsidR="00B37B2E" w:rsidRPr="007404FA">
        <w:rPr>
          <w:rFonts w:ascii="Times New Roman" w:eastAsia="Batang" w:hAnsi="Times New Roman" w:cs="Times New Roman"/>
          <w:sz w:val="24"/>
          <w:szCs w:val="24"/>
        </w:rPr>
        <w:t>С и</w:t>
      </w:r>
      <w:r w:rsidRPr="007404FA">
        <w:rPr>
          <w:rFonts w:ascii="Times New Roman" w:eastAsia="Batang" w:hAnsi="Times New Roman" w:cs="Times New Roman"/>
          <w:sz w:val="24"/>
          <w:szCs w:val="24"/>
        </w:rPr>
        <w:t>здаденото впоследствие в законоустановения сро</w:t>
      </w:r>
      <w:r w:rsidR="00DC7A93">
        <w:rPr>
          <w:rFonts w:ascii="Times New Roman" w:eastAsia="Batang" w:hAnsi="Times New Roman" w:cs="Times New Roman"/>
          <w:sz w:val="24"/>
          <w:szCs w:val="24"/>
        </w:rPr>
        <w:t>к наказателно постановление на п</w:t>
      </w:r>
      <w:r w:rsidRPr="007404FA">
        <w:rPr>
          <w:rFonts w:ascii="Times New Roman" w:eastAsia="Batang" w:hAnsi="Times New Roman" w:cs="Times New Roman"/>
          <w:sz w:val="24"/>
          <w:szCs w:val="24"/>
        </w:rPr>
        <w:t>редседателя на КЗЛД е наложена „имуществена санкция“ в размер на 1</w:t>
      </w:r>
      <w:r w:rsidR="00C8112A" w:rsidRPr="007404FA">
        <w:rPr>
          <w:rFonts w:ascii="Times New Roman" w:eastAsia="Batang" w:hAnsi="Times New Roman" w:cs="Times New Roman"/>
          <w:sz w:val="24"/>
          <w:szCs w:val="24"/>
        </w:rPr>
        <w:t> </w:t>
      </w:r>
      <w:r w:rsidRPr="007404FA">
        <w:rPr>
          <w:rFonts w:ascii="Times New Roman" w:eastAsia="Batang" w:hAnsi="Times New Roman" w:cs="Times New Roman"/>
          <w:sz w:val="24"/>
          <w:szCs w:val="24"/>
        </w:rPr>
        <w:t>000</w:t>
      </w:r>
      <w:r w:rsidR="00C8112A" w:rsidRPr="007404FA">
        <w:rPr>
          <w:rFonts w:ascii="Times New Roman" w:eastAsia="Batang" w:hAnsi="Times New Roman" w:cs="Times New Roman"/>
          <w:sz w:val="24"/>
          <w:szCs w:val="24"/>
        </w:rPr>
        <w:t> </w:t>
      </w:r>
      <w:r w:rsidR="00DC7A93">
        <w:rPr>
          <w:rFonts w:ascii="Times New Roman" w:eastAsia="Batang" w:hAnsi="Times New Roman" w:cs="Times New Roman"/>
          <w:sz w:val="24"/>
          <w:szCs w:val="24"/>
        </w:rPr>
        <w:t>000 (един милион)</w:t>
      </w:r>
      <w:r w:rsidRPr="007404FA">
        <w:rPr>
          <w:rFonts w:ascii="Times New Roman" w:eastAsia="Batang" w:hAnsi="Times New Roman" w:cs="Times New Roman"/>
          <w:sz w:val="24"/>
          <w:szCs w:val="24"/>
        </w:rPr>
        <w:t xml:space="preserve"> лева, същото е обжалвано от „Български пощи“ ЕАД и към настоящия момент е в съдебна фаза.</w:t>
      </w: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b/>
          <w:sz w:val="24"/>
          <w:szCs w:val="24"/>
        </w:rPr>
        <w:t>Други по-интересни казуси от извършените през 2022</w:t>
      </w:r>
      <w:r w:rsidR="00F06583" w:rsidRPr="007404FA">
        <w:rPr>
          <w:rFonts w:ascii="Times New Roman" w:eastAsia="Batang" w:hAnsi="Times New Roman" w:cs="Times New Roman"/>
          <w:b/>
          <w:sz w:val="24"/>
          <w:szCs w:val="24"/>
        </w:rPr>
        <w:t> г.</w:t>
      </w:r>
      <w:r w:rsidRPr="007404FA">
        <w:rPr>
          <w:rFonts w:ascii="Times New Roman" w:eastAsia="Batang" w:hAnsi="Times New Roman" w:cs="Times New Roman"/>
          <w:b/>
          <w:sz w:val="24"/>
          <w:szCs w:val="24"/>
        </w:rPr>
        <w:t xml:space="preserve"> проверки по уведомления по</w:t>
      </w:r>
      <w:r w:rsidR="00F06583" w:rsidRPr="007404FA">
        <w:rPr>
          <w:rFonts w:ascii="Times New Roman" w:eastAsia="Batang" w:hAnsi="Times New Roman" w:cs="Times New Roman"/>
          <w:b/>
          <w:sz w:val="24"/>
          <w:szCs w:val="24"/>
        </w:rPr>
        <w:t xml:space="preserve"> чл. </w:t>
      </w:r>
      <w:r w:rsidRPr="007404FA">
        <w:rPr>
          <w:rFonts w:ascii="Times New Roman" w:eastAsia="Batang" w:hAnsi="Times New Roman" w:cs="Times New Roman"/>
          <w:b/>
          <w:sz w:val="24"/>
          <w:szCs w:val="24"/>
        </w:rPr>
        <w:t>33 от Регламент (ЕС) 2016/679</w:t>
      </w:r>
      <w:r w:rsidR="00553661" w:rsidRPr="007404FA">
        <w:rPr>
          <w:rFonts w:ascii="Times New Roman" w:eastAsia="Batang" w:hAnsi="Times New Roman" w:cs="Times New Roman"/>
          <w:sz w:val="24"/>
          <w:szCs w:val="24"/>
        </w:rPr>
        <w:t xml:space="preserve"> – </w:t>
      </w:r>
      <w:r w:rsidRPr="007404FA">
        <w:rPr>
          <w:rFonts w:ascii="Times New Roman" w:eastAsia="Batang" w:hAnsi="Times New Roman" w:cs="Times New Roman"/>
          <w:sz w:val="24"/>
          <w:szCs w:val="24"/>
        </w:rPr>
        <w:t>ЦКБ „Живот“, Български червен кръст и „С+С Аутоматион“ ООД, касаят осъществен неоторизиран достъп до информационните системи и ресурси на дружествата и на един от доставчиците на услуги в центъра за данни на Междунар</w:t>
      </w:r>
      <w:r w:rsidR="00C8112A" w:rsidRPr="007404FA">
        <w:rPr>
          <w:rFonts w:ascii="Times New Roman" w:eastAsia="Batang" w:hAnsi="Times New Roman" w:cs="Times New Roman"/>
          <w:sz w:val="24"/>
          <w:szCs w:val="24"/>
        </w:rPr>
        <w:t xml:space="preserve">одния комитет на </w:t>
      </w:r>
      <w:r w:rsidR="00DC7A93">
        <w:rPr>
          <w:rFonts w:ascii="Times New Roman" w:eastAsia="Batang" w:hAnsi="Times New Roman" w:cs="Times New Roman"/>
          <w:sz w:val="24"/>
          <w:szCs w:val="24"/>
        </w:rPr>
        <w:t>Ч</w:t>
      </w:r>
      <w:r w:rsidR="00C8112A" w:rsidRPr="007404FA">
        <w:rPr>
          <w:rFonts w:ascii="Times New Roman" w:eastAsia="Batang" w:hAnsi="Times New Roman" w:cs="Times New Roman"/>
          <w:sz w:val="24"/>
          <w:szCs w:val="24"/>
        </w:rPr>
        <w:t>ервения кръст</w:t>
      </w:r>
      <w:r w:rsidRPr="007404FA">
        <w:rPr>
          <w:rFonts w:ascii="Times New Roman" w:eastAsia="Batang" w:hAnsi="Times New Roman" w:cs="Times New Roman"/>
          <w:sz w:val="24"/>
          <w:szCs w:val="24"/>
        </w:rPr>
        <w:t xml:space="preserve"> със седалище в град Женева, Швейцария, свързан с информация относно глобалните услуги за „Възстановяване на семейни връзки“ на Международното движение на Червения кръст и Червения полумесец, в резултат на хакерски атаки.</w:t>
      </w:r>
    </w:p>
    <w:p w:rsidR="0063284A" w:rsidRPr="007404FA" w:rsidRDefault="0063284A" w:rsidP="00DB6B05">
      <w:pPr>
        <w:spacing w:line="360" w:lineRule="auto"/>
        <w:ind w:firstLine="709"/>
        <w:jc w:val="both"/>
        <w:rPr>
          <w:rFonts w:ascii="Times New Roman" w:hAnsi="Times New Roman" w:cs="Times New Roman"/>
          <w:b/>
          <w:sz w:val="24"/>
          <w:szCs w:val="24"/>
        </w:rPr>
      </w:pPr>
      <w:r w:rsidRPr="007404FA">
        <w:rPr>
          <w:rFonts w:ascii="Times New Roman" w:hAnsi="Times New Roman" w:cs="Times New Roman"/>
          <w:b/>
          <w:sz w:val="24"/>
          <w:szCs w:val="24"/>
        </w:rPr>
        <w:t>Обществ</w:t>
      </w:r>
      <w:r w:rsidR="00DC7A93">
        <w:rPr>
          <w:rFonts w:ascii="Times New Roman" w:hAnsi="Times New Roman" w:cs="Times New Roman"/>
          <w:b/>
          <w:sz w:val="24"/>
          <w:szCs w:val="24"/>
        </w:rPr>
        <w:t>ен интерес представлява и казусът</w:t>
      </w:r>
      <w:r w:rsidRPr="007404FA">
        <w:rPr>
          <w:rFonts w:ascii="Times New Roman" w:hAnsi="Times New Roman" w:cs="Times New Roman"/>
          <w:b/>
          <w:sz w:val="24"/>
          <w:szCs w:val="24"/>
        </w:rPr>
        <w:t>, при който са обработени лични данни на починали лица от политическите партии и коалиции в подписки за участие в изборите, проведени на 02.10.2022</w:t>
      </w:r>
      <w:r w:rsidR="00F06583" w:rsidRPr="007404FA">
        <w:rPr>
          <w:rFonts w:ascii="Times New Roman" w:hAnsi="Times New Roman" w:cs="Times New Roman"/>
          <w:b/>
          <w:sz w:val="24"/>
          <w:szCs w:val="24"/>
        </w:rPr>
        <w:t> г.</w:t>
      </w: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На свое заседание, проведено на 23.08.2022</w:t>
      </w:r>
      <w:r w:rsidR="00F06583" w:rsidRPr="007404FA">
        <w:rPr>
          <w:rFonts w:ascii="Times New Roman" w:eastAsia="Batang" w:hAnsi="Times New Roman" w:cs="Times New Roman"/>
          <w:sz w:val="24"/>
          <w:szCs w:val="24"/>
        </w:rPr>
        <w:t> г.</w:t>
      </w:r>
      <w:r w:rsidRPr="007404FA">
        <w:rPr>
          <w:rFonts w:ascii="Times New Roman" w:eastAsia="Batang" w:hAnsi="Times New Roman" w:cs="Times New Roman"/>
          <w:sz w:val="24"/>
          <w:szCs w:val="24"/>
        </w:rPr>
        <w:t xml:space="preserve">, КЗЛД се самосезира във връзка с обработването </w:t>
      </w:r>
      <w:r w:rsidR="00DC7A93">
        <w:rPr>
          <w:rFonts w:ascii="Times New Roman" w:eastAsia="Batang" w:hAnsi="Times New Roman" w:cs="Times New Roman"/>
          <w:sz w:val="24"/>
          <w:szCs w:val="24"/>
        </w:rPr>
        <w:t>на лични данни на починали лица</w:t>
      </w:r>
      <w:r w:rsidRPr="007404FA">
        <w:rPr>
          <w:rFonts w:ascii="Times New Roman" w:eastAsia="Batang" w:hAnsi="Times New Roman" w:cs="Times New Roman"/>
          <w:sz w:val="24"/>
          <w:szCs w:val="24"/>
        </w:rPr>
        <w:t xml:space="preserve"> от страна н</w:t>
      </w:r>
      <w:r w:rsidR="00DC7A93">
        <w:rPr>
          <w:rFonts w:ascii="Times New Roman" w:eastAsia="Batang" w:hAnsi="Times New Roman" w:cs="Times New Roman"/>
          <w:sz w:val="24"/>
          <w:szCs w:val="24"/>
        </w:rPr>
        <w:t>а политически партии и коалиции</w:t>
      </w:r>
      <w:r w:rsidRPr="007404FA">
        <w:rPr>
          <w:rFonts w:ascii="Times New Roman" w:eastAsia="Batang" w:hAnsi="Times New Roman" w:cs="Times New Roman"/>
          <w:sz w:val="24"/>
          <w:szCs w:val="24"/>
        </w:rPr>
        <w:t xml:space="preserve"> при произвеждане на изборите за народни представители на 2 октомври 2022</w:t>
      </w:r>
      <w:r w:rsidR="00F06583" w:rsidRPr="007404FA">
        <w:rPr>
          <w:rFonts w:ascii="Times New Roman" w:eastAsia="Batang" w:hAnsi="Times New Roman" w:cs="Times New Roman"/>
          <w:sz w:val="24"/>
          <w:szCs w:val="24"/>
        </w:rPr>
        <w:t> г.</w:t>
      </w:r>
      <w:r w:rsidRPr="007404FA">
        <w:rPr>
          <w:rFonts w:ascii="Times New Roman" w:eastAsia="Batang" w:hAnsi="Times New Roman" w:cs="Times New Roman"/>
          <w:sz w:val="24"/>
          <w:szCs w:val="24"/>
        </w:rPr>
        <w:t xml:space="preserve"> В резултат на извършените проверки са съставени и връчени актове за установяване на административни нарушения (АУАН) на</w:t>
      </w:r>
      <w:r w:rsidR="00DC7A93">
        <w:rPr>
          <w:rFonts w:ascii="Times New Roman" w:eastAsia="Batang" w:hAnsi="Times New Roman" w:cs="Times New Roman"/>
          <w:sz w:val="24"/>
          <w:szCs w:val="24"/>
        </w:rPr>
        <w:t xml:space="preserve"> съответните политически партии</w:t>
      </w:r>
      <w:r w:rsidRPr="007404FA">
        <w:rPr>
          <w:rFonts w:ascii="Times New Roman" w:eastAsia="Batang" w:hAnsi="Times New Roman" w:cs="Times New Roman"/>
          <w:sz w:val="24"/>
          <w:szCs w:val="24"/>
        </w:rPr>
        <w:t xml:space="preserve"> в качеството им на администратори на лични данни съгласно </w:t>
      </w:r>
      <w:r w:rsidR="00E06D6E">
        <w:rPr>
          <w:rFonts w:ascii="Times New Roman" w:eastAsia="Batang" w:hAnsi="Times New Roman" w:cs="Times New Roman"/>
          <w:sz w:val="24"/>
          <w:szCs w:val="24"/>
        </w:rPr>
        <w:t>§</w:t>
      </w:r>
      <w:r w:rsidRPr="007404FA">
        <w:rPr>
          <w:rFonts w:ascii="Times New Roman" w:eastAsia="Batang" w:hAnsi="Times New Roman" w:cs="Times New Roman"/>
          <w:sz w:val="24"/>
          <w:szCs w:val="24"/>
        </w:rPr>
        <w:t>1,</w:t>
      </w:r>
      <w:r w:rsidR="00F06583" w:rsidRPr="007404FA">
        <w:rPr>
          <w:rFonts w:ascii="Times New Roman" w:eastAsia="Batang" w:hAnsi="Times New Roman" w:cs="Times New Roman"/>
          <w:sz w:val="24"/>
          <w:szCs w:val="24"/>
        </w:rPr>
        <w:t xml:space="preserve"> т. </w:t>
      </w:r>
      <w:r w:rsidRPr="007404FA">
        <w:rPr>
          <w:rFonts w:ascii="Times New Roman" w:eastAsia="Batang" w:hAnsi="Times New Roman" w:cs="Times New Roman"/>
          <w:sz w:val="24"/>
          <w:szCs w:val="24"/>
        </w:rPr>
        <w:t xml:space="preserve">2 от Допълнителните разпоредби на </w:t>
      </w:r>
      <w:r w:rsidRPr="007404FA">
        <w:rPr>
          <w:rFonts w:ascii="Times New Roman" w:eastAsia="Batang" w:hAnsi="Times New Roman" w:cs="Times New Roman"/>
          <w:sz w:val="24"/>
          <w:szCs w:val="24"/>
        </w:rPr>
        <w:lastRenderedPageBreak/>
        <w:t>ЗЗЛД, за нарушение на</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25е,</w:t>
      </w:r>
      <w:r w:rsidR="00F06583" w:rsidRPr="007404FA">
        <w:rPr>
          <w:rFonts w:ascii="Times New Roman" w:eastAsia="Batang" w:hAnsi="Times New Roman" w:cs="Times New Roman"/>
          <w:sz w:val="24"/>
          <w:szCs w:val="24"/>
        </w:rPr>
        <w:t xml:space="preserve"> ал. </w:t>
      </w:r>
      <w:r w:rsidR="00DC7A93">
        <w:rPr>
          <w:rFonts w:ascii="Times New Roman" w:eastAsia="Batang" w:hAnsi="Times New Roman" w:cs="Times New Roman"/>
          <w:sz w:val="24"/>
          <w:szCs w:val="24"/>
        </w:rPr>
        <w:t>1 от ЗЗЛД</w:t>
      </w:r>
      <w:r w:rsidRPr="007404FA">
        <w:rPr>
          <w:rFonts w:ascii="Times New Roman" w:eastAsia="Batang" w:hAnsi="Times New Roman" w:cs="Times New Roman"/>
          <w:sz w:val="24"/>
          <w:szCs w:val="24"/>
        </w:rPr>
        <w:t xml:space="preserve"> за това, че са обработили без правно основание и в нарушение на обществения интерес лични данни (три имена и единен граждански номер) на почина</w:t>
      </w:r>
      <w:r w:rsidR="0055363C" w:rsidRPr="007404FA">
        <w:rPr>
          <w:rFonts w:ascii="Times New Roman" w:eastAsia="Batang" w:hAnsi="Times New Roman" w:cs="Times New Roman"/>
          <w:sz w:val="24"/>
          <w:szCs w:val="24"/>
        </w:rPr>
        <w:t>ли преди влизане в сила на Указ </w:t>
      </w:r>
      <w:r w:rsidR="00DC7A93">
        <w:rPr>
          <w:rFonts w:ascii="Times New Roman" w:eastAsia="Batang" w:hAnsi="Times New Roman" w:cs="Times New Roman"/>
          <w:sz w:val="24"/>
          <w:szCs w:val="24"/>
        </w:rPr>
        <w:t>№</w:t>
      </w:r>
      <w:r w:rsidRPr="007404FA">
        <w:rPr>
          <w:rFonts w:ascii="Times New Roman" w:eastAsia="Batang" w:hAnsi="Times New Roman" w:cs="Times New Roman"/>
          <w:sz w:val="24"/>
          <w:szCs w:val="24"/>
        </w:rPr>
        <w:t>213/01.08.2022</w:t>
      </w:r>
      <w:r w:rsidR="00F06583" w:rsidRPr="007404FA">
        <w:rPr>
          <w:rFonts w:ascii="Times New Roman" w:eastAsia="Batang" w:hAnsi="Times New Roman" w:cs="Times New Roman"/>
          <w:sz w:val="24"/>
          <w:szCs w:val="24"/>
        </w:rPr>
        <w:t> г.</w:t>
      </w:r>
      <w:r w:rsidR="00DC7A93">
        <w:rPr>
          <w:rFonts w:ascii="Times New Roman" w:eastAsia="Batang" w:hAnsi="Times New Roman" w:cs="Times New Roman"/>
          <w:sz w:val="24"/>
          <w:szCs w:val="24"/>
        </w:rPr>
        <w:t xml:space="preserve"> на п</w:t>
      </w:r>
      <w:r w:rsidRPr="007404FA">
        <w:rPr>
          <w:rFonts w:ascii="Times New Roman" w:eastAsia="Batang" w:hAnsi="Times New Roman" w:cs="Times New Roman"/>
          <w:sz w:val="24"/>
          <w:szCs w:val="24"/>
        </w:rPr>
        <w:t>резидента на Р</w:t>
      </w:r>
      <w:r w:rsidR="0055363C" w:rsidRPr="007404FA">
        <w:rPr>
          <w:rFonts w:ascii="Times New Roman" w:eastAsia="Batang" w:hAnsi="Times New Roman" w:cs="Times New Roman"/>
          <w:sz w:val="24"/>
          <w:szCs w:val="24"/>
        </w:rPr>
        <w:t>епублика</w:t>
      </w:r>
      <w:r w:rsidRPr="007404FA">
        <w:rPr>
          <w:rFonts w:ascii="Times New Roman" w:eastAsia="Batang" w:hAnsi="Times New Roman" w:cs="Times New Roman"/>
          <w:sz w:val="24"/>
          <w:szCs w:val="24"/>
        </w:rPr>
        <w:t xml:space="preserve"> България физически лица, които са вписани в </w:t>
      </w:r>
      <w:r w:rsidR="00DC7A93">
        <w:rPr>
          <w:rFonts w:ascii="Times New Roman" w:eastAsia="Batang" w:hAnsi="Times New Roman" w:cs="Times New Roman"/>
          <w:sz w:val="24"/>
          <w:szCs w:val="24"/>
        </w:rPr>
        <w:t>с</w:t>
      </w:r>
      <w:r w:rsidRPr="007404FA">
        <w:rPr>
          <w:rFonts w:ascii="Times New Roman" w:eastAsia="Batang" w:hAnsi="Times New Roman" w:cs="Times New Roman"/>
          <w:sz w:val="24"/>
          <w:szCs w:val="24"/>
        </w:rPr>
        <w:t>писъците на избирателите, подкрепящи регистрацията на партията/коалицията в ЦИК за участие в изборите за народни представители, насрочени за 02.10.2022</w:t>
      </w:r>
      <w:r w:rsidR="00F06583" w:rsidRPr="007404FA">
        <w:rPr>
          <w:rFonts w:ascii="Times New Roman" w:eastAsia="Batang" w:hAnsi="Times New Roman" w:cs="Times New Roman"/>
          <w:sz w:val="24"/>
          <w:szCs w:val="24"/>
        </w:rPr>
        <w:t> г.</w:t>
      </w:r>
      <w:r w:rsidRPr="007404FA">
        <w:rPr>
          <w:rFonts w:ascii="Times New Roman" w:eastAsia="Batang" w:hAnsi="Times New Roman" w:cs="Times New Roman"/>
          <w:sz w:val="24"/>
          <w:szCs w:val="24"/>
        </w:rPr>
        <w:t xml:space="preserve"> Издадени са 11</w:t>
      </w:r>
      <w:r w:rsidR="00D1189D" w:rsidRPr="007404FA">
        <w:rPr>
          <w:rFonts w:ascii="Times New Roman" w:eastAsia="Batang" w:hAnsi="Times New Roman" w:cs="Times New Roman"/>
          <w:sz w:val="24"/>
          <w:szCs w:val="24"/>
        </w:rPr>
        <w:t> бр.</w:t>
      </w:r>
      <w:r w:rsidR="00327A36" w:rsidRPr="007404FA">
        <w:rPr>
          <w:rFonts w:ascii="Times New Roman" w:eastAsia="Batang" w:hAnsi="Times New Roman" w:cs="Times New Roman"/>
          <w:sz w:val="24"/>
          <w:szCs w:val="24"/>
        </w:rPr>
        <w:t xml:space="preserve"> наказателни постановления (</w:t>
      </w:r>
      <w:r w:rsidRPr="007404FA">
        <w:rPr>
          <w:rFonts w:ascii="Times New Roman" w:eastAsia="Batang" w:hAnsi="Times New Roman" w:cs="Times New Roman"/>
          <w:sz w:val="24"/>
          <w:szCs w:val="24"/>
        </w:rPr>
        <w:t>НП</w:t>
      </w:r>
      <w:r w:rsidR="00327A36" w:rsidRPr="007404FA">
        <w:rPr>
          <w:rFonts w:ascii="Times New Roman" w:eastAsia="Batang" w:hAnsi="Times New Roman" w:cs="Times New Roman"/>
          <w:sz w:val="24"/>
          <w:szCs w:val="24"/>
        </w:rPr>
        <w:t>)</w:t>
      </w:r>
      <w:r w:rsidRPr="007404FA">
        <w:rPr>
          <w:rFonts w:ascii="Times New Roman" w:eastAsia="Batang" w:hAnsi="Times New Roman" w:cs="Times New Roman"/>
          <w:sz w:val="24"/>
          <w:szCs w:val="24"/>
        </w:rPr>
        <w:t xml:space="preserve"> за нарушение на</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25е,</w:t>
      </w:r>
      <w:r w:rsidR="00F06583" w:rsidRPr="007404FA">
        <w:rPr>
          <w:rFonts w:ascii="Times New Roman" w:eastAsia="Batang" w:hAnsi="Times New Roman" w:cs="Times New Roman"/>
          <w:sz w:val="24"/>
          <w:szCs w:val="24"/>
        </w:rPr>
        <w:t xml:space="preserve"> ал. </w:t>
      </w:r>
      <w:r w:rsidRPr="007404FA">
        <w:rPr>
          <w:rFonts w:ascii="Times New Roman" w:eastAsia="Batang" w:hAnsi="Times New Roman" w:cs="Times New Roman"/>
          <w:sz w:val="24"/>
          <w:szCs w:val="24"/>
        </w:rPr>
        <w:t>1 от ЗЗЛД. Без констатирани нарушения от страна на политическите субекти са приключили 5</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 xml:space="preserve"> проверки.</w:t>
      </w:r>
    </w:p>
    <w:p w:rsidR="002E0A89" w:rsidRPr="007404FA" w:rsidRDefault="0063284A"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В резултат на извършените проверки са съставени 30</w:t>
      </w:r>
      <w:r w:rsidR="00D1189D" w:rsidRPr="007404FA">
        <w:rPr>
          <w:rFonts w:ascii="Times New Roman" w:hAnsi="Times New Roman" w:cs="Times New Roman"/>
          <w:sz w:val="24"/>
          <w:szCs w:val="24"/>
        </w:rPr>
        <w:t> бр.</w:t>
      </w:r>
      <w:r w:rsidRPr="007404FA">
        <w:rPr>
          <w:rFonts w:ascii="Times New Roman" w:hAnsi="Times New Roman" w:cs="Times New Roman"/>
          <w:sz w:val="24"/>
          <w:szCs w:val="24"/>
        </w:rPr>
        <w:t xml:space="preserve"> </w:t>
      </w:r>
      <w:r w:rsidR="00327A36" w:rsidRPr="007404FA">
        <w:rPr>
          <w:rFonts w:ascii="Times New Roman" w:hAnsi="Times New Roman" w:cs="Times New Roman"/>
          <w:sz w:val="24"/>
          <w:szCs w:val="24"/>
        </w:rPr>
        <w:t>акта за установяване н</w:t>
      </w:r>
      <w:r w:rsidR="00DC7A93">
        <w:rPr>
          <w:rFonts w:ascii="Times New Roman" w:hAnsi="Times New Roman" w:cs="Times New Roman"/>
          <w:sz w:val="24"/>
          <w:szCs w:val="24"/>
        </w:rPr>
        <w:t>а</w:t>
      </w:r>
      <w:r w:rsidR="00327A36" w:rsidRPr="007404FA">
        <w:rPr>
          <w:rFonts w:ascii="Times New Roman" w:hAnsi="Times New Roman" w:cs="Times New Roman"/>
          <w:sz w:val="24"/>
          <w:szCs w:val="24"/>
        </w:rPr>
        <w:t xml:space="preserve"> административно нарушение (АУАН) </w:t>
      </w:r>
      <w:r w:rsidRPr="007404FA">
        <w:rPr>
          <w:rFonts w:ascii="Times New Roman" w:hAnsi="Times New Roman" w:cs="Times New Roman"/>
          <w:sz w:val="24"/>
          <w:szCs w:val="24"/>
        </w:rPr>
        <w:t>на политическите субекти. По 11</w:t>
      </w:r>
      <w:r w:rsidR="00D1189D" w:rsidRPr="007404FA">
        <w:rPr>
          <w:rFonts w:ascii="Times New Roman" w:hAnsi="Times New Roman" w:cs="Times New Roman"/>
          <w:sz w:val="24"/>
          <w:szCs w:val="24"/>
        </w:rPr>
        <w:t> бр.</w:t>
      </w:r>
      <w:r w:rsidRPr="007404FA">
        <w:rPr>
          <w:rFonts w:ascii="Times New Roman" w:hAnsi="Times New Roman" w:cs="Times New Roman"/>
          <w:sz w:val="24"/>
          <w:szCs w:val="24"/>
        </w:rPr>
        <w:t xml:space="preserve"> </w:t>
      </w:r>
      <w:r w:rsidR="00DC7A93">
        <w:rPr>
          <w:rFonts w:ascii="Times New Roman" w:hAnsi="Times New Roman" w:cs="Times New Roman"/>
          <w:sz w:val="24"/>
          <w:szCs w:val="24"/>
        </w:rPr>
        <w:t>от образуваните административно</w:t>
      </w:r>
      <w:r w:rsidRPr="007404FA">
        <w:rPr>
          <w:rFonts w:ascii="Times New Roman" w:hAnsi="Times New Roman" w:cs="Times New Roman"/>
          <w:sz w:val="24"/>
          <w:szCs w:val="24"/>
        </w:rPr>
        <w:t>наказателните производства са постъпили предложения по</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 xml:space="preserve">58 г от ЗАНН </w:t>
      </w:r>
      <w:r w:rsidR="002E0A89" w:rsidRPr="007404FA">
        <w:rPr>
          <w:rFonts w:ascii="Times New Roman" w:hAnsi="Times New Roman" w:cs="Times New Roman"/>
          <w:sz w:val="24"/>
          <w:szCs w:val="24"/>
        </w:rPr>
        <w:t xml:space="preserve">за сключване на споразумения. </w:t>
      </w:r>
    </w:p>
    <w:p w:rsidR="0063284A" w:rsidRPr="007404FA" w:rsidRDefault="0063284A"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На основание</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54,</w:t>
      </w:r>
      <w:r w:rsidR="00F06583" w:rsidRPr="007404FA">
        <w:rPr>
          <w:rFonts w:ascii="Times New Roman" w:hAnsi="Times New Roman" w:cs="Times New Roman"/>
          <w:sz w:val="24"/>
          <w:szCs w:val="24"/>
        </w:rPr>
        <w:t xml:space="preserve"> ал. </w:t>
      </w:r>
      <w:r w:rsidRPr="007404FA">
        <w:rPr>
          <w:rFonts w:ascii="Times New Roman" w:hAnsi="Times New Roman" w:cs="Times New Roman"/>
          <w:sz w:val="24"/>
          <w:szCs w:val="24"/>
        </w:rPr>
        <w:t>1,</w:t>
      </w:r>
      <w:r w:rsidR="00F06583" w:rsidRPr="007404FA">
        <w:rPr>
          <w:rFonts w:ascii="Times New Roman" w:hAnsi="Times New Roman" w:cs="Times New Roman"/>
          <w:sz w:val="24"/>
          <w:szCs w:val="24"/>
        </w:rPr>
        <w:t xml:space="preserve"> т. </w:t>
      </w:r>
      <w:r w:rsidRPr="007404FA">
        <w:rPr>
          <w:rFonts w:ascii="Times New Roman" w:hAnsi="Times New Roman" w:cs="Times New Roman"/>
          <w:sz w:val="24"/>
          <w:szCs w:val="24"/>
        </w:rPr>
        <w:t>1 от ЗАНН с резолюция са прекратени 3</w:t>
      </w:r>
      <w:r w:rsidR="00D1189D" w:rsidRPr="007404FA">
        <w:rPr>
          <w:rFonts w:ascii="Times New Roman" w:hAnsi="Times New Roman" w:cs="Times New Roman"/>
          <w:sz w:val="24"/>
          <w:szCs w:val="24"/>
        </w:rPr>
        <w:t> бр.</w:t>
      </w:r>
      <w:r w:rsidRPr="007404FA">
        <w:rPr>
          <w:rFonts w:ascii="Times New Roman" w:hAnsi="Times New Roman" w:cs="Times New Roman"/>
          <w:sz w:val="24"/>
          <w:szCs w:val="24"/>
        </w:rPr>
        <w:t xml:space="preserve"> административнонаказателните производства. В процес на връчване са 5</w:t>
      </w:r>
      <w:r w:rsidR="00D1189D" w:rsidRPr="007404FA">
        <w:rPr>
          <w:rFonts w:ascii="Times New Roman" w:hAnsi="Times New Roman" w:cs="Times New Roman"/>
          <w:sz w:val="24"/>
          <w:szCs w:val="24"/>
        </w:rPr>
        <w:t> бр.</w:t>
      </w:r>
      <w:r w:rsidRPr="007404FA">
        <w:rPr>
          <w:rFonts w:ascii="Times New Roman" w:hAnsi="Times New Roman" w:cs="Times New Roman"/>
          <w:sz w:val="24"/>
          <w:szCs w:val="24"/>
        </w:rPr>
        <w:t xml:space="preserve"> АУАН.</w:t>
      </w:r>
    </w:p>
    <w:p w:rsidR="0063284A" w:rsidRPr="007404FA" w:rsidRDefault="0063284A"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В хода на проверките е констатирано, че 10</w:t>
      </w:r>
      <w:r w:rsidR="00D1189D" w:rsidRPr="007404FA">
        <w:rPr>
          <w:rFonts w:ascii="Times New Roman" w:hAnsi="Times New Roman" w:cs="Times New Roman"/>
          <w:sz w:val="24"/>
          <w:szCs w:val="24"/>
        </w:rPr>
        <w:t> бр.</w:t>
      </w:r>
      <w:r w:rsidRPr="007404FA">
        <w:rPr>
          <w:rFonts w:ascii="Times New Roman" w:hAnsi="Times New Roman" w:cs="Times New Roman"/>
          <w:sz w:val="24"/>
          <w:szCs w:val="24"/>
        </w:rPr>
        <w:t xml:space="preserve"> политически субекта са обработили незаконосъобразно данните на по-малко от 10 починали лица в съответните им списъци на избирателите, подкрепящи регистрацията им за участие в изборите за народни представители, насрочени за 02.10.2022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което представлява маловажен случай и на основание</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28,</w:t>
      </w:r>
      <w:r w:rsidR="00F06583" w:rsidRPr="007404FA">
        <w:rPr>
          <w:rFonts w:ascii="Times New Roman" w:hAnsi="Times New Roman" w:cs="Times New Roman"/>
          <w:sz w:val="24"/>
          <w:szCs w:val="24"/>
        </w:rPr>
        <w:t xml:space="preserve"> ал. </w:t>
      </w:r>
      <w:r w:rsidRPr="007404FA">
        <w:rPr>
          <w:rFonts w:ascii="Times New Roman" w:hAnsi="Times New Roman" w:cs="Times New Roman"/>
          <w:sz w:val="24"/>
          <w:szCs w:val="24"/>
        </w:rPr>
        <w:t>1 от ЗАНН наказващият орган</w:t>
      </w:r>
      <w:r w:rsidR="00553661" w:rsidRPr="007404FA">
        <w:rPr>
          <w:rFonts w:ascii="Times New Roman" w:hAnsi="Times New Roman" w:cs="Times New Roman"/>
          <w:sz w:val="24"/>
          <w:szCs w:val="24"/>
        </w:rPr>
        <w:t xml:space="preserve"> – </w:t>
      </w:r>
      <w:r w:rsidR="00DC7A93">
        <w:rPr>
          <w:rFonts w:ascii="Times New Roman" w:hAnsi="Times New Roman" w:cs="Times New Roman"/>
          <w:sz w:val="24"/>
          <w:szCs w:val="24"/>
        </w:rPr>
        <w:t>п</w:t>
      </w:r>
      <w:r w:rsidRPr="007404FA">
        <w:rPr>
          <w:rFonts w:ascii="Times New Roman" w:hAnsi="Times New Roman" w:cs="Times New Roman"/>
          <w:sz w:val="24"/>
          <w:szCs w:val="24"/>
        </w:rPr>
        <w:t>редседателя</w:t>
      </w:r>
      <w:r w:rsidR="009E3C85" w:rsidRPr="007404FA">
        <w:rPr>
          <w:rFonts w:ascii="Times New Roman" w:hAnsi="Times New Roman" w:cs="Times New Roman"/>
          <w:sz w:val="24"/>
          <w:szCs w:val="24"/>
        </w:rPr>
        <w:t>т</w:t>
      </w:r>
      <w:r w:rsidRPr="007404FA">
        <w:rPr>
          <w:rFonts w:ascii="Times New Roman" w:hAnsi="Times New Roman" w:cs="Times New Roman"/>
          <w:sz w:val="24"/>
          <w:szCs w:val="24"/>
        </w:rPr>
        <w:t xml:space="preserve"> на КЗЛД, </w:t>
      </w:r>
      <w:r w:rsidR="00F361BD" w:rsidRPr="007404FA">
        <w:rPr>
          <w:rFonts w:ascii="Times New Roman" w:hAnsi="Times New Roman" w:cs="Times New Roman"/>
          <w:sz w:val="24"/>
          <w:szCs w:val="24"/>
        </w:rPr>
        <w:t xml:space="preserve">е </w:t>
      </w:r>
      <w:r w:rsidRPr="007404FA">
        <w:rPr>
          <w:rFonts w:ascii="Times New Roman" w:hAnsi="Times New Roman" w:cs="Times New Roman"/>
          <w:sz w:val="24"/>
          <w:szCs w:val="24"/>
        </w:rPr>
        <w:t>отправи</w:t>
      </w:r>
      <w:r w:rsidR="00F361BD" w:rsidRPr="007404FA">
        <w:rPr>
          <w:rFonts w:ascii="Times New Roman" w:hAnsi="Times New Roman" w:cs="Times New Roman"/>
          <w:sz w:val="24"/>
          <w:szCs w:val="24"/>
        </w:rPr>
        <w:t>л</w:t>
      </w:r>
      <w:r w:rsidRPr="007404FA">
        <w:rPr>
          <w:rFonts w:ascii="Times New Roman" w:hAnsi="Times New Roman" w:cs="Times New Roman"/>
          <w:sz w:val="24"/>
          <w:szCs w:val="24"/>
        </w:rPr>
        <w:t xml:space="preserve"> писмено предупреждение до тях.</w:t>
      </w:r>
    </w:p>
    <w:p w:rsidR="0063284A" w:rsidRPr="007404FA" w:rsidRDefault="0063284A" w:rsidP="00DB6B05">
      <w:pPr>
        <w:spacing w:line="360" w:lineRule="auto"/>
        <w:ind w:firstLine="709"/>
        <w:jc w:val="both"/>
        <w:rPr>
          <w:rFonts w:ascii="Times New Roman" w:hAnsi="Times New Roman" w:cs="Times New Roman"/>
          <w:b/>
          <w:sz w:val="24"/>
          <w:szCs w:val="24"/>
        </w:rPr>
      </w:pPr>
      <w:r w:rsidRPr="007404FA">
        <w:rPr>
          <w:rFonts w:ascii="Times New Roman" w:hAnsi="Times New Roman" w:cs="Times New Roman"/>
          <w:b/>
          <w:sz w:val="24"/>
          <w:szCs w:val="24"/>
        </w:rPr>
        <w:t xml:space="preserve">Интересен казус, завършил с издаване на </w:t>
      </w:r>
      <w:r w:rsidR="00DC7A93">
        <w:rPr>
          <w:rFonts w:ascii="Times New Roman" w:hAnsi="Times New Roman" w:cs="Times New Roman"/>
          <w:b/>
          <w:sz w:val="24"/>
          <w:szCs w:val="24"/>
        </w:rPr>
        <w:t>р</w:t>
      </w:r>
      <w:r w:rsidRPr="007404FA">
        <w:rPr>
          <w:rFonts w:ascii="Times New Roman" w:hAnsi="Times New Roman" w:cs="Times New Roman"/>
          <w:b/>
          <w:sz w:val="24"/>
          <w:szCs w:val="24"/>
        </w:rPr>
        <w:t>ешение на КЗЛД за налагане на корективна мярка „разпореждане“ на „Гловоап България“ ЕООД (Glovo)</w:t>
      </w:r>
    </w:p>
    <w:p w:rsidR="0063284A" w:rsidRPr="007404FA" w:rsidRDefault="0063284A"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В КЗЛД постъпва сигнал относно изискване за предоставяне на снимка на документа за самоличност на потребител на платформа за продажба на продукти и услуги от местни магазини и ресторанти след блокиране на профила му. Установено е,</w:t>
      </w:r>
      <w:r w:rsidR="00DC7A93">
        <w:rPr>
          <w:rFonts w:ascii="Times New Roman" w:hAnsi="Times New Roman" w:cs="Times New Roman"/>
          <w:sz w:val="24"/>
          <w:szCs w:val="24"/>
        </w:rPr>
        <w:t xml:space="preserve"> че собственикът на платформата</w:t>
      </w:r>
      <w:r w:rsidRPr="007404FA">
        <w:rPr>
          <w:rFonts w:ascii="Times New Roman" w:hAnsi="Times New Roman" w:cs="Times New Roman"/>
          <w:sz w:val="24"/>
          <w:szCs w:val="24"/>
        </w:rPr>
        <w:t xml:space="preserve"> в качеството </w:t>
      </w:r>
      <w:r w:rsidR="00DC7A93">
        <w:rPr>
          <w:rFonts w:ascii="Times New Roman" w:hAnsi="Times New Roman" w:cs="Times New Roman"/>
          <w:sz w:val="24"/>
          <w:szCs w:val="24"/>
        </w:rPr>
        <w:t>на администратор на лични данни</w:t>
      </w:r>
      <w:r w:rsidRPr="007404FA">
        <w:rPr>
          <w:rFonts w:ascii="Times New Roman" w:hAnsi="Times New Roman" w:cs="Times New Roman"/>
          <w:sz w:val="24"/>
          <w:szCs w:val="24"/>
        </w:rPr>
        <w:t xml:space="preserve"> съгласно</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4,</w:t>
      </w:r>
      <w:r w:rsidR="00F06583" w:rsidRPr="007404FA">
        <w:rPr>
          <w:rFonts w:ascii="Times New Roman" w:hAnsi="Times New Roman" w:cs="Times New Roman"/>
          <w:sz w:val="24"/>
          <w:szCs w:val="24"/>
        </w:rPr>
        <w:t xml:space="preserve"> т. </w:t>
      </w:r>
      <w:r w:rsidRPr="007404FA">
        <w:rPr>
          <w:rFonts w:ascii="Times New Roman" w:hAnsi="Times New Roman" w:cs="Times New Roman"/>
          <w:sz w:val="24"/>
          <w:szCs w:val="24"/>
        </w:rPr>
        <w:t>7 от Регламент (ЕС) 2016/679, осъществявайки дейност по предоставяне на дистанционна продажба на стоки и услуги, обработва лични данни на свои клиенти чрез платформата, като изисква предоставянето на снимка на документа за самоличност при засечена нерегламентирана</w:t>
      </w:r>
      <w:r w:rsidR="00DC7A93">
        <w:rPr>
          <w:rFonts w:ascii="Times New Roman" w:hAnsi="Times New Roman" w:cs="Times New Roman"/>
          <w:sz w:val="24"/>
          <w:szCs w:val="24"/>
        </w:rPr>
        <w:t xml:space="preserve"> активност в профила на клиента</w:t>
      </w:r>
      <w:r w:rsidRPr="007404FA">
        <w:rPr>
          <w:rFonts w:ascii="Times New Roman" w:hAnsi="Times New Roman" w:cs="Times New Roman"/>
          <w:sz w:val="24"/>
          <w:szCs w:val="24"/>
        </w:rPr>
        <w:t xml:space="preserve"> като част от процедурата за установяване на идентичността на клиенти, без това да е предвидено в з</w:t>
      </w:r>
      <w:r w:rsidR="00DC7A93">
        <w:rPr>
          <w:rFonts w:ascii="Times New Roman" w:hAnsi="Times New Roman" w:cs="Times New Roman"/>
          <w:sz w:val="24"/>
          <w:szCs w:val="24"/>
        </w:rPr>
        <w:t>акон. Документът за самоличност</w:t>
      </w:r>
      <w:r w:rsidRPr="007404FA">
        <w:rPr>
          <w:rFonts w:ascii="Times New Roman" w:hAnsi="Times New Roman" w:cs="Times New Roman"/>
          <w:sz w:val="24"/>
          <w:szCs w:val="24"/>
        </w:rPr>
        <w:t xml:space="preserve"> поради съдържащите се в него големи като обем и важност лични данни се ползва със завишена</w:t>
      </w:r>
      <w:r w:rsidR="00DC7A93">
        <w:rPr>
          <w:rFonts w:ascii="Times New Roman" w:hAnsi="Times New Roman" w:cs="Times New Roman"/>
          <w:sz w:val="24"/>
          <w:szCs w:val="24"/>
        </w:rPr>
        <w:t xml:space="preserve"> степен на защита и поради това</w:t>
      </w:r>
      <w:r w:rsidRPr="007404FA">
        <w:rPr>
          <w:rFonts w:ascii="Times New Roman" w:hAnsi="Times New Roman" w:cs="Times New Roman"/>
          <w:sz w:val="24"/>
          <w:szCs w:val="24"/>
        </w:rPr>
        <w:t xml:space="preserve"> съгласно разпоредбите на</w:t>
      </w:r>
      <w:r w:rsidR="00F06583" w:rsidRPr="007404FA">
        <w:rPr>
          <w:rFonts w:ascii="Times New Roman" w:hAnsi="Times New Roman" w:cs="Times New Roman"/>
          <w:sz w:val="24"/>
          <w:szCs w:val="24"/>
        </w:rPr>
        <w:t xml:space="preserve"> чл. </w:t>
      </w:r>
      <w:r w:rsidR="00D95EF6">
        <w:rPr>
          <w:rFonts w:ascii="Times New Roman" w:hAnsi="Times New Roman" w:cs="Times New Roman"/>
          <w:sz w:val="24"/>
          <w:szCs w:val="24"/>
        </w:rPr>
        <w:t>25г от ЗЗЛД неговото копиране (и в по-</w:t>
      </w:r>
      <w:r w:rsidRPr="007404FA">
        <w:rPr>
          <w:rFonts w:ascii="Times New Roman" w:hAnsi="Times New Roman" w:cs="Times New Roman"/>
          <w:sz w:val="24"/>
          <w:szCs w:val="24"/>
        </w:rPr>
        <w:t xml:space="preserve">широк смисъл неговото заснемане и запазване) е разрешено само в случаите, когато това е предвидено в закон или в приет въз основа на него </w:t>
      </w:r>
      <w:r w:rsidRPr="007404FA">
        <w:rPr>
          <w:rFonts w:ascii="Times New Roman" w:hAnsi="Times New Roman" w:cs="Times New Roman"/>
          <w:sz w:val="24"/>
          <w:szCs w:val="24"/>
        </w:rPr>
        <w:lastRenderedPageBreak/>
        <w:t>подзаконов нормативен акт. Изискването на</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25г от ЗЗЛД ограничава приложимостта на обработването на копие от документа за самоличност като основание за обработването на лични данни.</w:t>
      </w:r>
    </w:p>
    <w:p w:rsidR="0063284A" w:rsidRPr="007404FA" w:rsidRDefault="0063284A"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В резултат на това КЗЛД издава „разпореждане“ на основание</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 xml:space="preserve">58, </w:t>
      </w:r>
      <w:r w:rsidR="00E06D6E">
        <w:rPr>
          <w:rFonts w:ascii="Times New Roman" w:hAnsi="Times New Roman" w:cs="Times New Roman"/>
          <w:sz w:val="24"/>
          <w:szCs w:val="24"/>
        </w:rPr>
        <w:t>§</w:t>
      </w:r>
      <w:r w:rsidRPr="007404FA">
        <w:rPr>
          <w:rFonts w:ascii="Times New Roman" w:hAnsi="Times New Roman" w:cs="Times New Roman"/>
          <w:sz w:val="24"/>
          <w:szCs w:val="24"/>
        </w:rPr>
        <w:t xml:space="preserve">2, б. „г“ от Регламент (ЕС) 2016/679 </w:t>
      </w:r>
      <w:r w:rsidR="004A1017" w:rsidRPr="007404FA">
        <w:rPr>
          <w:rFonts w:ascii="Times New Roman" w:hAnsi="Times New Roman" w:cs="Times New Roman"/>
          <w:sz w:val="24"/>
          <w:szCs w:val="24"/>
        </w:rPr>
        <w:t>собственикът на платформата</w:t>
      </w:r>
      <w:r w:rsidRPr="007404FA">
        <w:rPr>
          <w:rFonts w:ascii="Times New Roman" w:hAnsi="Times New Roman" w:cs="Times New Roman"/>
          <w:sz w:val="24"/>
          <w:szCs w:val="24"/>
        </w:rPr>
        <w:t xml:space="preserve"> да съобрази операциите по обработване на данни с разпоредбите на Регламента, като преустанови изискването за предоставяне на снимка на документа за самоличност на свои клиенти на платформата, без наличие на правно основание.</w:t>
      </w:r>
    </w:p>
    <w:p w:rsidR="0063284A" w:rsidRPr="007404FA" w:rsidRDefault="0063284A" w:rsidP="00DB6B05">
      <w:pPr>
        <w:spacing w:line="360" w:lineRule="auto"/>
        <w:ind w:firstLine="709"/>
        <w:jc w:val="both"/>
        <w:rPr>
          <w:rFonts w:ascii="Times New Roman" w:hAnsi="Times New Roman" w:cs="Times New Roman"/>
          <w:b/>
          <w:sz w:val="24"/>
          <w:szCs w:val="24"/>
        </w:rPr>
      </w:pPr>
      <w:r w:rsidRPr="007404FA">
        <w:rPr>
          <w:rFonts w:ascii="Times New Roman" w:hAnsi="Times New Roman" w:cs="Times New Roman"/>
          <w:b/>
          <w:sz w:val="24"/>
          <w:szCs w:val="24"/>
        </w:rPr>
        <w:t xml:space="preserve">Казус, по който с </w:t>
      </w:r>
      <w:r w:rsidR="00332193">
        <w:rPr>
          <w:rFonts w:ascii="Times New Roman" w:hAnsi="Times New Roman" w:cs="Times New Roman"/>
          <w:b/>
          <w:sz w:val="24"/>
          <w:szCs w:val="24"/>
        </w:rPr>
        <w:t>р</w:t>
      </w:r>
      <w:r w:rsidRPr="007404FA">
        <w:rPr>
          <w:rFonts w:ascii="Times New Roman" w:hAnsi="Times New Roman" w:cs="Times New Roman"/>
          <w:b/>
          <w:sz w:val="24"/>
          <w:szCs w:val="24"/>
        </w:rPr>
        <w:t>ешение КЗЛД налага корективна мярка „</w:t>
      </w:r>
      <w:r w:rsidR="00332193" w:rsidRPr="007404FA">
        <w:rPr>
          <w:rFonts w:ascii="Times New Roman" w:hAnsi="Times New Roman" w:cs="Times New Roman"/>
          <w:b/>
          <w:sz w:val="24"/>
          <w:szCs w:val="24"/>
        </w:rPr>
        <w:t>официално</w:t>
      </w:r>
      <w:r w:rsidRPr="007404FA">
        <w:rPr>
          <w:rFonts w:ascii="Times New Roman" w:hAnsi="Times New Roman" w:cs="Times New Roman"/>
          <w:b/>
          <w:sz w:val="24"/>
          <w:szCs w:val="24"/>
        </w:rPr>
        <w:t xml:space="preserve"> предупреждение“ на „Йеттел България“ ЕАД</w:t>
      </w:r>
    </w:p>
    <w:p w:rsidR="0063284A" w:rsidRPr="007404FA" w:rsidRDefault="00F66BE8"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През отчетния период в</w:t>
      </w:r>
      <w:r w:rsidR="0063284A" w:rsidRPr="007404FA">
        <w:rPr>
          <w:rFonts w:ascii="Times New Roman" w:hAnsi="Times New Roman" w:cs="Times New Roman"/>
          <w:sz w:val="24"/>
          <w:szCs w:val="24"/>
        </w:rPr>
        <w:t xml:space="preserve"> КЗЛД постъпва сигнал относно незаконосъобразно обработване на личните данни на физическо лице от страна на телекомуникационна компания чрез сключване на застрахов</w:t>
      </w:r>
      <w:r w:rsidR="00332193">
        <w:rPr>
          <w:rFonts w:ascii="Times New Roman" w:hAnsi="Times New Roman" w:cs="Times New Roman"/>
          <w:sz w:val="24"/>
          <w:szCs w:val="24"/>
        </w:rPr>
        <w:t>ателна полица на негово име</w:t>
      </w:r>
      <w:r w:rsidR="0063284A" w:rsidRPr="007404FA">
        <w:rPr>
          <w:rFonts w:ascii="Times New Roman" w:hAnsi="Times New Roman" w:cs="Times New Roman"/>
          <w:sz w:val="24"/>
          <w:szCs w:val="24"/>
        </w:rPr>
        <w:t xml:space="preserve"> без негово знание и съгласие. По време на проверка по безспорен и категоричен начин е установено, че подписите и изписаните имена в застрахователната полица са положени и изписани от служител на компанията. В конкретния случай</w:t>
      </w:r>
      <w:r w:rsidR="00332193">
        <w:rPr>
          <w:rFonts w:ascii="Times New Roman" w:hAnsi="Times New Roman" w:cs="Times New Roman"/>
          <w:sz w:val="24"/>
          <w:szCs w:val="24"/>
        </w:rPr>
        <w:t xml:space="preserve"> дружеството</w:t>
      </w:r>
      <w:r w:rsidR="0063284A" w:rsidRPr="007404FA">
        <w:rPr>
          <w:rFonts w:ascii="Times New Roman" w:hAnsi="Times New Roman" w:cs="Times New Roman"/>
          <w:sz w:val="24"/>
          <w:szCs w:val="24"/>
        </w:rPr>
        <w:t xml:space="preserve"> в качеството </w:t>
      </w:r>
      <w:r w:rsidR="00332193">
        <w:rPr>
          <w:rFonts w:ascii="Times New Roman" w:hAnsi="Times New Roman" w:cs="Times New Roman"/>
          <w:sz w:val="24"/>
          <w:szCs w:val="24"/>
        </w:rPr>
        <w:t>на администратор на лични данни</w:t>
      </w:r>
      <w:r w:rsidR="0063284A" w:rsidRPr="007404FA">
        <w:rPr>
          <w:rFonts w:ascii="Times New Roman" w:hAnsi="Times New Roman" w:cs="Times New Roman"/>
          <w:sz w:val="24"/>
          <w:szCs w:val="24"/>
        </w:rPr>
        <w:t xml:space="preserve"> при осъществяване на дейността си по предоставяне на мобилни услуги е събрал</w:t>
      </w:r>
      <w:r w:rsidRPr="007404FA">
        <w:rPr>
          <w:rFonts w:ascii="Times New Roman" w:hAnsi="Times New Roman" w:cs="Times New Roman"/>
          <w:sz w:val="24"/>
          <w:szCs w:val="24"/>
        </w:rPr>
        <w:t>о</w:t>
      </w:r>
      <w:r w:rsidR="0063284A" w:rsidRPr="007404FA">
        <w:rPr>
          <w:rFonts w:ascii="Times New Roman" w:hAnsi="Times New Roman" w:cs="Times New Roman"/>
          <w:sz w:val="24"/>
          <w:szCs w:val="24"/>
        </w:rPr>
        <w:t xml:space="preserve"> за конкретни, изрично указани и легитимни цели личните данни на физическото лице, но е обработил</w:t>
      </w:r>
      <w:r w:rsidRPr="007404FA">
        <w:rPr>
          <w:rFonts w:ascii="Times New Roman" w:hAnsi="Times New Roman" w:cs="Times New Roman"/>
          <w:sz w:val="24"/>
          <w:szCs w:val="24"/>
        </w:rPr>
        <w:t>о</w:t>
      </w:r>
      <w:r w:rsidR="0063284A" w:rsidRPr="007404FA">
        <w:rPr>
          <w:rFonts w:ascii="Times New Roman" w:hAnsi="Times New Roman" w:cs="Times New Roman"/>
          <w:sz w:val="24"/>
          <w:szCs w:val="24"/>
        </w:rPr>
        <w:t xml:space="preserve"> личните му данни (имена, дата на раждане, адрес и телефон) по-нататък по начин, несъвместим с първоначалните цели, за които ги е събрал</w:t>
      </w:r>
      <w:r w:rsidRPr="007404FA">
        <w:rPr>
          <w:rFonts w:ascii="Times New Roman" w:hAnsi="Times New Roman" w:cs="Times New Roman"/>
          <w:sz w:val="24"/>
          <w:szCs w:val="24"/>
        </w:rPr>
        <w:t>о</w:t>
      </w:r>
      <w:r w:rsidR="0063284A" w:rsidRPr="007404FA">
        <w:rPr>
          <w:rFonts w:ascii="Times New Roman" w:hAnsi="Times New Roman" w:cs="Times New Roman"/>
          <w:sz w:val="24"/>
          <w:szCs w:val="24"/>
        </w:rPr>
        <w:t>, като ги е използвал</w:t>
      </w:r>
      <w:r w:rsidRPr="007404FA">
        <w:rPr>
          <w:rFonts w:ascii="Times New Roman" w:hAnsi="Times New Roman" w:cs="Times New Roman"/>
          <w:sz w:val="24"/>
          <w:szCs w:val="24"/>
        </w:rPr>
        <w:t>о</w:t>
      </w:r>
      <w:r w:rsidR="0063284A" w:rsidRPr="007404FA">
        <w:rPr>
          <w:rFonts w:ascii="Times New Roman" w:hAnsi="Times New Roman" w:cs="Times New Roman"/>
          <w:sz w:val="24"/>
          <w:szCs w:val="24"/>
        </w:rPr>
        <w:t xml:space="preserve"> за сключването на застрахователна полица на негово име, с което е нарушена разпоредбата на</w:t>
      </w:r>
      <w:r w:rsidR="00F06583" w:rsidRPr="007404FA">
        <w:rPr>
          <w:rFonts w:ascii="Times New Roman" w:hAnsi="Times New Roman" w:cs="Times New Roman"/>
          <w:sz w:val="24"/>
          <w:szCs w:val="24"/>
        </w:rPr>
        <w:t xml:space="preserve"> чл. </w:t>
      </w:r>
      <w:r w:rsidR="0063284A" w:rsidRPr="007404FA">
        <w:rPr>
          <w:rFonts w:ascii="Times New Roman" w:hAnsi="Times New Roman" w:cs="Times New Roman"/>
          <w:sz w:val="24"/>
          <w:szCs w:val="24"/>
        </w:rPr>
        <w:t xml:space="preserve">5, </w:t>
      </w:r>
      <w:r w:rsidR="00E06D6E">
        <w:rPr>
          <w:rFonts w:ascii="Times New Roman" w:hAnsi="Times New Roman" w:cs="Times New Roman"/>
          <w:sz w:val="24"/>
          <w:szCs w:val="24"/>
        </w:rPr>
        <w:t>§</w:t>
      </w:r>
      <w:r w:rsidR="0063284A" w:rsidRPr="007404FA">
        <w:rPr>
          <w:rFonts w:ascii="Times New Roman" w:hAnsi="Times New Roman" w:cs="Times New Roman"/>
          <w:sz w:val="24"/>
          <w:szCs w:val="24"/>
        </w:rPr>
        <w:t>1, буква „б“ от Регламент (ЕС) 2016/679 на Европейския парламент и на Съвета. От дружеството са изискани на случаен принцип други застрахователни полици, при което не са установени други застрахователни полици, сключени без знанието и съгласието на лицата.</w:t>
      </w:r>
    </w:p>
    <w:p w:rsidR="0063284A" w:rsidRPr="007404FA" w:rsidRDefault="0063284A"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За установеното </w:t>
      </w:r>
      <w:r w:rsidR="00332193">
        <w:rPr>
          <w:rFonts w:ascii="Times New Roman" w:hAnsi="Times New Roman" w:cs="Times New Roman"/>
          <w:sz w:val="24"/>
          <w:szCs w:val="24"/>
        </w:rPr>
        <w:t>нарушение</w:t>
      </w:r>
      <w:r w:rsidRPr="007404FA">
        <w:rPr>
          <w:rFonts w:ascii="Times New Roman" w:hAnsi="Times New Roman" w:cs="Times New Roman"/>
          <w:sz w:val="24"/>
          <w:szCs w:val="24"/>
        </w:rPr>
        <w:t xml:space="preserve"> на основание</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 xml:space="preserve">58, </w:t>
      </w:r>
      <w:r w:rsidR="00E06D6E">
        <w:rPr>
          <w:rFonts w:ascii="Times New Roman" w:hAnsi="Times New Roman" w:cs="Times New Roman"/>
          <w:sz w:val="24"/>
          <w:szCs w:val="24"/>
        </w:rPr>
        <w:t>§</w:t>
      </w:r>
      <w:r w:rsidRPr="007404FA">
        <w:rPr>
          <w:rFonts w:ascii="Times New Roman" w:hAnsi="Times New Roman" w:cs="Times New Roman"/>
          <w:sz w:val="24"/>
          <w:szCs w:val="24"/>
        </w:rPr>
        <w:t>2, б.</w:t>
      </w:r>
      <w:r w:rsidR="00332193">
        <w:rPr>
          <w:rFonts w:ascii="Times New Roman" w:hAnsi="Times New Roman" w:cs="Times New Roman"/>
          <w:sz w:val="24"/>
          <w:szCs w:val="24"/>
        </w:rPr>
        <w:t xml:space="preserve"> „а“ от Регламент (ЕС) 2016/679</w:t>
      </w:r>
      <w:r w:rsidRPr="007404FA">
        <w:rPr>
          <w:rFonts w:ascii="Times New Roman" w:hAnsi="Times New Roman" w:cs="Times New Roman"/>
          <w:sz w:val="24"/>
          <w:szCs w:val="24"/>
        </w:rPr>
        <w:t xml:space="preserve"> КЗЛД </w:t>
      </w:r>
      <w:r w:rsidR="0007054C" w:rsidRPr="007404FA">
        <w:rPr>
          <w:rFonts w:ascii="Times New Roman" w:hAnsi="Times New Roman" w:cs="Times New Roman"/>
          <w:sz w:val="24"/>
          <w:szCs w:val="24"/>
        </w:rPr>
        <w:t xml:space="preserve">е </w:t>
      </w:r>
      <w:r w:rsidRPr="007404FA">
        <w:rPr>
          <w:rFonts w:ascii="Times New Roman" w:hAnsi="Times New Roman" w:cs="Times New Roman"/>
          <w:sz w:val="24"/>
          <w:szCs w:val="24"/>
        </w:rPr>
        <w:t>отправи</w:t>
      </w:r>
      <w:r w:rsidR="0007054C" w:rsidRPr="007404FA">
        <w:rPr>
          <w:rFonts w:ascii="Times New Roman" w:hAnsi="Times New Roman" w:cs="Times New Roman"/>
          <w:sz w:val="24"/>
          <w:szCs w:val="24"/>
        </w:rPr>
        <w:t>ла</w:t>
      </w:r>
      <w:r w:rsidRPr="007404FA">
        <w:rPr>
          <w:rFonts w:ascii="Times New Roman" w:hAnsi="Times New Roman" w:cs="Times New Roman"/>
          <w:sz w:val="24"/>
          <w:szCs w:val="24"/>
        </w:rPr>
        <w:t xml:space="preserve"> „официално предупреждение“ на „Йеттел България“ ЕАД.</w:t>
      </w: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b/>
          <w:sz w:val="24"/>
          <w:szCs w:val="24"/>
        </w:rPr>
        <w:t xml:space="preserve">Проверки с предмет видеонаблюдение: </w:t>
      </w:r>
      <w:r w:rsidRPr="007404FA">
        <w:rPr>
          <w:rFonts w:ascii="Times New Roman" w:eastAsia="Batang" w:hAnsi="Times New Roman" w:cs="Times New Roman"/>
          <w:sz w:val="24"/>
          <w:szCs w:val="24"/>
        </w:rPr>
        <w:t>п</w:t>
      </w:r>
      <w:r w:rsidRPr="007404FA">
        <w:rPr>
          <w:rFonts w:ascii="Times New Roman" w:hAnsi="Times New Roman" w:cs="Times New Roman"/>
          <w:sz w:val="24"/>
          <w:szCs w:val="24"/>
        </w:rPr>
        <w:t xml:space="preserve">родължава тенденцията за увеличаване на постъпилите в КЗЛД жалби и сигнали относно обработване на лични данни на физически лица посредством изградени системи за видеонаблюдение. </w:t>
      </w:r>
      <w:r w:rsidRPr="007404FA">
        <w:rPr>
          <w:rFonts w:ascii="Times New Roman" w:eastAsia="Batang" w:hAnsi="Times New Roman" w:cs="Times New Roman"/>
          <w:sz w:val="24"/>
          <w:szCs w:val="24"/>
        </w:rPr>
        <w:t>Най-често жалбите и сигналите касаят видеонаблюдение на обществени места</w:t>
      </w:r>
      <w:r w:rsidR="00553661" w:rsidRPr="007404FA">
        <w:rPr>
          <w:rFonts w:ascii="Times New Roman" w:eastAsia="Batang" w:hAnsi="Times New Roman" w:cs="Times New Roman"/>
          <w:sz w:val="24"/>
          <w:szCs w:val="24"/>
        </w:rPr>
        <w:t xml:space="preserve"> – </w:t>
      </w:r>
      <w:r w:rsidRPr="007404FA">
        <w:rPr>
          <w:rFonts w:ascii="Times New Roman" w:eastAsia="Batang" w:hAnsi="Times New Roman" w:cs="Times New Roman"/>
          <w:sz w:val="24"/>
          <w:szCs w:val="24"/>
        </w:rPr>
        <w:t xml:space="preserve">улици, тротоари, зелени площи, както и общи части в етажна собственост. Практиката на КЗЛД и резултатите от контролната дейност констатират все по-често използването на модерни в техническо отношение камери, голяма част от тях с широк ъгъл на видеонаблюдение и запис на звук, както и поставени „бутафорни“ камери, имитиращи осъществяване на видеонаблюдение. </w:t>
      </w: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lastRenderedPageBreak/>
        <w:t>От извършените през отчетния период проверки може да се направи обоснован извод, че голяма част от администраторите на лични данни са добре запознати с нормативната база за защита на личните данни, прилагат в голяма степен необходимите технически и организационни мерки за защита на данните, уведомяват физическите лица за техните права, изпълняват задълженията си при упражняване на правата на физическите лица, както и съдействат на КЗЛД при упражняване на нейните правомощия.</w:t>
      </w:r>
    </w:p>
    <w:p w:rsidR="0063284A" w:rsidRPr="007404FA" w:rsidRDefault="0063284A" w:rsidP="00DB6B05">
      <w:pPr>
        <w:spacing w:line="360" w:lineRule="auto"/>
        <w:ind w:firstLine="709"/>
        <w:jc w:val="both"/>
        <w:rPr>
          <w:rFonts w:ascii="Times New Roman" w:eastAsia="Batang" w:hAnsi="Times New Roman" w:cs="Times New Roman"/>
          <w:sz w:val="24"/>
          <w:szCs w:val="24"/>
        </w:rPr>
      </w:pP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b/>
          <w:sz w:val="24"/>
          <w:szCs w:val="24"/>
        </w:rPr>
        <w:t>4. Наложени корективни мерки и сравнителен анализ</w:t>
      </w:r>
      <w:r w:rsidR="00332193">
        <w:rPr>
          <w:rFonts w:ascii="Times New Roman" w:eastAsia="Batang" w:hAnsi="Times New Roman" w:cs="Times New Roman"/>
          <w:b/>
          <w:sz w:val="24"/>
          <w:szCs w:val="24"/>
        </w:rPr>
        <w:t>.</w:t>
      </w:r>
      <w:r w:rsidRPr="007404FA">
        <w:rPr>
          <w:rFonts w:ascii="Times New Roman" w:eastAsia="Batang" w:hAnsi="Times New Roman" w:cs="Times New Roman"/>
          <w:b/>
          <w:sz w:val="24"/>
          <w:szCs w:val="24"/>
        </w:rPr>
        <w:t xml:space="preserve"> </w:t>
      </w: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Наложените от КЗЛД корективни мерки за констатирани след извършен</w:t>
      </w:r>
      <w:r w:rsidR="00332193">
        <w:rPr>
          <w:rFonts w:ascii="Times New Roman" w:eastAsia="Batang" w:hAnsi="Times New Roman" w:cs="Times New Roman"/>
          <w:sz w:val="24"/>
          <w:szCs w:val="24"/>
        </w:rPr>
        <w:t>и проверки по постъпили сигнали нарушения</w:t>
      </w:r>
      <w:r w:rsidRPr="007404FA">
        <w:rPr>
          <w:rFonts w:ascii="Times New Roman" w:eastAsia="Batang" w:hAnsi="Times New Roman" w:cs="Times New Roman"/>
          <w:sz w:val="24"/>
          <w:szCs w:val="24"/>
        </w:rPr>
        <w:t xml:space="preserve"> </w:t>
      </w:r>
      <w:r w:rsidR="00814FBC" w:rsidRPr="007404FA">
        <w:rPr>
          <w:rFonts w:ascii="Times New Roman" w:eastAsia="Batang" w:hAnsi="Times New Roman" w:cs="Times New Roman"/>
          <w:sz w:val="24"/>
          <w:szCs w:val="24"/>
        </w:rPr>
        <w:t>са 90</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 от които 72</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 xml:space="preserve"> разпореждания, 9</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 xml:space="preserve"> официални предупреждения и </w:t>
      </w:r>
      <w:r w:rsidR="00814FBC" w:rsidRPr="007404FA">
        <w:rPr>
          <w:rFonts w:ascii="Times New Roman" w:eastAsia="Batang" w:hAnsi="Times New Roman" w:cs="Times New Roman"/>
          <w:sz w:val="24"/>
          <w:szCs w:val="24"/>
        </w:rPr>
        <w:t>9</w:t>
      </w:r>
      <w:r w:rsidR="00D1189D" w:rsidRPr="007404FA">
        <w:rPr>
          <w:rFonts w:ascii="Times New Roman" w:eastAsia="Batang" w:hAnsi="Times New Roman" w:cs="Times New Roman"/>
          <w:sz w:val="24"/>
          <w:szCs w:val="24"/>
        </w:rPr>
        <w:t> бр.</w:t>
      </w:r>
      <w:r w:rsidR="00332193">
        <w:rPr>
          <w:rFonts w:ascii="Times New Roman" w:eastAsia="Batang" w:hAnsi="Times New Roman" w:cs="Times New Roman"/>
          <w:sz w:val="24"/>
          <w:szCs w:val="24"/>
        </w:rPr>
        <w:t xml:space="preserve"> предупреждения</w:t>
      </w:r>
      <w:r w:rsidRPr="007404FA">
        <w:rPr>
          <w:rFonts w:ascii="Times New Roman" w:eastAsia="Batang" w:hAnsi="Times New Roman" w:cs="Times New Roman"/>
          <w:sz w:val="24"/>
          <w:szCs w:val="24"/>
        </w:rPr>
        <w:t>, основно за нарушение на</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 xml:space="preserve">32, </w:t>
      </w:r>
      <w:r w:rsidR="00E06D6E">
        <w:rPr>
          <w:rFonts w:ascii="Times New Roman" w:eastAsia="Batang" w:hAnsi="Times New Roman" w:cs="Times New Roman"/>
          <w:sz w:val="24"/>
          <w:szCs w:val="24"/>
        </w:rPr>
        <w:t>§</w:t>
      </w:r>
      <w:r w:rsidRPr="007404FA">
        <w:rPr>
          <w:rFonts w:ascii="Times New Roman" w:eastAsia="Batang" w:hAnsi="Times New Roman" w:cs="Times New Roman"/>
          <w:sz w:val="24"/>
          <w:szCs w:val="24"/>
        </w:rPr>
        <w:t>1, букви „б“ и „г“ от Регламент (ЕС) 2016/679,</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6, §1 букви „а</w:t>
      </w:r>
      <w:r w:rsidR="00332193">
        <w:rPr>
          <w:rFonts w:ascii="Times New Roman" w:eastAsia="Batang" w:hAnsi="Times New Roman" w:cs="Times New Roman"/>
          <w:sz w:val="24"/>
          <w:szCs w:val="24"/>
        </w:rPr>
        <w:t xml:space="preserve"> – </w:t>
      </w:r>
      <w:r w:rsidRPr="007404FA">
        <w:rPr>
          <w:rFonts w:ascii="Times New Roman" w:eastAsia="Batang" w:hAnsi="Times New Roman" w:cs="Times New Roman"/>
          <w:sz w:val="24"/>
          <w:szCs w:val="24"/>
        </w:rPr>
        <w:t>е“ от Регламент (ЕС) 2016/679,</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 xml:space="preserve">6, </w:t>
      </w:r>
      <w:r w:rsidR="00E06D6E">
        <w:rPr>
          <w:rFonts w:ascii="Times New Roman" w:eastAsia="Batang" w:hAnsi="Times New Roman" w:cs="Times New Roman"/>
          <w:sz w:val="24"/>
          <w:szCs w:val="24"/>
        </w:rPr>
        <w:t>§</w:t>
      </w:r>
      <w:r w:rsidRPr="007404FA">
        <w:rPr>
          <w:rFonts w:ascii="Times New Roman" w:eastAsia="Batang" w:hAnsi="Times New Roman" w:cs="Times New Roman"/>
          <w:sz w:val="24"/>
          <w:szCs w:val="24"/>
        </w:rPr>
        <w:t>1 от Регламент (ЕС) 2016/679 и</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38, §6 от Регламент (ЕС) 2016/679,</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25г от ЗЗЛД,</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25е от ЗЗЛД. Прави впечатление, че броят им е значително завишен спрямо 2018</w:t>
      </w:r>
      <w:r w:rsidR="00F06583" w:rsidRPr="007404FA">
        <w:rPr>
          <w:rFonts w:ascii="Times New Roman" w:eastAsia="Batang" w:hAnsi="Times New Roman" w:cs="Times New Roman"/>
          <w:sz w:val="24"/>
          <w:szCs w:val="24"/>
        </w:rPr>
        <w:t> г.</w:t>
      </w:r>
      <w:r w:rsidRPr="007404FA">
        <w:rPr>
          <w:rFonts w:ascii="Times New Roman" w:eastAsia="Batang" w:hAnsi="Times New Roman" w:cs="Times New Roman"/>
          <w:sz w:val="24"/>
          <w:szCs w:val="24"/>
        </w:rPr>
        <w:t xml:space="preserve"> (влизане в сила на Регламент (ЕС) 2016/679), когато те са общо 14</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 xml:space="preserve"> </w:t>
      </w: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За 5</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 xml:space="preserve"> решения с издадени корективни мерки са наложени санкции в общ размер на 68 500</w:t>
      </w:r>
      <w:r w:rsidR="003742EB" w:rsidRPr="007404FA">
        <w:rPr>
          <w:rFonts w:ascii="Times New Roman" w:eastAsia="Batang" w:hAnsi="Times New Roman" w:cs="Times New Roman"/>
          <w:sz w:val="24"/>
          <w:szCs w:val="24"/>
        </w:rPr>
        <w:t> лв.</w:t>
      </w:r>
      <w:r w:rsidRPr="007404FA">
        <w:rPr>
          <w:rFonts w:ascii="Times New Roman" w:eastAsia="Batang" w:hAnsi="Times New Roman" w:cs="Times New Roman"/>
          <w:sz w:val="24"/>
          <w:szCs w:val="24"/>
        </w:rPr>
        <w:t xml:space="preserve"> От тях обжалвани са 3</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 xml:space="preserve"> решения, които са в съдебна фаза; 1</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 xml:space="preserve"> е влязло в</w:t>
      </w:r>
      <w:r w:rsidR="00864087" w:rsidRPr="007404FA">
        <w:rPr>
          <w:rFonts w:ascii="Times New Roman" w:eastAsia="Batang" w:hAnsi="Times New Roman" w:cs="Times New Roman"/>
          <w:sz w:val="24"/>
          <w:szCs w:val="24"/>
        </w:rPr>
        <w:t xml:space="preserve"> сила и наложената</w:t>
      </w:r>
      <w:r w:rsidRPr="007404FA">
        <w:rPr>
          <w:rFonts w:ascii="Times New Roman" w:eastAsia="Batang" w:hAnsi="Times New Roman" w:cs="Times New Roman"/>
          <w:sz w:val="24"/>
          <w:szCs w:val="24"/>
        </w:rPr>
        <w:t xml:space="preserve"> санкция в размер на 2000</w:t>
      </w:r>
      <w:r w:rsidR="003742EB" w:rsidRPr="007404FA">
        <w:rPr>
          <w:rFonts w:ascii="Times New Roman" w:eastAsia="Batang" w:hAnsi="Times New Roman" w:cs="Times New Roman"/>
          <w:sz w:val="24"/>
          <w:szCs w:val="24"/>
        </w:rPr>
        <w:t> лв.</w:t>
      </w:r>
      <w:r w:rsidRPr="007404FA">
        <w:rPr>
          <w:rFonts w:ascii="Times New Roman" w:eastAsia="Batang" w:hAnsi="Times New Roman" w:cs="Times New Roman"/>
          <w:sz w:val="24"/>
          <w:szCs w:val="24"/>
        </w:rPr>
        <w:t xml:space="preserve"> е платена доброволно; 1</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 xml:space="preserve"> решение е в процес на връчване и не е влязло в сила.</w:t>
      </w: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 xml:space="preserve">По отношение на предложенията за налагане на санкции по постъпили сигнали и проверки, при които са констатирани нарушения, е спазван принципът, че нарушението на Регламент (ЕС) 2016/679 и ЗЗЛД следва да води до налагане на „еквивалентни санкции“. Наложените от КЗЛД административните наказания „глоба“ или „имуществена санкция“ са определени така, че да осъществят в пълен обем правоохранителната и превантивна роля, тоест да бъдат „ефективни, пропорционални и възпиращи“. Същите отразяват адекватно естеството, тежестта и последиците от нарушението, като всички факти по случая се оценяват по начин, който е последователен и обективно обоснован. </w:t>
      </w: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 xml:space="preserve">Оценката за това какви мерки са ефективни, пропорционални и възпиращи във всеки отделен случай отразява целта, преследвана с избраната корективна мярка, т.е. възстановяване на спазването на правилата или санкциониране на неправомерно поведение (или и двете). </w:t>
      </w: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Във всеки конкретен казус са взети предвид критериите за оценка в</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 xml:space="preserve">83, </w:t>
      </w:r>
      <w:r w:rsidR="00E06D6E">
        <w:rPr>
          <w:rFonts w:ascii="Times New Roman" w:eastAsia="Batang" w:hAnsi="Times New Roman" w:cs="Times New Roman"/>
          <w:sz w:val="24"/>
          <w:szCs w:val="24"/>
        </w:rPr>
        <w:t>§</w:t>
      </w:r>
      <w:r w:rsidRPr="007404FA">
        <w:rPr>
          <w:rFonts w:ascii="Times New Roman" w:eastAsia="Batang" w:hAnsi="Times New Roman" w:cs="Times New Roman"/>
          <w:sz w:val="24"/>
          <w:szCs w:val="24"/>
        </w:rPr>
        <w:t xml:space="preserve">2, засягащи естеството на нарушението: дали се касае за непредприети достатъчни мерки за предотвратяване на незаконосъобразно обработване на лични данни; дали се отнася до фишинг атака или друг умишлен противозаконен подход с цел незаконосъобразно </w:t>
      </w:r>
      <w:r w:rsidRPr="007404FA">
        <w:rPr>
          <w:rFonts w:ascii="Times New Roman" w:eastAsia="Batang" w:hAnsi="Times New Roman" w:cs="Times New Roman"/>
          <w:sz w:val="24"/>
          <w:szCs w:val="24"/>
        </w:rPr>
        <w:lastRenderedPageBreak/>
        <w:t>обработване на лични данни; човешка грешка; тежестта на нарушението: дали е извършено умишлено или по небрежност; продължителността на нарушението (продължителността на нарушението може да е индикация например за умишлено поведе</w:t>
      </w:r>
      <w:r w:rsidR="00230754">
        <w:rPr>
          <w:rFonts w:ascii="Times New Roman" w:eastAsia="Batang" w:hAnsi="Times New Roman" w:cs="Times New Roman"/>
          <w:sz w:val="24"/>
          <w:szCs w:val="24"/>
        </w:rPr>
        <w:t>ние от страна на администратора</w:t>
      </w:r>
      <w:r w:rsidRPr="007404FA">
        <w:rPr>
          <w:rFonts w:ascii="Times New Roman" w:eastAsia="Batang" w:hAnsi="Times New Roman" w:cs="Times New Roman"/>
          <w:sz w:val="24"/>
          <w:szCs w:val="24"/>
        </w:rPr>
        <w:t xml:space="preserve"> или непредприемане на подходящи превантивни мерки, или</w:t>
      </w:r>
      <w:r w:rsidR="00157B49">
        <w:rPr>
          <w:rFonts w:ascii="Times New Roman" w:eastAsia="Batang" w:hAnsi="Times New Roman" w:cs="Times New Roman"/>
          <w:sz w:val="24"/>
          <w:szCs w:val="24"/>
        </w:rPr>
        <w:t xml:space="preserve"> </w:t>
      </w:r>
      <w:r w:rsidRPr="007404FA">
        <w:rPr>
          <w:rFonts w:ascii="Times New Roman" w:eastAsia="Batang" w:hAnsi="Times New Roman" w:cs="Times New Roman"/>
          <w:sz w:val="24"/>
          <w:szCs w:val="24"/>
        </w:rPr>
        <w:t xml:space="preserve">неспособност да се въведат изискваните технически и организационни мерки). </w:t>
      </w: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На задължителна преценка подлежи и фактът относно броя на засегнатите субекти на данни, за да се определи дали това е изолиран случай</w:t>
      </w:r>
      <w:r w:rsidR="00230754">
        <w:rPr>
          <w:rFonts w:ascii="Times New Roman" w:eastAsia="Batang" w:hAnsi="Times New Roman" w:cs="Times New Roman"/>
          <w:sz w:val="24"/>
          <w:szCs w:val="24"/>
        </w:rPr>
        <w:t>,</w:t>
      </w:r>
      <w:r w:rsidRPr="007404FA">
        <w:rPr>
          <w:rFonts w:ascii="Times New Roman" w:eastAsia="Batang" w:hAnsi="Times New Roman" w:cs="Times New Roman"/>
          <w:sz w:val="24"/>
          <w:szCs w:val="24"/>
        </w:rPr>
        <w:t xml:space="preserve"> или показва системно нарушение или липса на подходящи практики. Това означава, че и изолираните случаи подлежат на действия по правоприлагане, тъй като дори един изолиран случай може да засегне множество субекти на данни. При всеки конкретен казус по сигнал или проверка, при който са констатирани нарушения на сигурността на личните данни, се взема</w:t>
      </w:r>
      <w:r w:rsidR="00230754">
        <w:rPr>
          <w:rFonts w:ascii="Times New Roman" w:eastAsia="Batang" w:hAnsi="Times New Roman" w:cs="Times New Roman"/>
          <w:sz w:val="24"/>
          <w:szCs w:val="24"/>
        </w:rPr>
        <w:t>т предвид и размерът</w:t>
      </w:r>
      <w:r w:rsidRPr="007404FA">
        <w:rPr>
          <w:rFonts w:ascii="Times New Roman" w:eastAsia="Batang" w:hAnsi="Times New Roman" w:cs="Times New Roman"/>
          <w:sz w:val="24"/>
          <w:szCs w:val="24"/>
        </w:rPr>
        <w:t xml:space="preserve"> и относителната тежест на настъпилите и/или възможни вреди за субектите на данни, както и степента на причинените им вреди предвид факта, че обработването на лични данни може да породи рискове за правата и свободите на лицата. </w:t>
      </w:r>
    </w:p>
    <w:p w:rsidR="0063284A" w:rsidRPr="007404F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 xml:space="preserve">Рискът за правата </w:t>
      </w:r>
      <w:r w:rsidR="00230754">
        <w:rPr>
          <w:rFonts w:ascii="Times New Roman" w:eastAsia="Batang" w:hAnsi="Times New Roman" w:cs="Times New Roman"/>
          <w:sz w:val="24"/>
          <w:szCs w:val="24"/>
        </w:rPr>
        <w:t>и свободите на физическите лица</w:t>
      </w:r>
      <w:r w:rsidRPr="007404FA">
        <w:rPr>
          <w:rFonts w:ascii="Times New Roman" w:eastAsia="Batang" w:hAnsi="Times New Roman" w:cs="Times New Roman"/>
          <w:sz w:val="24"/>
          <w:szCs w:val="24"/>
        </w:rPr>
        <w:t xml:space="preserve"> с различна </w:t>
      </w:r>
      <w:r w:rsidR="00230754">
        <w:rPr>
          <w:rFonts w:ascii="Times New Roman" w:eastAsia="Batang" w:hAnsi="Times New Roman" w:cs="Times New Roman"/>
          <w:sz w:val="24"/>
          <w:szCs w:val="24"/>
        </w:rPr>
        <w:t>вероятност и тежест</w:t>
      </w:r>
      <w:r w:rsidRPr="007404FA">
        <w:rPr>
          <w:rFonts w:ascii="Times New Roman" w:eastAsia="Batang" w:hAnsi="Times New Roman" w:cs="Times New Roman"/>
          <w:sz w:val="24"/>
          <w:szCs w:val="24"/>
        </w:rPr>
        <w:t xml:space="preserve"> може да произтича от обработване на лични данни, което би могло да доведе до физически, материални или нематериални вреди, по-специално: когато обработването може да породи дискриминация, кражба на самоличност или измама с фалшива самоличност, финансови загуби, накърняване на репутацията, нарушаване на поверителността на лични данни, защитени от професионална тайна, н</w:t>
      </w:r>
      <w:r w:rsidR="000C3EB8" w:rsidRPr="007404FA">
        <w:rPr>
          <w:rFonts w:ascii="Times New Roman" w:eastAsia="Batang" w:hAnsi="Times New Roman" w:cs="Times New Roman"/>
          <w:sz w:val="24"/>
          <w:szCs w:val="24"/>
        </w:rPr>
        <w:t>еразрешено премахване на псевдо</w:t>
      </w:r>
      <w:r w:rsidR="00230754">
        <w:rPr>
          <w:rFonts w:ascii="Times New Roman" w:eastAsia="Batang" w:hAnsi="Times New Roman" w:cs="Times New Roman"/>
          <w:sz w:val="24"/>
          <w:szCs w:val="24"/>
        </w:rPr>
        <w:t>нимизация</w:t>
      </w:r>
      <w:r w:rsidRPr="007404FA">
        <w:rPr>
          <w:rFonts w:ascii="Times New Roman" w:eastAsia="Batang" w:hAnsi="Times New Roman" w:cs="Times New Roman"/>
          <w:sz w:val="24"/>
          <w:szCs w:val="24"/>
        </w:rPr>
        <w:t xml:space="preserve"> или други значителни икономически или социални неблагоприятни последствия; или когато субектите на данни могат да бъдат лишени от свои права и свободи или от упражняване на контрол върху своите лични данни; когато се обработват лични данни, които разкриват расов или етнически произход, политически възгледи, религиозни или философски убеждения, членство в професионална организация, и обработването на генетични данни, данни за здравословното състояние или данни за сексуалния живот или за нарушения</w:t>
      </w:r>
      <w:r w:rsidR="00230754">
        <w:rPr>
          <w:rFonts w:ascii="Times New Roman" w:eastAsia="Batang" w:hAnsi="Times New Roman" w:cs="Times New Roman"/>
          <w:sz w:val="24"/>
          <w:szCs w:val="24"/>
        </w:rPr>
        <w:t xml:space="preserve"> на</w:t>
      </w:r>
      <w:r w:rsidRPr="007404FA">
        <w:rPr>
          <w:rFonts w:ascii="Times New Roman" w:eastAsia="Batang" w:hAnsi="Times New Roman" w:cs="Times New Roman"/>
          <w:sz w:val="24"/>
          <w:szCs w:val="24"/>
        </w:rPr>
        <w:t xml:space="preserve"> свързани с тях мерки за сигурност; когато се оценяват лични аспекти, по-специално</w:t>
      </w:r>
      <w:r w:rsidR="00230754">
        <w:rPr>
          <w:rFonts w:ascii="Times New Roman" w:eastAsia="Batang" w:hAnsi="Times New Roman" w:cs="Times New Roman"/>
          <w:sz w:val="24"/>
          <w:szCs w:val="24"/>
        </w:rPr>
        <w:t>,</w:t>
      </w:r>
      <w:r w:rsidRPr="007404FA">
        <w:rPr>
          <w:rFonts w:ascii="Times New Roman" w:eastAsia="Batang" w:hAnsi="Times New Roman" w:cs="Times New Roman"/>
          <w:sz w:val="24"/>
          <w:szCs w:val="24"/>
        </w:rPr>
        <w:t xml:space="preserve"> анализиране или прогнозиране на аспекти, отнасящи се до представянето на работното място, икономическото положение, здравето, личните предпочитания или интереси, надеждността или поведението, местонахождението или движенията в пространството, с цел създаване или използване на лични профили; когато се обработват лични данни на уязвими лица, по-специално</w:t>
      </w:r>
      <w:r w:rsidR="00230754">
        <w:rPr>
          <w:rFonts w:ascii="Times New Roman" w:eastAsia="Batang" w:hAnsi="Times New Roman" w:cs="Times New Roman"/>
          <w:sz w:val="24"/>
          <w:szCs w:val="24"/>
        </w:rPr>
        <w:t>,</w:t>
      </w:r>
      <w:r w:rsidRPr="007404FA">
        <w:rPr>
          <w:rFonts w:ascii="Times New Roman" w:eastAsia="Batang" w:hAnsi="Times New Roman" w:cs="Times New Roman"/>
          <w:sz w:val="24"/>
          <w:szCs w:val="24"/>
        </w:rPr>
        <w:t xml:space="preserve"> на деца; или когато обработването включва голям обем лични данни и засяга голям брой субекти на данни. Важен аспект от извършваните проверки е и констатирането дали има търговия с лични данни за маркетингови цели, т.е. продажбата на данните като данни, за които е дадено разрешение за обработване от субектите на данни.</w:t>
      </w:r>
    </w:p>
    <w:p w:rsidR="0063284A" w:rsidRPr="007404FA" w:rsidRDefault="0063284A" w:rsidP="00F61505">
      <w:pPr>
        <w:spacing w:line="360" w:lineRule="exact"/>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lastRenderedPageBreak/>
        <w:t xml:space="preserve">Огромно значение за налаганите санкции и/или корективни мерки има и оценката на проверяващите за действията, предприети от администратора или обработващия лични данни за смекчаване на последиците от вредите, претърпени от субектите на данни. Това е основата за преценка за наличието на утежняващи или смекчаващи обстоятелства, предвид което се налагат подходящи мерки, които наклоняват везните към мерките, които са по-ефективни, пропорционални и възпиращи в дадения казус. </w:t>
      </w:r>
    </w:p>
    <w:p w:rsidR="0063284A" w:rsidRPr="007404FA" w:rsidRDefault="0063284A" w:rsidP="00F61505">
      <w:pPr>
        <w:spacing w:line="360" w:lineRule="exact"/>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Важни за преценката на проверяващия екип и предложението за прилагане на определена санкция или мярка е и степента на отговорност на администратора или обработващия лични данни, като се вземат предвид технически и организационни мерки, въведени от тях в съответствие с</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25 и</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 xml:space="preserve">32 от </w:t>
      </w:r>
      <w:r w:rsidR="001817F0" w:rsidRPr="007404FA">
        <w:rPr>
          <w:rFonts w:ascii="Times New Roman" w:eastAsia="Batang" w:hAnsi="Times New Roman" w:cs="Times New Roman"/>
          <w:sz w:val="24"/>
          <w:szCs w:val="24"/>
        </w:rPr>
        <w:t>ОРЗД</w:t>
      </w:r>
      <w:r w:rsidRPr="007404FA">
        <w:rPr>
          <w:rFonts w:ascii="Times New Roman" w:eastAsia="Batang" w:hAnsi="Times New Roman" w:cs="Times New Roman"/>
          <w:sz w:val="24"/>
          <w:szCs w:val="24"/>
        </w:rPr>
        <w:t xml:space="preserve">. </w:t>
      </w:r>
    </w:p>
    <w:p w:rsidR="0063284A" w:rsidRPr="007404FA" w:rsidRDefault="0063284A" w:rsidP="00F61505">
      <w:pPr>
        <w:spacing w:line="360" w:lineRule="exact"/>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 xml:space="preserve">От значение е и наличието на предишни нарушения, извършени от администратора или обработващия лични данни. Степента на сътрудничество с надзорния орган с цел отстраняване на нарушението и смекчаване на евентуалните неблагоприятни последици от него се взема предвид при изготвяне становището на проверяващия екип. </w:t>
      </w:r>
    </w:p>
    <w:p w:rsidR="0063284A" w:rsidRPr="007404FA" w:rsidRDefault="0063284A" w:rsidP="00F61505">
      <w:pPr>
        <w:spacing w:line="360" w:lineRule="exact"/>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За размера и вида на предложената корективна мярка или санкция значение имат и категориите лични данни, засегнати от нарушението</w:t>
      </w:r>
      <w:r w:rsidR="00230754">
        <w:rPr>
          <w:rFonts w:ascii="Times New Roman" w:eastAsia="Batang" w:hAnsi="Times New Roman" w:cs="Times New Roman"/>
          <w:sz w:val="24"/>
          <w:szCs w:val="24"/>
        </w:rPr>
        <w:t>,</w:t>
      </w:r>
      <w:r w:rsidRPr="007404FA">
        <w:rPr>
          <w:rFonts w:ascii="Times New Roman" w:eastAsia="Batang" w:hAnsi="Times New Roman" w:cs="Times New Roman"/>
          <w:sz w:val="24"/>
          <w:szCs w:val="24"/>
        </w:rPr>
        <w:t xml:space="preserve"> най-вече свързано ли е нарушението с обработване на специални категории данни по</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9 или</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10 от Регламента, могат ли физическите лица да бъдат идентифицирани пряко или непряко, обработването включва ли данни, разпространението на които би довело до непосредствени вреди/затруднения за лицето (и които попадат извън обхвата на категориите по</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9 или</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10</w:t>
      </w:r>
      <w:r w:rsidR="00230754">
        <w:rPr>
          <w:rFonts w:ascii="Times New Roman" w:eastAsia="Batang" w:hAnsi="Times New Roman" w:cs="Times New Roman"/>
          <w:sz w:val="24"/>
          <w:szCs w:val="24"/>
        </w:rPr>
        <w:t>)</w:t>
      </w:r>
      <w:r w:rsidRPr="007404FA">
        <w:rPr>
          <w:rFonts w:ascii="Times New Roman" w:eastAsia="Batang" w:hAnsi="Times New Roman" w:cs="Times New Roman"/>
          <w:sz w:val="24"/>
          <w:szCs w:val="24"/>
        </w:rPr>
        <w:t xml:space="preserve"> и др. </w:t>
      </w:r>
    </w:p>
    <w:p w:rsidR="0063284A" w:rsidRPr="007404FA" w:rsidRDefault="0063284A" w:rsidP="00F61505">
      <w:pPr>
        <w:spacing w:line="360" w:lineRule="exact"/>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 xml:space="preserve">Показателен за сътрудничеството на администратора е и </w:t>
      </w:r>
      <w:r w:rsidR="00230754">
        <w:rPr>
          <w:rFonts w:ascii="Times New Roman" w:eastAsia="Batang" w:hAnsi="Times New Roman" w:cs="Times New Roman"/>
          <w:sz w:val="24"/>
          <w:szCs w:val="24"/>
        </w:rPr>
        <w:t>начинът</w:t>
      </w:r>
      <w:r w:rsidRPr="007404FA">
        <w:rPr>
          <w:rFonts w:ascii="Times New Roman" w:eastAsia="Batang" w:hAnsi="Times New Roman" w:cs="Times New Roman"/>
          <w:sz w:val="24"/>
          <w:szCs w:val="24"/>
        </w:rPr>
        <w:t>, по който нарушението е станало известно на надзорния орган, по-специално</w:t>
      </w:r>
      <w:r w:rsidR="00230754">
        <w:rPr>
          <w:rFonts w:ascii="Times New Roman" w:eastAsia="Batang" w:hAnsi="Times New Roman" w:cs="Times New Roman"/>
          <w:sz w:val="24"/>
          <w:szCs w:val="24"/>
        </w:rPr>
        <w:t>,</w:t>
      </w:r>
      <w:r w:rsidRPr="007404FA">
        <w:rPr>
          <w:rFonts w:ascii="Times New Roman" w:eastAsia="Batang" w:hAnsi="Times New Roman" w:cs="Times New Roman"/>
          <w:sz w:val="24"/>
          <w:szCs w:val="24"/>
        </w:rPr>
        <w:t xml:space="preserve"> дали и до каква степен администраторът или обработващият лични данни е уведомил за нарушението.</w:t>
      </w:r>
    </w:p>
    <w:p w:rsidR="0063284A" w:rsidRDefault="0063284A" w:rsidP="00F61505">
      <w:pPr>
        <w:spacing w:line="360" w:lineRule="exact"/>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На графиката е изобразена сравнителна статистика на наложените корективни мерки в перио</w:t>
      </w:r>
      <w:r w:rsidR="0072088F" w:rsidRPr="007404FA">
        <w:rPr>
          <w:rFonts w:ascii="Times New Roman" w:eastAsia="Batang" w:hAnsi="Times New Roman" w:cs="Times New Roman"/>
          <w:sz w:val="24"/>
          <w:szCs w:val="24"/>
        </w:rPr>
        <w:t>да 2017</w:t>
      </w:r>
      <w:r w:rsidR="00230754">
        <w:rPr>
          <w:rFonts w:ascii="Times New Roman" w:eastAsia="Batang" w:hAnsi="Times New Roman" w:cs="Times New Roman"/>
          <w:sz w:val="24"/>
          <w:szCs w:val="24"/>
        </w:rPr>
        <w:t> </w:t>
      </w:r>
      <w:r w:rsidR="00E06D6E">
        <w:rPr>
          <w:rFonts w:ascii="Times New Roman" w:eastAsia="Batang" w:hAnsi="Times New Roman" w:cs="Times New Roman"/>
          <w:sz w:val="24"/>
          <w:szCs w:val="24"/>
        </w:rPr>
        <w:t xml:space="preserve">– </w:t>
      </w:r>
      <w:r w:rsidR="0072088F" w:rsidRPr="007404FA">
        <w:rPr>
          <w:rFonts w:ascii="Times New Roman" w:eastAsia="Batang" w:hAnsi="Times New Roman" w:cs="Times New Roman"/>
          <w:sz w:val="24"/>
          <w:szCs w:val="24"/>
        </w:rPr>
        <w:t>2022</w:t>
      </w:r>
      <w:r w:rsidR="00F06583" w:rsidRPr="007404FA">
        <w:rPr>
          <w:rFonts w:ascii="Times New Roman" w:eastAsia="Batang" w:hAnsi="Times New Roman" w:cs="Times New Roman"/>
          <w:sz w:val="24"/>
          <w:szCs w:val="24"/>
        </w:rPr>
        <w:t> г.</w:t>
      </w:r>
      <w:r w:rsidR="0072088F" w:rsidRPr="007404FA">
        <w:rPr>
          <w:rFonts w:ascii="Times New Roman" w:eastAsia="Batang" w:hAnsi="Times New Roman" w:cs="Times New Roman"/>
          <w:sz w:val="24"/>
          <w:szCs w:val="24"/>
        </w:rPr>
        <w:t xml:space="preserve"> </w:t>
      </w:r>
      <w:r w:rsidR="007057DF" w:rsidRPr="007404FA">
        <w:rPr>
          <w:rFonts w:ascii="Times New Roman" w:eastAsia="Batang" w:hAnsi="Times New Roman" w:cs="Times New Roman"/>
          <w:sz w:val="24"/>
          <w:szCs w:val="24"/>
        </w:rPr>
        <w:t xml:space="preserve">след извършени </w:t>
      </w:r>
      <w:r w:rsidR="0072088F" w:rsidRPr="007404FA">
        <w:rPr>
          <w:rFonts w:ascii="Times New Roman" w:eastAsia="Batang" w:hAnsi="Times New Roman" w:cs="Times New Roman"/>
          <w:sz w:val="24"/>
          <w:szCs w:val="24"/>
        </w:rPr>
        <w:t>проверки (</w:t>
      </w:r>
      <w:r w:rsidR="00230754">
        <w:rPr>
          <w:rFonts w:ascii="Times New Roman" w:eastAsia="Batang" w:hAnsi="Times New Roman" w:cs="Times New Roman"/>
          <w:b/>
          <w:sz w:val="24"/>
          <w:szCs w:val="24"/>
        </w:rPr>
        <w:t>ф</w:t>
      </w:r>
      <w:r w:rsidRPr="007404FA">
        <w:rPr>
          <w:rFonts w:ascii="Times New Roman" w:eastAsia="Batang" w:hAnsi="Times New Roman" w:cs="Times New Roman"/>
          <w:b/>
          <w:sz w:val="24"/>
          <w:szCs w:val="24"/>
        </w:rPr>
        <w:t xml:space="preserve">иг. </w:t>
      </w:r>
      <w:r w:rsidR="0072088F" w:rsidRPr="007404FA">
        <w:rPr>
          <w:rFonts w:ascii="Times New Roman" w:eastAsia="Batang" w:hAnsi="Times New Roman" w:cs="Times New Roman"/>
          <w:b/>
          <w:sz w:val="24"/>
          <w:szCs w:val="24"/>
        </w:rPr>
        <w:t>7</w:t>
      </w:r>
      <w:r w:rsidRPr="007404FA">
        <w:rPr>
          <w:rFonts w:ascii="Times New Roman" w:eastAsia="Batang" w:hAnsi="Times New Roman" w:cs="Times New Roman"/>
          <w:sz w:val="24"/>
          <w:szCs w:val="24"/>
        </w:rPr>
        <w:t>)</w:t>
      </w:r>
      <w:r w:rsidR="00230754">
        <w:rPr>
          <w:rFonts w:ascii="Times New Roman" w:eastAsia="Batang" w:hAnsi="Times New Roman" w:cs="Times New Roman"/>
          <w:sz w:val="24"/>
          <w:szCs w:val="24"/>
        </w:rPr>
        <w:t>:</w:t>
      </w:r>
    </w:p>
    <w:p w:rsidR="00F61505" w:rsidRDefault="00D40613" w:rsidP="00AC22EF">
      <w:pPr>
        <w:ind w:firstLine="709"/>
        <w:jc w:val="both"/>
        <w:rPr>
          <w:rFonts w:ascii="Times New Roman" w:eastAsia="Batang" w:hAnsi="Times New Roman" w:cs="Times New Roman"/>
          <w:b/>
          <w:sz w:val="24"/>
          <w:szCs w:val="24"/>
        </w:rPr>
      </w:pPr>
      <w:r>
        <w:rPr>
          <w:rFonts w:eastAsia="Batang" w:cs="Times New Roman"/>
          <w:b/>
          <w:noProof/>
          <w:lang w:val="en-US" w:eastAsia="en-US"/>
        </w:rPr>
        <mc:AlternateContent>
          <mc:Choice Requires="wps">
            <w:drawing>
              <wp:anchor distT="0" distB="0" distL="114300" distR="114300" simplePos="0" relativeHeight="251667456" behindDoc="0" locked="0" layoutInCell="1" allowOverlap="1" wp14:anchorId="60A29D21" wp14:editId="5972F3FF">
                <wp:simplePos x="0" y="0"/>
                <wp:positionH relativeFrom="column">
                  <wp:posOffset>809100</wp:posOffset>
                </wp:positionH>
                <wp:positionV relativeFrom="paragraph">
                  <wp:posOffset>143179</wp:posOffset>
                </wp:positionV>
                <wp:extent cx="4731027" cy="532737"/>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4731027" cy="532737"/>
                        </a:xfrm>
                        <a:prstGeom prst="rect">
                          <a:avLst/>
                        </a:prstGeom>
                        <a:solidFill>
                          <a:schemeClr val="lt1"/>
                        </a:solidFill>
                        <a:ln w="6350">
                          <a:noFill/>
                        </a:ln>
                      </wps:spPr>
                      <wps:txbx>
                        <w:txbxContent>
                          <w:p w:rsidR="00765272" w:rsidRPr="00D40613" w:rsidRDefault="00765272" w:rsidP="00D40613">
                            <w:pPr>
                              <w:jc w:val="center"/>
                              <w:rPr>
                                <w:rFonts w:ascii="Times New Roman" w:hAnsi="Times New Roman" w:cs="Times New Roman"/>
                                <w:b/>
                                <w:bCs/>
                                <w:sz w:val="28"/>
                                <w:szCs w:val="28"/>
                              </w:rPr>
                            </w:pPr>
                            <w:r w:rsidRPr="00D40613">
                              <w:rPr>
                                <w:rFonts w:ascii="Times New Roman" w:hAnsi="Times New Roman" w:cs="Times New Roman"/>
                                <w:b/>
                                <w:bCs/>
                                <w:sz w:val="28"/>
                                <w:szCs w:val="28"/>
                              </w:rPr>
                              <w:t>Сравнителна статистика на корективните мерки</w:t>
                            </w:r>
                          </w:p>
                          <w:p w:rsidR="00765272" w:rsidRPr="00680C96" w:rsidRDefault="00765272" w:rsidP="00D40613">
                            <w:pPr>
                              <w:jc w:val="center"/>
                            </w:pPr>
                            <w:r w:rsidRPr="00D40613">
                              <w:rPr>
                                <w:rFonts w:ascii="Times New Roman" w:hAnsi="Times New Roman" w:cs="Times New Roman"/>
                                <w:b/>
                                <w:bCs/>
                                <w:sz w:val="28"/>
                                <w:szCs w:val="28"/>
                              </w:rPr>
                              <w:t>в периода 2017 г. – 2022 г. след извършени проверки</w:t>
                            </w:r>
                          </w:p>
                          <w:p w:rsidR="00765272" w:rsidRDefault="00765272" w:rsidP="00D406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29D21" id="Text Box 2" o:spid="_x0000_s1027" type="#_x0000_t202" style="position:absolute;left:0;text-align:left;margin-left:63.7pt;margin-top:11.25pt;width:372.5pt;height:4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" fillcolor="white [3201]" stroked="f" strokeweight=".5pt">
                <v:textbox>
                  <w:txbxContent>
                    <w:p w:rsidR="00765272" w:rsidRPr="00D40613" w:rsidRDefault="00765272" w:rsidP="00D40613">
                      <w:pPr>
                        <w:jc w:val="center"/>
                        <w:rPr>
                          <w:rFonts w:ascii="Times New Roman" w:hAnsi="Times New Roman" w:cs="Times New Roman"/>
                          <w:b/>
                          <w:bCs/>
                          <w:sz w:val="28"/>
                          <w:szCs w:val="28"/>
                        </w:rPr>
                      </w:pPr>
                      <w:r w:rsidRPr="00D40613">
                        <w:rPr>
                          <w:rFonts w:ascii="Times New Roman" w:hAnsi="Times New Roman" w:cs="Times New Roman"/>
                          <w:b/>
                          <w:bCs/>
                          <w:sz w:val="28"/>
                          <w:szCs w:val="28"/>
                        </w:rPr>
                        <w:t>Сравнителна статистика на корективните мерки</w:t>
                      </w:r>
                    </w:p>
                    <w:p w:rsidR="00765272" w:rsidRPr="00680C96" w:rsidRDefault="00765272" w:rsidP="00D40613">
                      <w:pPr>
                        <w:jc w:val="center"/>
                      </w:pPr>
                      <w:r w:rsidRPr="00D40613">
                        <w:rPr>
                          <w:rFonts w:ascii="Times New Roman" w:hAnsi="Times New Roman" w:cs="Times New Roman"/>
                          <w:b/>
                          <w:bCs/>
                          <w:sz w:val="28"/>
                          <w:szCs w:val="28"/>
                        </w:rPr>
                        <w:t>в периода 2017 г. – 2022 г. след извършени проверки</w:t>
                      </w:r>
                    </w:p>
                    <w:p w:rsidR="00765272" w:rsidRDefault="00765272" w:rsidP="00D40613"/>
                  </w:txbxContent>
                </v:textbox>
              </v:shape>
            </w:pict>
          </mc:Fallback>
        </mc:AlternateContent>
      </w:r>
      <w:r w:rsidR="00065093" w:rsidRPr="007404FA">
        <w:rPr>
          <w:rFonts w:eastAsia="Batang" w:cs="Times New Roman"/>
          <w:b/>
          <w:noProof/>
          <w:lang w:val="en-US" w:eastAsia="en-US"/>
        </w:rPr>
        <w:drawing>
          <wp:inline distT="0" distB="0" distL="0" distR="0" wp14:anchorId="004A8CA0" wp14:editId="4701901F">
            <wp:extent cx="5160010" cy="3323646"/>
            <wp:effectExtent l="57150" t="57150" r="40640" b="4826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2088F" w:rsidRPr="007404FA" w:rsidRDefault="0072088F" w:rsidP="00F61505">
      <w:pPr>
        <w:ind w:firstLine="567"/>
        <w:jc w:val="center"/>
        <w:rPr>
          <w:rFonts w:ascii="Times New Roman" w:eastAsia="Batang" w:hAnsi="Times New Roman" w:cs="Times New Roman"/>
          <w:b/>
          <w:sz w:val="24"/>
          <w:szCs w:val="24"/>
        </w:rPr>
      </w:pPr>
      <w:r w:rsidRPr="007404FA">
        <w:rPr>
          <w:rFonts w:ascii="Times New Roman" w:eastAsia="Batang" w:hAnsi="Times New Roman" w:cs="Times New Roman"/>
          <w:b/>
          <w:sz w:val="24"/>
          <w:szCs w:val="24"/>
        </w:rPr>
        <w:t>Фиг. 7</w:t>
      </w:r>
    </w:p>
    <w:p w:rsidR="0063284A" w:rsidRPr="007404FA" w:rsidRDefault="0063284A" w:rsidP="00DB6B05">
      <w:pPr>
        <w:spacing w:line="360" w:lineRule="auto"/>
        <w:ind w:firstLine="709"/>
        <w:jc w:val="both"/>
        <w:rPr>
          <w:rFonts w:ascii="Times New Roman" w:eastAsia="Batang" w:hAnsi="Times New Roman" w:cs="Times New Roman"/>
          <w:b/>
          <w:sz w:val="24"/>
          <w:szCs w:val="24"/>
        </w:rPr>
      </w:pPr>
      <w:r w:rsidRPr="007404FA">
        <w:rPr>
          <w:rFonts w:ascii="Times New Roman" w:eastAsia="Batang" w:hAnsi="Times New Roman" w:cs="Times New Roman"/>
          <w:b/>
          <w:sz w:val="24"/>
          <w:szCs w:val="24"/>
        </w:rPr>
        <w:lastRenderedPageBreak/>
        <w:t>5. Административно-нак</w:t>
      </w:r>
      <w:r w:rsidR="00230754">
        <w:rPr>
          <w:rFonts w:ascii="Times New Roman" w:eastAsia="Batang" w:hAnsi="Times New Roman" w:cs="Times New Roman"/>
          <w:b/>
          <w:sz w:val="24"/>
          <w:szCs w:val="24"/>
        </w:rPr>
        <w:t>азателни производства АУАН, НП (обжалвани, потвърдени, отменени)</w:t>
      </w:r>
      <w:r w:rsidR="00553661" w:rsidRPr="007404FA">
        <w:rPr>
          <w:rFonts w:ascii="Times New Roman" w:eastAsia="Batang" w:hAnsi="Times New Roman" w:cs="Times New Roman"/>
          <w:b/>
          <w:sz w:val="24"/>
          <w:szCs w:val="24"/>
        </w:rPr>
        <w:t xml:space="preserve"> – </w:t>
      </w:r>
      <w:r w:rsidRPr="007404FA">
        <w:rPr>
          <w:rFonts w:ascii="Times New Roman" w:eastAsia="Batang" w:hAnsi="Times New Roman" w:cs="Times New Roman"/>
          <w:b/>
          <w:sz w:val="24"/>
          <w:szCs w:val="24"/>
        </w:rPr>
        <w:t>наложени санкции</w:t>
      </w:r>
      <w:r w:rsidR="00230754">
        <w:rPr>
          <w:rFonts w:ascii="Times New Roman" w:eastAsia="Batang" w:hAnsi="Times New Roman" w:cs="Times New Roman"/>
          <w:b/>
          <w:sz w:val="24"/>
          <w:szCs w:val="24"/>
        </w:rPr>
        <w:t>.</w:t>
      </w:r>
    </w:p>
    <w:p w:rsidR="0063284A" w:rsidRPr="007404FA" w:rsidRDefault="0063284A" w:rsidP="00DB6B05">
      <w:pPr>
        <w:spacing w:line="360" w:lineRule="auto"/>
        <w:ind w:firstLine="709"/>
        <w:jc w:val="both"/>
        <w:rPr>
          <w:rFonts w:ascii="Times New Roman" w:eastAsia="Batang" w:hAnsi="Times New Roman" w:cs="Times New Roman"/>
          <w:color w:val="FF0000"/>
          <w:sz w:val="24"/>
          <w:szCs w:val="24"/>
        </w:rPr>
      </w:pPr>
      <w:r w:rsidRPr="007404FA">
        <w:rPr>
          <w:rFonts w:ascii="Times New Roman" w:eastAsia="Batang" w:hAnsi="Times New Roman" w:cs="Times New Roman"/>
          <w:sz w:val="24"/>
          <w:szCs w:val="24"/>
        </w:rPr>
        <w:t>Въз основа на извършени проверки по искания и сигнали за 2022</w:t>
      </w:r>
      <w:r w:rsidR="00F06583" w:rsidRPr="007404FA">
        <w:rPr>
          <w:rFonts w:ascii="Times New Roman" w:eastAsia="Batang" w:hAnsi="Times New Roman" w:cs="Times New Roman"/>
          <w:sz w:val="24"/>
          <w:szCs w:val="24"/>
        </w:rPr>
        <w:t> г.</w:t>
      </w:r>
      <w:r w:rsidRPr="007404FA">
        <w:rPr>
          <w:rFonts w:ascii="Times New Roman" w:eastAsia="Batang" w:hAnsi="Times New Roman" w:cs="Times New Roman"/>
          <w:sz w:val="24"/>
          <w:szCs w:val="24"/>
        </w:rPr>
        <w:t xml:space="preserve"> са съставени </w:t>
      </w:r>
      <w:r w:rsidRPr="007404FA">
        <w:rPr>
          <w:rFonts w:ascii="Times New Roman" w:eastAsia="Batang" w:hAnsi="Times New Roman" w:cs="Times New Roman"/>
          <w:b/>
          <w:sz w:val="24"/>
          <w:szCs w:val="24"/>
        </w:rPr>
        <w:t>32</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 xml:space="preserve"> акта за установяване на административни нарушения, издадени са 13</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 xml:space="preserve"> наказателни постановления. Наложените санкции при извършени проверки по искания и сигнали са в размер на 1 024 000 лева. От издадените наказателни постановления </w:t>
      </w:r>
      <w:r w:rsidR="008D46B5" w:rsidRPr="007404FA">
        <w:rPr>
          <w:rFonts w:ascii="Times New Roman" w:eastAsia="Batang" w:hAnsi="Times New Roman" w:cs="Times New Roman"/>
          <w:sz w:val="24"/>
          <w:szCs w:val="24"/>
        </w:rPr>
        <w:t xml:space="preserve">към края на отчетния период </w:t>
      </w:r>
      <w:r w:rsidRPr="007404FA">
        <w:rPr>
          <w:rFonts w:ascii="Times New Roman" w:eastAsia="Batang" w:hAnsi="Times New Roman" w:cs="Times New Roman"/>
          <w:sz w:val="24"/>
          <w:szCs w:val="24"/>
        </w:rPr>
        <w:t>3</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 xml:space="preserve"> са обжалвани и са в съдебна фаза, </w:t>
      </w:r>
      <w:r w:rsidR="008D46B5" w:rsidRPr="007404FA">
        <w:rPr>
          <w:rFonts w:ascii="Times New Roman" w:eastAsia="Batang" w:hAnsi="Times New Roman" w:cs="Times New Roman"/>
          <w:sz w:val="24"/>
          <w:szCs w:val="24"/>
        </w:rPr>
        <w:t xml:space="preserve">а останалите </w:t>
      </w:r>
      <w:r w:rsidR="00940D9C" w:rsidRPr="007404FA">
        <w:rPr>
          <w:rFonts w:ascii="Times New Roman" w:eastAsia="Batang" w:hAnsi="Times New Roman" w:cs="Times New Roman"/>
          <w:sz w:val="24"/>
          <w:szCs w:val="24"/>
        </w:rPr>
        <w:t>10</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 xml:space="preserve"> са в процес на връчване. 10</w:t>
      </w:r>
      <w:r w:rsidR="00D1189D" w:rsidRPr="007404FA">
        <w:rPr>
          <w:rFonts w:ascii="Times New Roman" w:eastAsia="Batang" w:hAnsi="Times New Roman" w:cs="Times New Roman"/>
          <w:sz w:val="24"/>
          <w:szCs w:val="24"/>
        </w:rPr>
        <w:t> бр.</w:t>
      </w:r>
      <w:r w:rsidR="00230754">
        <w:rPr>
          <w:rFonts w:ascii="Times New Roman" w:eastAsia="Batang" w:hAnsi="Times New Roman" w:cs="Times New Roman"/>
          <w:sz w:val="24"/>
          <w:szCs w:val="24"/>
        </w:rPr>
        <w:t xml:space="preserve"> административно</w:t>
      </w:r>
      <w:r w:rsidRPr="007404FA">
        <w:rPr>
          <w:rFonts w:ascii="Times New Roman" w:eastAsia="Batang" w:hAnsi="Times New Roman" w:cs="Times New Roman"/>
          <w:sz w:val="24"/>
          <w:szCs w:val="24"/>
        </w:rPr>
        <w:t>наказателни производства са приключени с „предупреждение“ по</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 xml:space="preserve">28 от ЗАНН, а </w:t>
      </w:r>
      <w:r w:rsidR="009D3211" w:rsidRPr="007404FA">
        <w:rPr>
          <w:rFonts w:ascii="Times New Roman" w:eastAsia="Batang" w:hAnsi="Times New Roman" w:cs="Times New Roman"/>
          <w:sz w:val="24"/>
          <w:szCs w:val="24"/>
        </w:rPr>
        <w:t xml:space="preserve">по </w:t>
      </w:r>
      <w:r w:rsidR="004D2A88" w:rsidRPr="007404FA">
        <w:rPr>
          <w:rFonts w:ascii="Times New Roman" w:eastAsia="Batang" w:hAnsi="Times New Roman" w:cs="Times New Roman"/>
          <w:sz w:val="24"/>
          <w:szCs w:val="24"/>
        </w:rPr>
        <w:t>4</w:t>
      </w:r>
      <w:r w:rsidR="00D1189D" w:rsidRPr="007404FA">
        <w:rPr>
          <w:rFonts w:ascii="Times New Roman" w:eastAsia="Batang" w:hAnsi="Times New Roman" w:cs="Times New Roman"/>
          <w:sz w:val="24"/>
          <w:szCs w:val="24"/>
        </w:rPr>
        <w:t> бр.</w:t>
      </w:r>
      <w:r w:rsidRPr="007404FA">
        <w:rPr>
          <w:rFonts w:ascii="Times New Roman" w:eastAsia="Batang" w:hAnsi="Times New Roman" w:cs="Times New Roman"/>
          <w:sz w:val="24"/>
          <w:szCs w:val="24"/>
        </w:rPr>
        <w:t xml:space="preserve"> са </w:t>
      </w:r>
      <w:r w:rsidR="009D3211" w:rsidRPr="007404FA">
        <w:rPr>
          <w:rFonts w:ascii="Times New Roman" w:eastAsia="Batang" w:hAnsi="Times New Roman" w:cs="Times New Roman"/>
          <w:sz w:val="24"/>
          <w:szCs w:val="24"/>
        </w:rPr>
        <w:t>сключени</w:t>
      </w:r>
      <w:r w:rsidRPr="007404FA">
        <w:rPr>
          <w:rFonts w:ascii="Times New Roman" w:eastAsia="Batang" w:hAnsi="Times New Roman" w:cs="Times New Roman"/>
          <w:sz w:val="24"/>
          <w:szCs w:val="24"/>
        </w:rPr>
        <w:t xml:space="preserve"> споразумения на основание</w:t>
      </w:r>
      <w:r w:rsidR="00F06583" w:rsidRPr="007404FA">
        <w:rPr>
          <w:rFonts w:ascii="Times New Roman" w:eastAsia="Batang" w:hAnsi="Times New Roman" w:cs="Times New Roman"/>
          <w:sz w:val="24"/>
          <w:szCs w:val="24"/>
        </w:rPr>
        <w:t xml:space="preserve"> чл. </w:t>
      </w:r>
      <w:r w:rsidRPr="007404FA">
        <w:rPr>
          <w:rFonts w:ascii="Times New Roman" w:eastAsia="Batang" w:hAnsi="Times New Roman" w:cs="Times New Roman"/>
          <w:sz w:val="24"/>
          <w:szCs w:val="24"/>
        </w:rPr>
        <w:t>58г от ЗАНН</w:t>
      </w:r>
      <w:r w:rsidR="00BF43EE" w:rsidRPr="007404FA">
        <w:rPr>
          <w:rFonts w:ascii="Times New Roman" w:eastAsia="Batang" w:hAnsi="Times New Roman" w:cs="Times New Roman"/>
          <w:sz w:val="24"/>
          <w:szCs w:val="24"/>
        </w:rPr>
        <w:t>.</w:t>
      </w:r>
    </w:p>
    <w:p w:rsidR="0063284A" w:rsidRDefault="0063284A"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На графиката е изобразена сравнителна статистика на наложените санкц</w:t>
      </w:r>
      <w:r w:rsidR="00561054">
        <w:rPr>
          <w:rFonts w:ascii="Times New Roman" w:eastAsia="Batang" w:hAnsi="Times New Roman" w:cs="Times New Roman"/>
          <w:sz w:val="24"/>
          <w:szCs w:val="24"/>
        </w:rPr>
        <w:t>ии с наказателни постановления след извършени в</w:t>
      </w:r>
      <w:r w:rsidRPr="007404FA">
        <w:rPr>
          <w:rFonts w:ascii="Times New Roman" w:eastAsia="Batang" w:hAnsi="Times New Roman" w:cs="Times New Roman"/>
          <w:sz w:val="24"/>
          <w:szCs w:val="24"/>
        </w:rPr>
        <w:t xml:space="preserve"> периода 20</w:t>
      </w:r>
      <w:r w:rsidR="0072088F" w:rsidRPr="007404FA">
        <w:rPr>
          <w:rFonts w:ascii="Times New Roman" w:eastAsia="Batang" w:hAnsi="Times New Roman" w:cs="Times New Roman"/>
          <w:sz w:val="24"/>
          <w:szCs w:val="24"/>
        </w:rPr>
        <w:t>17</w:t>
      </w:r>
      <w:r w:rsidR="00553661" w:rsidRPr="007404FA">
        <w:rPr>
          <w:rFonts w:ascii="Times New Roman" w:eastAsia="Batang" w:hAnsi="Times New Roman" w:cs="Times New Roman"/>
          <w:sz w:val="24"/>
          <w:szCs w:val="24"/>
        </w:rPr>
        <w:t xml:space="preserve"> – </w:t>
      </w:r>
      <w:r w:rsidR="0072088F" w:rsidRPr="00561054">
        <w:rPr>
          <w:rFonts w:ascii="Times New Roman" w:eastAsia="Batang" w:hAnsi="Times New Roman" w:cs="Times New Roman"/>
          <w:sz w:val="24"/>
          <w:szCs w:val="24"/>
        </w:rPr>
        <w:t>2022</w:t>
      </w:r>
      <w:r w:rsidR="00F06583" w:rsidRPr="00561054">
        <w:rPr>
          <w:rFonts w:ascii="Times New Roman" w:eastAsia="Batang" w:hAnsi="Times New Roman" w:cs="Times New Roman"/>
          <w:sz w:val="24"/>
          <w:szCs w:val="24"/>
        </w:rPr>
        <w:t> г.</w:t>
      </w:r>
      <w:r w:rsidR="0072088F" w:rsidRPr="00561054">
        <w:rPr>
          <w:rFonts w:ascii="Times New Roman" w:eastAsia="Batang" w:hAnsi="Times New Roman" w:cs="Times New Roman"/>
          <w:sz w:val="24"/>
          <w:szCs w:val="24"/>
        </w:rPr>
        <w:t xml:space="preserve"> проверки (</w:t>
      </w:r>
      <w:r w:rsidR="00230754">
        <w:rPr>
          <w:rFonts w:ascii="Times New Roman" w:eastAsia="Batang" w:hAnsi="Times New Roman" w:cs="Times New Roman"/>
          <w:b/>
          <w:sz w:val="24"/>
          <w:szCs w:val="24"/>
        </w:rPr>
        <w:t>ф</w:t>
      </w:r>
      <w:r w:rsidR="0072088F" w:rsidRPr="007404FA">
        <w:rPr>
          <w:rFonts w:ascii="Times New Roman" w:eastAsia="Batang" w:hAnsi="Times New Roman" w:cs="Times New Roman"/>
          <w:b/>
          <w:sz w:val="24"/>
          <w:szCs w:val="24"/>
        </w:rPr>
        <w:t>иг. 8</w:t>
      </w:r>
      <w:r w:rsidRPr="007404FA">
        <w:rPr>
          <w:rFonts w:ascii="Times New Roman" w:eastAsia="Batang" w:hAnsi="Times New Roman" w:cs="Times New Roman"/>
          <w:sz w:val="24"/>
          <w:szCs w:val="24"/>
        </w:rPr>
        <w:t>)</w:t>
      </w:r>
      <w:r w:rsidR="00230754">
        <w:rPr>
          <w:rFonts w:ascii="Times New Roman" w:eastAsia="Batang" w:hAnsi="Times New Roman" w:cs="Times New Roman"/>
          <w:sz w:val="24"/>
          <w:szCs w:val="24"/>
        </w:rPr>
        <w:t>:</w:t>
      </w:r>
    </w:p>
    <w:p w:rsidR="00941033" w:rsidRPr="007404FA" w:rsidRDefault="00941033" w:rsidP="00DB6B05">
      <w:pPr>
        <w:spacing w:line="360" w:lineRule="auto"/>
        <w:ind w:firstLine="709"/>
        <w:jc w:val="both"/>
        <w:rPr>
          <w:rFonts w:ascii="Times New Roman" w:eastAsia="Batang" w:hAnsi="Times New Roman" w:cs="Times New Roman"/>
          <w:sz w:val="24"/>
          <w:szCs w:val="24"/>
        </w:rPr>
      </w:pPr>
    </w:p>
    <w:p w:rsidR="007D4E4B" w:rsidRPr="007404FA" w:rsidRDefault="00174426" w:rsidP="00DB6B05">
      <w:pPr>
        <w:widowControl w:val="0"/>
        <w:spacing w:line="360" w:lineRule="auto"/>
        <w:ind w:firstLine="142"/>
        <w:jc w:val="both"/>
        <w:rPr>
          <w:rFonts w:ascii="Times New Roman" w:eastAsia="Batang" w:hAnsi="Times New Roman" w:cs="Times New Roman"/>
          <w:b/>
          <w:sz w:val="24"/>
          <w:szCs w:val="24"/>
        </w:rPr>
      </w:pPr>
      <w:r w:rsidRPr="007404FA">
        <w:rPr>
          <w:rFonts w:ascii="Times New Roman" w:eastAsia="Batang" w:hAnsi="Times New Roman" w:cs="Times New Roman"/>
          <w:b/>
          <w:noProof/>
          <w:sz w:val="24"/>
          <w:szCs w:val="24"/>
          <w:lang w:val="en-US" w:eastAsia="en-US"/>
        </w:rPr>
        <mc:AlternateContent>
          <mc:Choice Requires="wps">
            <w:drawing>
              <wp:anchor distT="45720" distB="45720" distL="114300" distR="114300" simplePos="0" relativeHeight="251663360" behindDoc="0" locked="0" layoutInCell="1" allowOverlap="1">
                <wp:simplePos x="0" y="0"/>
                <wp:positionH relativeFrom="column">
                  <wp:posOffset>530225</wp:posOffset>
                </wp:positionH>
                <wp:positionV relativeFrom="paragraph">
                  <wp:posOffset>100965</wp:posOffset>
                </wp:positionV>
                <wp:extent cx="5200070" cy="52478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70" cy="524786"/>
                        </a:xfrm>
                        <a:prstGeom prst="rect">
                          <a:avLst/>
                        </a:prstGeom>
                        <a:noFill/>
                        <a:ln w="9525">
                          <a:noFill/>
                          <a:miter lim="800000"/>
                          <a:headEnd/>
                          <a:tailEnd/>
                        </a:ln>
                      </wps:spPr>
                      <wps:txbx>
                        <w:txbxContent>
                          <w:p w:rsidR="00765272" w:rsidRPr="004773DE" w:rsidRDefault="00765272" w:rsidP="00AD40E3">
                            <w:pPr>
                              <w:jc w:val="center"/>
                              <w:rPr>
                                <w:rFonts w:ascii="Times New Roman" w:hAnsi="Times New Roman" w:cs="Times New Roman"/>
                                <w:sz w:val="28"/>
                                <w:szCs w:val="28"/>
                                <w:lang w:val="en-US"/>
                              </w:rPr>
                            </w:pPr>
                            <w:r w:rsidRPr="004773DE">
                              <w:rPr>
                                <w:rFonts w:ascii="Times New Roman" w:hAnsi="Times New Roman" w:cs="Times New Roman"/>
                                <w:b/>
                                <w:bCs/>
                                <w:sz w:val="28"/>
                                <w:szCs w:val="28"/>
                              </w:rPr>
                              <w:t>Сравнителна статистика на наложените с наказателни постановления санкции (в лв.) в периода 2017</w:t>
                            </w:r>
                            <w:r w:rsidRPr="004773DE">
                              <w:rPr>
                                <w:rFonts w:ascii="Times New Roman" w:hAnsi="Times New Roman" w:cs="Times New Roman"/>
                                <w:b/>
                                <w:bCs/>
                                <w:sz w:val="28"/>
                                <w:szCs w:val="28"/>
                                <w:lang w:val="en-US"/>
                              </w:rPr>
                              <w:t xml:space="preserve"> </w:t>
                            </w:r>
                            <w:r w:rsidRPr="004773DE">
                              <w:rPr>
                                <w:rFonts w:ascii="Times New Roman" w:hAnsi="Times New Roman" w:cs="Times New Roman"/>
                                <w:b/>
                                <w:bCs/>
                                <w:sz w:val="28"/>
                                <w:szCs w:val="28"/>
                              </w:rPr>
                              <w:t>г. – 2022 г.</w:t>
                            </w:r>
                          </w:p>
                          <w:p w:rsidR="00765272" w:rsidRPr="004773DE" w:rsidRDefault="007652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75pt;margin-top:7.95pt;width:409.45pt;height:41.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" filled="f" stroked="f">
                <v:textbox>
                  <w:txbxContent>
                    <w:p w:rsidR="00765272" w:rsidRPr="004773DE" w:rsidRDefault="00765272" w:rsidP="00AD40E3">
                      <w:pPr>
                        <w:jc w:val="center"/>
                        <w:rPr>
                          <w:rFonts w:ascii="Times New Roman" w:hAnsi="Times New Roman" w:cs="Times New Roman"/>
                          <w:sz w:val="28"/>
                          <w:szCs w:val="28"/>
                          <w:lang w:val="en-US"/>
                        </w:rPr>
                      </w:pPr>
                      <w:r w:rsidRPr="004773DE">
                        <w:rPr>
                          <w:rFonts w:ascii="Times New Roman" w:hAnsi="Times New Roman" w:cs="Times New Roman"/>
                          <w:b/>
                          <w:bCs/>
                          <w:sz w:val="28"/>
                          <w:szCs w:val="28"/>
                        </w:rPr>
                        <w:t>Сравнителна статистика на наложените с наказателни постановления санкции (в лв.) в периода 2017</w:t>
                      </w:r>
                      <w:r w:rsidRPr="004773DE">
                        <w:rPr>
                          <w:rFonts w:ascii="Times New Roman" w:hAnsi="Times New Roman" w:cs="Times New Roman"/>
                          <w:b/>
                          <w:bCs/>
                          <w:sz w:val="28"/>
                          <w:szCs w:val="28"/>
                          <w:lang w:val="en-US"/>
                        </w:rPr>
                        <w:t xml:space="preserve"> </w:t>
                      </w:r>
                      <w:r w:rsidRPr="004773DE">
                        <w:rPr>
                          <w:rFonts w:ascii="Times New Roman" w:hAnsi="Times New Roman" w:cs="Times New Roman"/>
                          <w:b/>
                          <w:bCs/>
                          <w:sz w:val="28"/>
                          <w:szCs w:val="28"/>
                        </w:rPr>
                        <w:t>г. – 2022 г.</w:t>
                      </w:r>
                    </w:p>
                    <w:p w:rsidR="00765272" w:rsidRPr="004773DE" w:rsidRDefault="00765272"/>
                  </w:txbxContent>
                </v:textbox>
              </v:shape>
            </w:pict>
          </mc:Fallback>
        </mc:AlternateContent>
      </w:r>
      <w:r w:rsidR="007D4E4B" w:rsidRPr="007404FA">
        <w:rPr>
          <w:rFonts w:eastAsia="Batang" w:cs="Times New Roman"/>
          <w:b/>
          <w:noProof/>
          <w:lang w:val="en-US" w:eastAsia="en-US"/>
        </w:rPr>
        <w:drawing>
          <wp:inline distT="0" distB="0" distL="0" distR="0" wp14:anchorId="1A14326F" wp14:editId="13DF948F">
            <wp:extent cx="5731510" cy="3684132"/>
            <wp:effectExtent l="38100" t="38100" r="40640" b="5016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3284A" w:rsidRPr="007404FA" w:rsidRDefault="00B240E0" w:rsidP="00DB6B05">
      <w:pPr>
        <w:widowControl w:val="0"/>
        <w:spacing w:line="360" w:lineRule="auto"/>
        <w:ind w:firstLine="142"/>
        <w:jc w:val="center"/>
        <w:rPr>
          <w:rFonts w:ascii="Times New Roman" w:eastAsia="Batang" w:hAnsi="Times New Roman" w:cs="Times New Roman"/>
          <w:b/>
          <w:sz w:val="24"/>
          <w:szCs w:val="24"/>
        </w:rPr>
      </w:pPr>
      <w:r w:rsidRPr="007404FA">
        <w:rPr>
          <w:rFonts w:ascii="Times New Roman" w:eastAsia="Batang" w:hAnsi="Times New Roman" w:cs="Times New Roman"/>
          <w:b/>
          <w:sz w:val="24"/>
          <w:szCs w:val="24"/>
        </w:rPr>
        <w:t>Фиг. 8</w:t>
      </w:r>
    </w:p>
    <w:p w:rsidR="007D4E4B" w:rsidRPr="007404FA" w:rsidRDefault="007D4E4B" w:rsidP="00DB6B05">
      <w:pPr>
        <w:widowControl w:val="0"/>
        <w:spacing w:line="360" w:lineRule="auto"/>
        <w:ind w:firstLine="709"/>
        <w:jc w:val="both"/>
        <w:rPr>
          <w:rFonts w:ascii="Times New Roman" w:eastAsia="Batang" w:hAnsi="Times New Roman" w:cs="Times New Roman"/>
          <w:sz w:val="24"/>
          <w:szCs w:val="24"/>
        </w:rPr>
      </w:pPr>
    </w:p>
    <w:p w:rsidR="0033615F" w:rsidRPr="007404FA" w:rsidRDefault="0063284A" w:rsidP="00DB6B05">
      <w:pPr>
        <w:widowControl w:val="0"/>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През 2022</w:t>
      </w:r>
      <w:r w:rsidR="00F06583" w:rsidRPr="007404FA">
        <w:rPr>
          <w:rFonts w:ascii="Times New Roman" w:eastAsia="Batang" w:hAnsi="Times New Roman" w:cs="Times New Roman"/>
          <w:sz w:val="24"/>
          <w:szCs w:val="24"/>
        </w:rPr>
        <w:t> г.</w:t>
      </w:r>
      <w:r w:rsidR="00230754">
        <w:rPr>
          <w:rFonts w:ascii="Times New Roman" w:eastAsia="Batang" w:hAnsi="Times New Roman" w:cs="Times New Roman"/>
          <w:sz w:val="24"/>
          <w:szCs w:val="24"/>
        </w:rPr>
        <w:t xml:space="preserve"> с НП на п</w:t>
      </w:r>
      <w:r w:rsidRPr="007404FA">
        <w:rPr>
          <w:rFonts w:ascii="Times New Roman" w:eastAsia="Batang" w:hAnsi="Times New Roman" w:cs="Times New Roman"/>
          <w:sz w:val="24"/>
          <w:szCs w:val="24"/>
        </w:rPr>
        <w:t xml:space="preserve">редседателя на КЗЛД са наложени санкции на стойност </w:t>
      </w:r>
      <w:r w:rsidR="0050478E">
        <w:rPr>
          <w:rFonts w:ascii="Times New Roman" w:eastAsia="Batang" w:hAnsi="Times New Roman" w:cs="Times New Roman"/>
          <w:sz w:val="24"/>
          <w:szCs w:val="24"/>
        </w:rPr>
        <w:br/>
      </w:r>
      <w:r w:rsidRPr="007404FA">
        <w:rPr>
          <w:rFonts w:ascii="Times New Roman" w:eastAsia="Batang" w:hAnsi="Times New Roman" w:cs="Times New Roman"/>
          <w:sz w:val="24"/>
          <w:szCs w:val="24"/>
        </w:rPr>
        <w:t>1</w:t>
      </w:r>
      <w:r w:rsidR="002B2E4F" w:rsidRPr="007404FA">
        <w:rPr>
          <w:rFonts w:ascii="Times New Roman" w:eastAsia="Batang" w:hAnsi="Times New Roman" w:cs="Times New Roman"/>
          <w:sz w:val="24"/>
          <w:szCs w:val="24"/>
        </w:rPr>
        <w:t xml:space="preserve"> </w:t>
      </w:r>
      <w:r w:rsidRPr="007404FA">
        <w:rPr>
          <w:rFonts w:ascii="Times New Roman" w:eastAsia="Batang" w:hAnsi="Times New Roman" w:cs="Times New Roman"/>
          <w:sz w:val="24"/>
          <w:szCs w:val="24"/>
        </w:rPr>
        <w:t>024</w:t>
      </w:r>
      <w:r w:rsidR="002B2E4F" w:rsidRPr="007404FA">
        <w:rPr>
          <w:rFonts w:ascii="Times New Roman" w:eastAsia="Batang" w:hAnsi="Times New Roman" w:cs="Times New Roman"/>
          <w:sz w:val="24"/>
          <w:szCs w:val="24"/>
        </w:rPr>
        <w:t xml:space="preserve"> </w:t>
      </w:r>
      <w:r w:rsidRPr="007404FA">
        <w:rPr>
          <w:rFonts w:ascii="Times New Roman" w:eastAsia="Batang" w:hAnsi="Times New Roman" w:cs="Times New Roman"/>
          <w:sz w:val="24"/>
          <w:szCs w:val="24"/>
        </w:rPr>
        <w:t>000</w:t>
      </w:r>
      <w:r w:rsidR="003742EB" w:rsidRPr="007404FA">
        <w:rPr>
          <w:rFonts w:ascii="Times New Roman" w:eastAsia="Batang" w:hAnsi="Times New Roman" w:cs="Times New Roman"/>
          <w:sz w:val="24"/>
          <w:szCs w:val="24"/>
        </w:rPr>
        <w:t> лв.</w:t>
      </w:r>
      <w:r w:rsidRPr="007404FA">
        <w:rPr>
          <w:rFonts w:ascii="Times New Roman" w:eastAsia="Batang" w:hAnsi="Times New Roman" w:cs="Times New Roman"/>
          <w:sz w:val="24"/>
          <w:szCs w:val="24"/>
        </w:rPr>
        <w:t xml:space="preserve"> </w:t>
      </w:r>
      <w:r w:rsidR="0033615F" w:rsidRPr="007404FA">
        <w:rPr>
          <w:rFonts w:ascii="Times New Roman" w:eastAsia="Batang" w:hAnsi="Times New Roman" w:cs="Times New Roman"/>
          <w:sz w:val="24"/>
          <w:szCs w:val="24"/>
        </w:rPr>
        <w:t>В процес на принудително събиране от НАП към 31.12.2022</w:t>
      </w:r>
      <w:r w:rsidR="00F06583" w:rsidRPr="007404FA">
        <w:rPr>
          <w:rFonts w:ascii="Times New Roman" w:eastAsia="Batang" w:hAnsi="Times New Roman" w:cs="Times New Roman"/>
          <w:sz w:val="24"/>
          <w:szCs w:val="24"/>
        </w:rPr>
        <w:t> г.</w:t>
      </w:r>
      <w:r w:rsidR="0033615F" w:rsidRPr="007404FA">
        <w:rPr>
          <w:rFonts w:ascii="Times New Roman" w:eastAsia="Batang" w:hAnsi="Times New Roman" w:cs="Times New Roman"/>
          <w:sz w:val="24"/>
          <w:szCs w:val="24"/>
        </w:rPr>
        <w:t xml:space="preserve"> са санкции, наложени с НП, в размер на 75 631</w:t>
      </w:r>
      <w:r w:rsidR="003742EB" w:rsidRPr="007404FA">
        <w:rPr>
          <w:rFonts w:ascii="Times New Roman" w:eastAsia="Batang" w:hAnsi="Times New Roman" w:cs="Times New Roman"/>
          <w:sz w:val="24"/>
          <w:szCs w:val="24"/>
        </w:rPr>
        <w:t> лв.</w:t>
      </w:r>
      <w:r w:rsidR="0033615F" w:rsidRPr="007404FA">
        <w:rPr>
          <w:rFonts w:ascii="Times New Roman" w:eastAsia="Batang" w:hAnsi="Times New Roman" w:cs="Times New Roman"/>
          <w:sz w:val="24"/>
          <w:szCs w:val="24"/>
        </w:rPr>
        <w:t>, като през 2022</w:t>
      </w:r>
      <w:r w:rsidR="00F06583" w:rsidRPr="007404FA">
        <w:rPr>
          <w:rFonts w:ascii="Times New Roman" w:eastAsia="Batang" w:hAnsi="Times New Roman" w:cs="Times New Roman"/>
          <w:sz w:val="24"/>
          <w:szCs w:val="24"/>
        </w:rPr>
        <w:t> г.</w:t>
      </w:r>
      <w:r w:rsidR="00230754">
        <w:rPr>
          <w:rFonts w:ascii="Times New Roman" w:eastAsia="Batang" w:hAnsi="Times New Roman" w:cs="Times New Roman"/>
          <w:sz w:val="24"/>
          <w:szCs w:val="24"/>
        </w:rPr>
        <w:t xml:space="preserve"> е събрана сума в размер на 6</w:t>
      </w:r>
      <w:r w:rsidR="0033615F" w:rsidRPr="007404FA">
        <w:rPr>
          <w:rFonts w:ascii="Times New Roman" w:eastAsia="Batang" w:hAnsi="Times New Roman" w:cs="Times New Roman"/>
          <w:sz w:val="24"/>
          <w:szCs w:val="24"/>
        </w:rPr>
        <w:t>771</w:t>
      </w:r>
      <w:r w:rsidR="003742EB" w:rsidRPr="007404FA">
        <w:rPr>
          <w:rFonts w:ascii="Times New Roman" w:eastAsia="Batang" w:hAnsi="Times New Roman" w:cs="Times New Roman"/>
          <w:sz w:val="24"/>
          <w:szCs w:val="24"/>
        </w:rPr>
        <w:t> лв.</w:t>
      </w:r>
      <w:r w:rsidR="00230754">
        <w:rPr>
          <w:rFonts w:ascii="Times New Roman" w:eastAsia="Batang" w:hAnsi="Times New Roman" w:cs="Times New Roman"/>
          <w:sz w:val="24"/>
          <w:szCs w:val="24"/>
        </w:rPr>
        <w:t xml:space="preserve"> От наложените с НП санкции</w:t>
      </w:r>
      <w:r w:rsidR="0033615F" w:rsidRPr="007404FA">
        <w:rPr>
          <w:rFonts w:ascii="Times New Roman" w:eastAsia="Batang" w:hAnsi="Times New Roman" w:cs="Times New Roman"/>
          <w:sz w:val="24"/>
          <w:szCs w:val="24"/>
        </w:rPr>
        <w:t xml:space="preserve"> през 2022</w:t>
      </w:r>
      <w:r w:rsidR="00F06583" w:rsidRPr="007404FA">
        <w:rPr>
          <w:rFonts w:ascii="Times New Roman" w:eastAsia="Batang" w:hAnsi="Times New Roman" w:cs="Times New Roman"/>
          <w:sz w:val="24"/>
          <w:szCs w:val="24"/>
        </w:rPr>
        <w:t> г.</w:t>
      </w:r>
      <w:r w:rsidR="0033615F" w:rsidRPr="007404FA">
        <w:rPr>
          <w:rFonts w:ascii="Times New Roman" w:eastAsia="Batang" w:hAnsi="Times New Roman" w:cs="Times New Roman"/>
          <w:sz w:val="24"/>
          <w:szCs w:val="24"/>
        </w:rPr>
        <w:t xml:space="preserve"> са платени общо 28 000</w:t>
      </w:r>
      <w:r w:rsidR="003742EB" w:rsidRPr="007404FA">
        <w:rPr>
          <w:rFonts w:ascii="Times New Roman" w:eastAsia="Batang" w:hAnsi="Times New Roman" w:cs="Times New Roman"/>
          <w:sz w:val="24"/>
          <w:szCs w:val="24"/>
        </w:rPr>
        <w:t> лв.</w:t>
      </w:r>
      <w:r w:rsidR="00230754">
        <w:rPr>
          <w:rFonts w:ascii="Times New Roman" w:eastAsia="Batang" w:hAnsi="Times New Roman" w:cs="Times New Roman"/>
          <w:sz w:val="24"/>
          <w:szCs w:val="24"/>
        </w:rPr>
        <w:t>, а 3</w:t>
      </w:r>
      <w:r w:rsidR="0033615F" w:rsidRPr="007404FA">
        <w:rPr>
          <w:rFonts w:ascii="Times New Roman" w:eastAsia="Batang" w:hAnsi="Times New Roman" w:cs="Times New Roman"/>
          <w:sz w:val="24"/>
          <w:szCs w:val="24"/>
        </w:rPr>
        <w:t>000</w:t>
      </w:r>
      <w:r w:rsidR="003742EB" w:rsidRPr="007404FA">
        <w:rPr>
          <w:rFonts w:ascii="Times New Roman" w:eastAsia="Batang" w:hAnsi="Times New Roman" w:cs="Times New Roman"/>
          <w:sz w:val="24"/>
          <w:szCs w:val="24"/>
        </w:rPr>
        <w:t> лв.</w:t>
      </w:r>
      <w:r w:rsidR="0033615F" w:rsidRPr="007404FA">
        <w:rPr>
          <w:rFonts w:ascii="Times New Roman" w:eastAsia="Batang" w:hAnsi="Times New Roman" w:cs="Times New Roman"/>
          <w:sz w:val="24"/>
          <w:szCs w:val="24"/>
        </w:rPr>
        <w:t xml:space="preserve"> са в процес на събиране с покана за доброволно изпълнение.</w:t>
      </w:r>
    </w:p>
    <w:p w:rsidR="0063284A" w:rsidRPr="007404FA" w:rsidRDefault="0063284A" w:rsidP="00DB6B05">
      <w:pPr>
        <w:widowControl w:val="0"/>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Със сключени </w:t>
      </w:r>
      <w:r w:rsidR="004D2A88" w:rsidRPr="007404FA">
        <w:rPr>
          <w:rFonts w:ascii="Times New Roman" w:hAnsi="Times New Roman" w:cs="Times New Roman"/>
          <w:sz w:val="24"/>
          <w:szCs w:val="24"/>
        </w:rPr>
        <w:t>4</w:t>
      </w:r>
      <w:r w:rsidR="00D1189D" w:rsidRPr="007404FA">
        <w:rPr>
          <w:rFonts w:ascii="Times New Roman" w:hAnsi="Times New Roman" w:cs="Times New Roman"/>
          <w:sz w:val="24"/>
          <w:szCs w:val="24"/>
        </w:rPr>
        <w:t> бр</w:t>
      </w:r>
      <w:r w:rsidR="00D1189D" w:rsidRPr="007404FA">
        <w:rPr>
          <w:rFonts w:ascii="Times New Roman" w:hAnsi="Times New Roman" w:cs="Times New Roman"/>
          <w:b/>
          <w:sz w:val="24"/>
          <w:szCs w:val="24"/>
        </w:rPr>
        <w:t>.</w:t>
      </w:r>
      <w:r w:rsidRPr="007404FA">
        <w:rPr>
          <w:rFonts w:ascii="Times New Roman" w:hAnsi="Times New Roman" w:cs="Times New Roman"/>
          <w:sz w:val="24"/>
          <w:szCs w:val="24"/>
        </w:rPr>
        <w:t xml:space="preserve"> споразумения по административнонаказателни производства са наложени имуществени санкции в размер на </w:t>
      </w:r>
      <w:r w:rsidR="00230754">
        <w:rPr>
          <w:rFonts w:ascii="Times New Roman" w:hAnsi="Times New Roman" w:cs="Times New Roman"/>
          <w:sz w:val="24"/>
          <w:szCs w:val="24"/>
        </w:rPr>
        <w:t>3</w:t>
      </w:r>
      <w:r w:rsidR="004D2A88" w:rsidRPr="007404FA">
        <w:rPr>
          <w:rFonts w:ascii="Times New Roman" w:hAnsi="Times New Roman" w:cs="Times New Roman"/>
          <w:sz w:val="24"/>
          <w:szCs w:val="24"/>
        </w:rPr>
        <w:t>700</w:t>
      </w:r>
      <w:r w:rsidR="003742EB" w:rsidRPr="007404FA">
        <w:rPr>
          <w:rFonts w:ascii="Times New Roman" w:hAnsi="Times New Roman" w:cs="Times New Roman"/>
          <w:sz w:val="24"/>
          <w:szCs w:val="24"/>
        </w:rPr>
        <w:t> лв.</w:t>
      </w:r>
      <w:r w:rsidR="00BC5D0A" w:rsidRPr="007404FA">
        <w:rPr>
          <w:rFonts w:ascii="Times New Roman" w:hAnsi="Times New Roman" w:cs="Times New Roman"/>
          <w:sz w:val="24"/>
          <w:szCs w:val="24"/>
        </w:rPr>
        <w:t xml:space="preserve"> </w:t>
      </w:r>
    </w:p>
    <w:p w:rsidR="0063284A" w:rsidRPr="007404FA" w:rsidRDefault="0063284A" w:rsidP="00DB6B05">
      <w:pPr>
        <w:spacing w:line="360" w:lineRule="auto"/>
        <w:ind w:firstLine="709"/>
        <w:jc w:val="both"/>
        <w:textAlignment w:val="center"/>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lastRenderedPageBreak/>
        <w:t>Правоохранителната дейност на КЗЛД, в частност контролната дейност и налагането на санкции при констатиране на нарушения, е гаранция за спазване на правовия ред и за защита правата на физическите лица при обработване на личните им данни. С развитието на технологиите отговорността нараства, гаранцията за правата и свободите на физическите лица силно зависят от финансовата и политическа</w:t>
      </w:r>
      <w:r w:rsidR="00230754">
        <w:rPr>
          <w:rFonts w:ascii="Times New Roman" w:eastAsia="Times New Roman" w:hAnsi="Times New Roman" w:cs="Times New Roman"/>
          <w:sz w:val="24"/>
          <w:szCs w:val="24"/>
        </w:rPr>
        <w:t>та</w:t>
      </w:r>
      <w:r w:rsidRPr="007404FA">
        <w:rPr>
          <w:rFonts w:ascii="Times New Roman" w:eastAsia="Times New Roman" w:hAnsi="Times New Roman" w:cs="Times New Roman"/>
          <w:sz w:val="24"/>
          <w:szCs w:val="24"/>
        </w:rPr>
        <w:t xml:space="preserve"> независимост на надзорния орган и неговата обезпеченост да взема независими решения, гарантиращи правата на субектите на данни, като използва капацитета на експертите, работещи в структурата</w:t>
      </w:r>
      <w:r w:rsidR="00230754">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xml:space="preserve"> и доказателствата, събрани в процеса на контролната дейност. В тази връзка следва да се отбележи необходимостта от допълнително квалифициране и обучение на експертите по</w:t>
      </w:r>
      <w:r w:rsidR="00230754">
        <w:rPr>
          <w:rFonts w:ascii="Times New Roman" w:eastAsia="Times New Roman" w:hAnsi="Times New Roman" w:cs="Times New Roman"/>
          <w:sz w:val="24"/>
          <w:szCs w:val="24"/>
        </w:rPr>
        <w:t xml:space="preserve"> отношение на новите технологии</w:t>
      </w:r>
      <w:r w:rsidRPr="007404FA">
        <w:rPr>
          <w:rFonts w:ascii="Times New Roman" w:eastAsia="Times New Roman" w:hAnsi="Times New Roman" w:cs="Times New Roman"/>
          <w:sz w:val="24"/>
          <w:szCs w:val="24"/>
        </w:rPr>
        <w:t xml:space="preserve"> с цел да се отговори на завишените изисквания и технически достижения.</w:t>
      </w:r>
    </w:p>
    <w:p w:rsidR="00E42714" w:rsidRPr="007404FA" w:rsidRDefault="00E42714" w:rsidP="00DB6B05">
      <w:pPr>
        <w:spacing w:line="360" w:lineRule="auto"/>
        <w:ind w:firstLine="709"/>
        <w:jc w:val="both"/>
        <w:rPr>
          <w:rFonts w:ascii="Times New Roman" w:eastAsia="Times New Roman" w:hAnsi="Times New Roman" w:cs="Times New Roman"/>
          <w:b/>
          <w:sz w:val="24"/>
          <w:szCs w:val="24"/>
        </w:rPr>
      </w:pPr>
    </w:p>
    <w:p w:rsidR="0063284A" w:rsidRPr="007404FA" w:rsidRDefault="00C74166" w:rsidP="00DB6B05">
      <w:pPr>
        <w:spacing w:line="360" w:lineRule="auto"/>
        <w:ind w:firstLine="709"/>
        <w:jc w:val="both"/>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6</w:t>
      </w:r>
      <w:r w:rsidR="0063284A" w:rsidRPr="007404FA">
        <w:rPr>
          <w:rFonts w:ascii="Times New Roman" w:eastAsia="Times New Roman" w:hAnsi="Times New Roman" w:cs="Times New Roman"/>
          <w:b/>
          <w:sz w:val="24"/>
          <w:szCs w:val="24"/>
        </w:rPr>
        <w:t xml:space="preserve">. Уведомления за нарушения на сигурността на личните данни. </w:t>
      </w:r>
    </w:p>
    <w:p w:rsidR="0063284A" w:rsidRPr="007404FA" w:rsidRDefault="009B7354" w:rsidP="00DB6B05">
      <w:pPr>
        <w:spacing w:line="360" w:lineRule="auto"/>
        <w:ind w:firstLine="709"/>
        <w:jc w:val="both"/>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6.1.</w:t>
      </w:r>
      <w:r w:rsidR="0063284A" w:rsidRPr="007404FA">
        <w:rPr>
          <w:rFonts w:ascii="Times New Roman" w:eastAsia="Times New Roman" w:hAnsi="Times New Roman" w:cs="Times New Roman"/>
          <w:b/>
          <w:sz w:val="24"/>
          <w:szCs w:val="24"/>
        </w:rPr>
        <w:t xml:space="preserve"> Статистика и анализ на получените уведомления.</w:t>
      </w:r>
    </w:p>
    <w:p w:rsidR="0070275C" w:rsidRDefault="0063284A"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Един от важните елементи в контролната дейност на КЗЛД е свързан с производствата по разглеждане на уведомления за нарушение на сигурността на личните данни по</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33 от Регламент (ЕС) 2016/679. В случай на нарушение сигурността на обработваните лични данни администраторът е длъжен без ненужно забавяне, но не по-късно от 72 часа след като е разбрал за нарушението, да уведоми надзорния орган, а в някои случаи и физическите лица, субекти на данни. Изключение от задължението за подаване на уведомление до КЗЛД се допуска в хипотезата, в която не съществува вероятност нарушението да породи риск за правата и свободите на физическите лица. Съгласно определението, посочено в Регламента</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 xml:space="preserve">„нарушение на сигурността на лични данни“ </w:t>
      </w:r>
      <w:r w:rsidR="007C397A" w:rsidRPr="007404FA">
        <w:rPr>
          <w:rFonts w:ascii="Times New Roman" w:eastAsia="Times New Roman" w:hAnsi="Times New Roman" w:cs="Times New Roman"/>
          <w:sz w:val="24"/>
          <w:szCs w:val="24"/>
        </w:rPr>
        <w:t>е</w:t>
      </w:r>
      <w:r w:rsidRPr="007404FA">
        <w:rPr>
          <w:rFonts w:ascii="Times New Roman" w:eastAsia="Times New Roman" w:hAnsi="Times New Roman" w:cs="Times New Roman"/>
          <w:sz w:val="24"/>
          <w:szCs w:val="24"/>
        </w:rPr>
        <w:t xml:space="preserve"> нарушение на сигурността, което води до случайно или неправомерно унищожаване, загуба, промяна, неразрешено разкриване или достъп до лични данни, които се предават, съхраняват или обработват по друг начин“. Следва да се отбележи, че в зависимост от обстоятелствата нарушението може да засегне поверителността, целостта и наличността на личните данни, както и каквато и да е комбинация от тях. Регламентът задължава администратора да оцени рисковете с различна вероятност и тежест и да приложи всички подходящи технически и организационни мерки, за да бъдат защитени правата на субектите. Установяването на нарушение и своевременното информиране на надзорния орган и на субектите на данни са свързани с отчитането на естеството и тежестта на нарушението и последиците, както и с оценяването на неблагоприятното въздействие от тях върху субектите на данни.</w:t>
      </w:r>
      <w:r w:rsidR="00157B49">
        <w:rPr>
          <w:rFonts w:ascii="Times New Roman" w:eastAsia="Times New Roman" w:hAnsi="Times New Roman" w:cs="Times New Roman"/>
          <w:sz w:val="24"/>
          <w:szCs w:val="24"/>
        </w:rPr>
        <w:t xml:space="preserve"> </w:t>
      </w:r>
    </w:p>
    <w:p w:rsidR="0063284A" w:rsidRPr="007404FA" w:rsidRDefault="0063284A"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lastRenderedPageBreak/>
        <w:t>В изпълнение на</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15 от ЗЗЛД и</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62 от Правилника за дейността на Комисията и на нейната администрация</w:t>
      </w:r>
      <w:r w:rsidR="000B1237" w:rsidRPr="007404FA">
        <w:rPr>
          <w:rFonts w:ascii="Times New Roman" w:eastAsia="Times New Roman" w:hAnsi="Times New Roman" w:cs="Times New Roman"/>
          <w:sz w:val="24"/>
          <w:szCs w:val="24"/>
        </w:rPr>
        <w:t xml:space="preserve"> (ПДКЗЛДНА)</w:t>
      </w:r>
      <w:r w:rsidRPr="007404FA">
        <w:rPr>
          <w:rFonts w:ascii="Times New Roman" w:eastAsia="Times New Roman" w:hAnsi="Times New Roman" w:cs="Times New Roman"/>
          <w:sz w:val="24"/>
          <w:szCs w:val="24"/>
        </w:rPr>
        <w:t xml:space="preserve"> КЗЛД регистрира уведомленията за нарушение на сигурността на личните данни в съответния регистър и извършва анализ за наличие на информацията по</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33, §3 от Регламент (ЕС) 2016/679, както и определя нивото на риска съгласно Методика</w:t>
      </w:r>
      <w:r w:rsidR="002762F8" w:rsidRPr="007404FA">
        <w:rPr>
          <w:rFonts w:ascii="Times New Roman" w:eastAsia="Times New Roman" w:hAnsi="Times New Roman" w:cs="Times New Roman"/>
          <w:sz w:val="24"/>
          <w:szCs w:val="24"/>
        </w:rPr>
        <w:t>та</w:t>
      </w:r>
      <w:r w:rsidRPr="007404FA">
        <w:rPr>
          <w:rFonts w:ascii="Times New Roman" w:eastAsia="Times New Roman" w:hAnsi="Times New Roman" w:cs="Times New Roman"/>
          <w:sz w:val="24"/>
          <w:szCs w:val="24"/>
        </w:rPr>
        <w:t xml:space="preserve"> за оценка на риска при нарушение на сигурността на личните данни, приета от Комисията. </w:t>
      </w:r>
    </w:p>
    <w:p w:rsidR="0063284A" w:rsidRPr="007404FA" w:rsidRDefault="0063284A"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За отчетния период в КЗЛД са получени общо 80 уведомления за нарушения на сигурността на данните. Голяма част от администраторите, които подават уведомления за нарушение, използват образеца на уведомлението, утвърден от КЗЛД през 2021</w:t>
      </w:r>
      <w:r w:rsidR="00F06583" w:rsidRPr="007404FA">
        <w:rPr>
          <w:rFonts w:ascii="Times New Roman" w:eastAsia="Times New Roman" w:hAnsi="Times New Roman" w:cs="Times New Roman"/>
          <w:sz w:val="24"/>
          <w:szCs w:val="24"/>
        </w:rPr>
        <w:t> г.</w:t>
      </w:r>
    </w:p>
    <w:p w:rsidR="0063284A" w:rsidRPr="007404FA" w:rsidRDefault="0063284A"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От общо подадените уведомления 16 са преценени с ниско ниво на риск за правата и свободите на физическите лица. Това са случаите, в които е малка или незначителна вероятността от нарушението на сигурността на личните данни да настъпят имуществени или неимуществени вреди за субекта на данни. По такива случаи не се предприемат допълнителни действия от страна на надзорния орган.</w:t>
      </w:r>
      <w:r w:rsidR="00157B49">
        <w:rPr>
          <w:rFonts w:ascii="Times New Roman" w:eastAsia="Times New Roman" w:hAnsi="Times New Roman" w:cs="Times New Roman"/>
          <w:sz w:val="24"/>
          <w:szCs w:val="24"/>
        </w:rPr>
        <w:t xml:space="preserve"> </w:t>
      </w:r>
    </w:p>
    <w:p w:rsidR="0063284A" w:rsidRPr="007404FA" w:rsidRDefault="0063284A"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Със средно ниво на риск са преценени 27 уведомления. Касае се за случаи, при които вероятността за субекта на данни да настъпят имуществени или неимуществени вреди в резултат на нарушението на сигурността на личните данни е голяма или много голяма. Също така тези вреди може да се състоят в незначителни финансови загуби, незначителни икономически или социални неблагоприятни последствия, накърняване на репутацията, разкриване, разпространяване или осигуряване на неразрешен достъп до лични данни по</w:t>
      </w:r>
      <w:r w:rsidR="00F06583" w:rsidRPr="007404FA">
        <w:rPr>
          <w:rFonts w:ascii="Times New Roman" w:eastAsia="Times New Roman" w:hAnsi="Times New Roman" w:cs="Times New Roman"/>
          <w:sz w:val="24"/>
          <w:szCs w:val="24"/>
        </w:rPr>
        <w:t xml:space="preserve"> чл. </w:t>
      </w:r>
      <w:r w:rsidR="00E92899" w:rsidRPr="007404FA">
        <w:rPr>
          <w:rFonts w:ascii="Times New Roman" w:eastAsia="Times New Roman" w:hAnsi="Times New Roman" w:cs="Times New Roman"/>
          <w:sz w:val="24"/>
          <w:szCs w:val="24"/>
        </w:rPr>
        <w:t xml:space="preserve">9, </w:t>
      </w:r>
      <w:r w:rsidR="0070275C">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1 или</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10 от Регламент (ЕС) 2016/679, автоматизирано вземане на решение, което може да породи правни последствия за отделен субект на данни или по подобен начин да го засегне в значителна степен, вкл. профилиране, лишаване на субекта на данни от контрол върху негови лични данни, незначително засягане на права или свободи на едно или повече физически лица. В случаите, в които се определя средно ниво на риск, се извършва проверка по документи, като се изисква от администратора представяне на допълнителна информация. След получаване на информацията случаите отново се разглеждат и преценяват. Осъществени са 22 такива проверки, засягащи множество администратори. В края на отчетния период по 5 от преписките за нарушения проверките все още не са приключили.</w:t>
      </w:r>
    </w:p>
    <w:p w:rsidR="0063284A" w:rsidRPr="007404FA" w:rsidRDefault="0063284A"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С високо ниво на риск са оценени 8 уведомления. В тези случаи вероятността за субекта на данни да настъпят имуществени или неимуществени вреди в резултат на нарушението на сигурността на личните данни е сигурна или значителна.</w:t>
      </w:r>
      <w:r w:rsidR="00157B49">
        <w:rPr>
          <w:rFonts w:ascii="Times New Roman" w:eastAsia="Times New Roman" w:hAnsi="Times New Roman" w:cs="Times New Roman"/>
          <w:sz w:val="24"/>
          <w:szCs w:val="24"/>
        </w:rPr>
        <w:t xml:space="preserve"> </w:t>
      </w:r>
      <w:r w:rsidR="009A3AF4" w:rsidRPr="007404FA">
        <w:rPr>
          <w:rFonts w:ascii="Times New Roman" w:eastAsia="Times New Roman" w:hAnsi="Times New Roman" w:cs="Times New Roman"/>
          <w:sz w:val="24"/>
          <w:szCs w:val="24"/>
        </w:rPr>
        <w:t>Такива</w:t>
      </w:r>
      <w:r w:rsidRPr="007404FA">
        <w:rPr>
          <w:rFonts w:ascii="Times New Roman" w:eastAsia="Times New Roman" w:hAnsi="Times New Roman" w:cs="Times New Roman"/>
          <w:sz w:val="24"/>
          <w:szCs w:val="24"/>
        </w:rPr>
        <w:t xml:space="preserve"> вреди може да включват кражба на самоличност, измама с фалшива самоличност, финансови загуби, значителни икономически или социални неблагоприятни последствия на едно или </w:t>
      </w:r>
      <w:r w:rsidRPr="007404FA">
        <w:rPr>
          <w:rFonts w:ascii="Times New Roman" w:eastAsia="Times New Roman" w:hAnsi="Times New Roman" w:cs="Times New Roman"/>
          <w:sz w:val="24"/>
          <w:szCs w:val="24"/>
        </w:rPr>
        <w:lastRenderedPageBreak/>
        <w:t>повече физически лица, лишаване от права или свободи на едно или повече физически лица, автоматизирано вземане на решение, което може да породи правни последствия за множество субекти на данни или по подобен начин да ги засегне в значителна степен, вкл. профилиране, или когато вредите засягат голям брой субекти на данни или уязвими лица</w:t>
      </w:r>
      <w:r w:rsidR="0070275C">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xml:space="preserve"> или се засяга голям обем лични данни. В тези случаи </w:t>
      </w:r>
      <w:r w:rsidR="00E92899" w:rsidRPr="007404FA">
        <w:rPr>
          <w:rFonts w:ascii="Times New Roman" w:eastAsia="Times New Roman" w:hAnsi="Times New Roman" w:cs="Times New Roman"/>
          <w:sz w:val="24"/>
          <w:szCs w:val="24"/>
        </w:rPr>
        <w:t>КЗЛД</w:t>
      </w:r>
      <w:r w:rsidRPr="007404FA">
        <w:rPr>
          <w:rFonts w:ascii="Times New Roman" w:eastAsia="Times New Roman" w:hAnsi="Times New Roman" w:cs="Times New Roman"/>
          <w:sz w:val="24"/>
          <w:szCs w:val="24"/>
        </w:rPr>
        <w:t xml:space="preserve"> извършва проверка на място при администратора. </w:t>
      </w:r>
    </w:p>
    <w:p w:rsidR="0063284A" w:rsidRPr="007404FA" w:rsidRDefault="0063284A"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При 15 от случаите, свързани с нарушения на сигурността на личните данни, има трансгранично обработване, което налага на основание</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56 от Регламента</w:t>
      </w:r>
      <w:r w:rsidR="00EB3C5B">
        <w:rPr>
          <w:rFonts w:ascii="Times New Roman" w:eastAsia="Times New Roman" w:hAnsi="Times New Roman" w:cs="Times New Roman"/>
          <w:sz w:val="24"/>
          <w:szCs w:val="24"/>
        </w:rPr>
        <w:t xml:space="preserve"> на</w:t>
      </w:r>
      <w:r w:rsidRPr="007404FA">
        <w:rPr>
          <w:rFonts w:ascii="Times New Roman" w:eastAsia="Times New Roman" w:hAnsi="Times New Roman" w:cs="Times New Roman"/>
          <w:sz w:val="24"/>
          <w:szCs w:val="24"/>
        </w:rPr>
        <w:t xml:space="preserve"> КЗЛД да се конституира като засегнат надзорен орган (ЗНО) и да се регистрира като такъв в Информационната система на вътрешния пазар (ИСВП).</w:t>
      </w:r>
    </w:p>
    <w:p w:rsidR="0063284A" w:rsidRDefault="0063284A"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 xml:space="preserve">На </w:t>
      </w:r>
      <w:r w:rsidR="00EB3C5B">
        <w:rPr>
          <w:rFonts w:ascii="Times New Roman" w:eastAsia="Times New Roman" w:hAnsi="Times New Roman" w:cs="Times New Roman"/>
          <w:b/>
          <w:sz w:val="24"/>
          <w:szCs w:val="24"/>
        </w:rPr>
        <w:t>ф</w:t>
      </w:r>
      <w:r w:rsidRPr="007404FA">
        <w:rPr>
          <w:rFonts w:ascii="Times New Roman" w:eastAsia="Times New Roman" w:hAnsi="Times New Roman" w:cs="Times New Roman"/>
          <w:b/>
          <w:sz w:val="24"/>
          <w:szCs w:val="24"/>
        </w:rPr>
        <w:t>иг. 9</w:t>
      </w:r>
      <w:r w:rsidRPr="007404FA">
        <w:rPr>
          <w:rFonts w:ascii="Times New Roman" w:eastAsia="Times New Roman" w:hAnsi="Times New Roman" w:cs="Times New Roman"/>
          <w:sz w:val="24"/>
          <w:szCs w:val="24"/>
        </w:rPr>
        <w:t xml:space="preserve"> е представено процентното съотношение на постъпилите уведомления за нарушение на сигурността на данните и съответното решение на КЗЛД. Най-висок е процентът на случаите, за които при анализа е установено средно ниво на риск</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34%. Случаите на инциденти с ниско ниво на риск са 20%, а с високо ниво на риск са 10%. КЗЛД е ЗНО в 19% от случаите, като 17% са „други“ случаи.</w:t>
      </w:r>
    </w:p>
    <w:p w:rsidR="00941033" w:rsidRPr="007404FA" w:rsidRDefault="00941033" w:rsidP="00DB6B05">
      <w:pPr>
        <w:spacing w:line="360" w:lineRule="auto"/>
        <w:ind w:firstLine="709"/>
        <w:jc w:val="both"/>
        <w:rPr>
          <w:rFonts w:ascii="Times New Roman" w:eastAsia="Times New Roman" w:hAnsi="Times New Roman" w:cs="Times New Roman"/>
          <w:sz w:val="24"/>
          <w:szCs w:val="24"/>
        </w:rPr>
      </w:pPr>
    </w:p>
    <w:p w:rsidR="00360E0A" w:rsidRPr="007404FA" w:rsidRDefault="00C97143" w:rsidP="00941033">
      <w:pPr>
        <w:spacing w:line="360" w:lineRule="auto"/>
        <w:ind w:firstLine="567"/>
        <w:jc w:val="center"/>
        <w:rPr>
          <w:rFonts w:ascii="Times New Roman" w:eastAsia="Times New Roman" w:hAnsi="Times New Roman" w:cs="Times New Roman"/>
          <w:b/>
          <w:sz w:val="24"/>
          <w:szCs w:val="24"/>
          <w:highlight w:val="yellow"/>
        </w:rPr>
      </w:pPr>
      <w:r w:rsidRPr="007404FA">
        <w:rPr>
          <w:rFonts w:eastAsia="Times New Roman" w:cs="Times New Roman"/>
          <w:noProof/>
          <w:lang w:val="en-US" w:eastAsia="en-US"/>
        </w:rPr>
        <w:drawing>
          <wp:inline distT="0" distB="0" distL="0" distR="0" wp14:anchorId="21618807" wp14:editId="35AC2A44">
            <wp:extent cx="5303520" cy="3641698"/>
            <wp:effectExtent l="57150" t="57150" r="49530" b="54610"/>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3284A" w:rsidRPr="007404FA" w:rsidRDefault="0063284A" w:rsidP="00DB6B05">
      <w:pPr>
        <w:spacing w:line="360" w:lineRule="auto"/>
        <w:ind w:firstLine="709"/>
        <w:jc w:val="center"/>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Фиг. 9</w:t>
      </w:r>
    </w:p>
    <w:p w:rsidR="0063284A" w:rsidRPr="007404FA" w:rsidRDefault="0063284A" w:rsidP="00DB6B05">
      <w:pPr>
        <w:spacing w:line="360" w:lineRule="auto"/>
        <w:ind w:firstLine="709"/>
        <w:jc w:val="both"/>
        <w:rPr>
          <w:rFonts w:ascii="Times New Roman" w:eastAsia="Times New Roman" w:hAnsi="Times New Roman" w:cs="Times New Roman"/>
          <w:sz w:val="24"/>
          <w:szCs w:val="24"/>
        </w:rPr>
      </w:pPr>
    </w:p>
    <w:p w:rsidR="0063284A" w:rsidRPr="007404FA" w:rsidRDefault="0063284A"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В частта „други“ са 14 от уведомленията, които са преценени,</w:t>
      </w:r>
      <w:r w:rsidR="00EB3C5B">
        <w:rPr>
          <w:rFonts w:ascii="Times New Roman" w:eastAsia="Times New Roman" w:hAnsi="Times New Roman" w:cs="Times New Roman"/>
          <w:sz w:val="24"/>
          <w:szCs w:val="24"/>
        </w:rPr>
        <w:t xml:space="preserve"> както следва: за 1 уведомление</w:t>
      </w:r>
      <w:r w:rsidRPr="007404FA">
        <w:rPr>
          <w:rFonts w:ascii="Times New Roman" w:eastAsia="Times New Roman" w:hAnsi="Times New Roman" w:cs="Times New Roman"/>
          <w:sz w:val="24"/>
          <w:szCs w:val="24"/>
        </w:rPr>
        <w:t xml:space="preserve"> след анализ на изложеното в</w:t>
      </w:r>
      <w:r w:rsidR="00157B49">
        <w:rPr>
          <w:rFonts w:ascii="Times New Roman" w:eastAsia="Times New Roman" w:hAnsi="Times New Roman" w:cs="Times New Roman"/>
          <w:sz w:val="24"/>
          <w:szCs w:val="24"/>
        </w:rPr>
        <w:t xml:space="preserve"> </w:t>
      </w:r>
      <w:r w:rsidR="00EB3C5B">
        <w:rPr>
          <w:rFonts w:ascii="Times New Roman" w:eastAsia="Times New Roman" w:hAnsi="Times New Roman" w:cs="Times New Roman"/>
          <w:sz w:val="24"/>
          <w:szCs w:val="24"/>
        </w:rPr>
        <w:t>него</w:t>
      </w:r>
      <w:r w:rsidRPr="007404FA">
        <w:rPr>
          <w:rFonts w:ascii="Times New Roman" w:eastAsia="Times New Roman" w:hAnsi="Times New Roman" w:cs="Times New Roman"/>
          <w:sz w:val="24"/>
          <w:szCs w:val="24"/>
        </w:rPr>
        <w:t xml:space="preserve"> се констатира, че не е от компетенциите на Комисията</w:t>
      </w:r>
      <w:r w:rsidR="00EB3C5B">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xml:space="preserve"> и съответно се приема за сведение. По отношение на 7 от уведомленията е </w:t>
      </w:r>
      <w:r w:rsidRPr="007404FA">
        <w:rPr>
          <w:rFonts w:ascii="Times New Roman" w:eastAsia="Times New Roman" w:hAnsi="Times New Roman" w:cs="Times New Roman"/>
          <w:sz w:val="24"/>
          <w:szCs w:val="24"/>
        </w:rPr>
        <w:lastRenderedPageBreak/>
        <w:t>установено, че няма реален пробив в сигурността на данните. Към категория „други“</w:t>
      </w:r>
      <w:r w:rsidR="00157B49">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 xml:space="preserve">са включени и 3 случая на уведомления, които са приобщени към преписки по сигнал, касаещ същото нарушение. Висящи са 3 преписки, които също влизат в тази категория. </w:t>
      </w:r>
    </w:p>
    <w:p w:rsidR="0063284A" w:rsidRPr="007404FA" w:rsidRDefault="0063284A"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Натрупаните данни по отношение на преценения риск за правата и свободите на засегнатите от нарушенията с</w:t>
      </w:r>
      <w:r w:rsidR="00E9190B" w:rsidRPr="007404FA">
        <w:rPr>
          <w:rFonts w:ascii="Times New Roman" w:eastAsia="Times New Roman" w:hAnsi="Times New Roman" w:cs="Times New Roman"/>
          <w:sz w:val="24"/>
          <w:szCs w:val="24"/>
        </w:rPr>
        <w:t>убекти на данни през годините (</w:t>
      </w:r>
      <w:r w:rsidR="00EB3C5B">
        <w:rPr>
          <w:rFonts w:ascii="Times New Roman" w:eastAsia="Times New Roman" w:hAnsi="Times New Roman" w:cs="Times New Roman"/>
          <w:b/>
          <w:sz w:val="24"/>
          <w:szCs w:val="24"/>
        </w:rPr>
        <w:t>ф</w:t>
      </w:r>
      <w:r w:rsidRPr="007404FA">
        <w:rPr>
          <w:rFonts w:ascii="Times New Roman" w:eastAsia="Times New Roman" w:hAnsi="Times New Roman" w:cs="Times New Roman"/>
          <w:b/>
          <w:sz w:val="24"/>
          <w:szCs w:val="24"/>
        </w:rPr>
        <w:t>иг. 10</w:t>
      </w:r>
      <w:r w:rsidRPr="007404FA">
        <w:rPr>
          <w:rFonts w:ascii="Times New Roman" w:eastAsia="Times New Roman" w:hAnsi="Times New Roman" w:cs="Times New Roman"/>
          <w:sz w:val="24"/>
          <w:szCs w:val="24"/>
        </w:rPr>
        <w:t>) показват тенденция за намаляване на „високия“ риск. За периода от началото на прилагане на ОРЗД броят на регистрираните в КЗЛД уведомления за нарушение на сигурността на данните е сравнително еднакъв. Намаляването на „високите“ рискове сред уведомленията за нарушение говори за повишено разбиране от страна на администраторите за задълженията им, произтичащи от приложимото законодателство в областта на защитата на личните данни, и особено за предприемането на подходящи технически и организационни мерки за осигуряване на сигурност на обработването.</w:t>
      </w:r>
    </w:p>
    <w:p w:rsidR="00922DE8" w:rsidRPr="007404FA" w:rsidRDefault="00922DE8" w:rsidP="00DB6B05">
      <w:pPr>
        <w:spacing w:line="360" w:lineRule="auto"/>
        <w:ind w:firstLine="709"/>
        <w:jc w:val="both"/>
        <w:rPr>
          <w:rFonts w:ascii="Times New Roman" w:eastAsia="Times New Roman" w:hAnsi="Times New Roman" w:cs="Times New Roman"/>
          <w:sz w:val="24"/>
          <w:szCs w:val="24"/>
          <w:highlight w:val="yellow"/>
        </w:rPr>
      </w:pPr>
    </w:p>
    <w:p w:rsidR="00922DE8" w:rsidRPr="007404FA" w:rsidRDefault="00922DE8" w:rsidP="00DB6B05">
      <w:pPr>
        <w:spacing w:line="360" w:lineRule="auto"/>
        <w:ind w:firstLine="567"/>
        <w:jc w:val="both"/>
        <w:rPr>
          <w:rFonts w:ascii="Times New Roman" w:eastAsia="Times New Roman" w:hAnsi="Times New Roman" w:cs="Times New Roman"/>
          <w:sz w:val="24"/>
          <w:szCs w:val="24"/>
          <w:highlight w:val="yellow"/>
        </w:rPr>
      </w:pPr>
      <w:r w:rsidRPr="007404FA">
        <w:rPr>
          <w:rFonts w:eastAsia="Times New Roman" w:cs="Times New Roman"/>
          <w:noProof/>
          <w:lang w:val="en-US" w:eastAsia="en-US"/>
        </w:rPr>
        <w:drawing>
          <wp:inline distT="0" distB="0" distL="0" distR="0" wp14:anchorId="231137C8" wp14:editId="6695B631">
            <wp:extent cx="5486400" cy="3476625"/>
            <wp:effectExtent l="57150" t="57150" r="38100" b="476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3284A" w:rsidRPr="007404FA" w:rsidRDefault="0063284A" w:rsidP="00DB6B05">
      <w:pPr>
        <w:spacing w:line="360" w:lineRule="auto"/>
        <w:ind w:firstLine="709"/>
        <w:jc w:val="center"/>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Фиг. 10</w:t>
      </w:r>
    </w:p>
    <w:p w:rsidR="0063284A" w:rsidRPr="007404FA" w:rsidRDefault="0063284A" w:rsidP="00DB6B05">
      <w:pPr>
        <w:spacing w:line="360" w:lineRule="auto"/>
        <w:ind w:firstLine="709"/>
        <w:jc w:val="both"/>
        <w:rPr>
          <w:rFonts w:ascii="Times New Roman" w:eastAsia="Times New Roman" w:hAnsi="Times New Roman" w:cs="Times New Roman"/>
          <w:sz w:val="24"/>
          <w:szCs w:val="24"/>
        </w:rPr>
      </w:pPr>
    </w:p>
    <w:p w:rsidR="0063284A" w:rsidRPr="007404FA" w:rsidRDefault="0063284A"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 xml:space="preserve">Анализът на нарушенията на сигурността на данните от гледна точка на техния характер показва, че дигиталните пробиви в сигурността на данните са значително по-голям процент от „обикновените“ (физическите) пробиви. Броят на дигиталните пробиви е 45, докато физическите са 24. В 7 от уведомленията няма установено нарушение в сигурността на данните. </w:t>
      </w:r>
    </w:p>
    <w:p w:rsidR="0063284A" w:rsidRPr="007404FA" w:rsidRDefault="0063284A"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lastRenderedPageBreak/>
        <w:t>Видно от разреза, според причините/причинителите на наруш</w:t>
      </w:r>
      <w:r w:rsidR="00E9190B" w:rsidRPr="007404FA">
        <w:rPr>
          <w:rFonts w:ascii="Times New Roman" w:eastAsia="Times New Roman" w:hAnsi="Times New Roman" w:cs="Times New Roman"/>
          <w:sz w:val="24"/>
          <w:szCs w:val="24"/>
        </w:rPr>
        <w:t>ения в сигурността на данните (</w:t>
      </w:r>
      <w:r w:rsidR="00EB3C5B">
        <w:rPr>
          <w:rFonts w:ascii="Times New Roman" w:eastAsia="Times New Roman" w:hAnsi="Times New Roman" w:cs="Times New Roman"/>
          <w:b/>
          <w:sz w:val="24"/>
          <w:szCs w:val="24"/>
        </w:rPr>
        <w:t>ф</w:t>
      </w:r>
      <w:r w:rsidRPr="007404FA">
        <w:rPr>
          <w:rFonts w:ascii="Times New Roman" w:eastAsia="Times New Roman" w:hAnsi="Times New Roman" w:cs="Times New Roman"/>
          <w:b/>
          <w:sz w:val="24"/>
          <w:szCs w:val="24"/>
        </w:rPr>
        <w:t>иг. 11</w:t>
      </w:r>
      <w:r w:rsidR="00EB3C5B">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xml:space="preserve"> най-голям процент са случаите на инциденти, свързани с външни злонамерени атаки към системите на администраторите, представляващи различни по вид киберпрестъпления, включително кражби или криптиране на бази данни, съдържащи лични данни, за което са уведомени и съответните правоохранителни органи</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 xml:space="preserve">66%. На следващо място с 21% са инцидентите, свързани с разкриването на данни пред трети лица вследствие на неволни технически грешки, предизвикани от човешки фактор. В 10% от случаите нарушенията са причинени от злоупотреба със служебно положение. Открадната компютърна техника има в 3% от случаите. </w:t>
      </w:r>
    </w:p>
    <w:p w:rsidR="0063284A" w:rsidRPr="007404FA" w:rsidRDefault="0063284A" w:rsidP="00DB6B05">
      <w:pPr>
        <w:spacing w:line="360" w:lineRule="auto"/>
        <w:ind w:firstLine="709"/>
        <w:jc w:val="both"/>
        <w:rPr>
          <w:rFonts w:ascii="Times New Roman" w:eastAsia="Times New Roman" w:hAnsi="Times New Roman" w:cs="Times New Roman"/>
          <w:sz w:val="24"/>
          <w:szCs w:val="24"/>
        </w:rPr>
      </w:pPr>
    </w:p>
    <w:p w:rsidR="00922DE8" w:rsidRPr="007404FA" w:rsidRDefault="004255CB" w:rsidP="004A09F8">
      <w:pPr>
        <w:spacing w:line="360" w:lineRule="auto"/>
        <w:ind w:firstLine="567"/>
        <w:jc w:val="both"/>
        <w:rPr>
          <w:rFonts w:ascii="Times New Roman" w:eastAsia="Times New Roman" w:hAnsi="Times New Roman" w:cs="Times New Roman"/>
          <w:b/>
          <w:sz w:val="24"/>
          <w:szCs w:val="24"/>
          <w:highlight w:val="yellow"/>
        </w:rPr>
      </w:pPr>
      <w:r w:rsidRPr="007404FA">
        <w:rPr>
          <w:rFonts w:eastAsia="Times New Roman" w:cs="Times New Roman"/>
          <w:noProof/>
          <w:lang w:val="en-US" w:eastAsia="en-US"/>
        </w:rPr>
        <w:drawing>
          <wp:inline distT="0" distB="0" distL="0" distR="0" wp14:anchorId="3DE45EF3" wp14:editId="7D1B5BE0">
            <wp:extent cx="5184250" cy="4063117"/>
            <wp:effectExtent l="38100" t="57150" r="54610" b="52070"/>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3284A" w:rsidRPr="007404FA" w:rsidRDefault="0063284A" w:rsidP="00DB6B05">
      <w:pPr>
        <w:spacing w:line="360" w:lineRule="auto"/>
        <w:ind w:firstLine="142"/>
        <w:jc w:val="center"/>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Фиг. 11</w:t>
      </w:r>
    </w:p>
    <w:p w:rsidR="0063284A" w:rsidRPr="007404FA" w:rsidRDefault="0063284A" w:rsidP="00DB6B05">
      <w:pPr>
        <w:spacing w:line="360" w:lineRule="auto"/>
        <w:ind w:firstLine="709"/>
        <w:jc w:val="both"/>
        <w:rPr>
          <w:rFonts w:ascii="Times New Roman" w:eastAsia="Times New Roman" w:hAnsi="Times New Roman" w:cs="Times New Roman"/>
          <w:sz w:val="24"/>
          <w:szCs w:val="24"/>
        </w:rPr>
      </w:pPr>
    </w:p>
    <w:p w:rsidR="0063284A" w:rsidRPr="007404FA" w:rsidRDefault="0063284A"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През отчетния период се констатира многообразие на секторите от обществения живот, в които осъществяват дейност подалите уведомления администратори: от тях държавни институции</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10</w:t>
      </w:r>
      <w:r w:rsidR="00D1189D" w:rsidRPr="007404FA">
        <w:rPr>
          <w:rFonts w:ascii="Times New Roman" w:eastAsia="Times New Roman" w:hAnsi="Times New Roman" w:cs="Times New Roman"/>
          <w:sz w:val="24"/>
          <w:szCs w:val="24"/>
        </w:rPr>
        <w:t> бр.</w:t>
      </w:r>
      <w:r w:rsidRPr="007404FA">
        <w:rPr>
          <w:rFonts w:ascii="Times New Roman" w:eastAsia="Times New Roman" w:hAnsi="Times New Roman" w:cs="Times New Roman"/>
          <w:sz w:val="24"/>
          <w:szCs w:val="24"/>
        </w:rPr>
        <w:t>; учебни заведения</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5</w:t>
      </w:r>
      <w:r w:rsidR="00D1189D" w:rsidRPr="007404FA">
        <w:rPr>
          <w:rFonts w:ascii="Times New Roman" w:eastAsia="Times New Roman" w:hAnsi="Times New Roman" w:cs="Times New Roman"/>
          <w:sz w:val="24"/>
          <w:szCs w:val="24"/>
        </w:rPr>
        <w:t> бр.</w:t>
      </w:r>
      <w:r w:rsidRPr="007404FA">
        <w:rPr>
          <w:rFonts w:ascii="Times New Roman" w:eastAsia="Times New Roman" w:hAnsi="Times New Roman" w:cs="Times New Roman"/>
          <w:sz w:val="24"/>
          <w:szCs w:val="24"/>
        </w:rPr>
        <w:t>; болници</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3</w:t>
      </w:r>
      <w:r w:rsidR="00D1189D" w:rsidRPr="007404FA">
        <w:rPr>
          <w:rFonts w:ascii="Times New Roman" w:eastAsia="Times New Roman" w:hAnsi="Times New Roman" w:cs="Times New Roman"/>
          <w:sz w:val="24"/>
          <w:szCs w:val="24"/>
        </w:rPr>
        <w:t> бр.</w:t>
      </w:r>
      <w:r w:rsidRPr="007404FA">
        <w:rPr>
          <w:rFonts w:ascii="Times New Roman" w:eastAsia="Times New Roman" w:hAnsi="Times New Roman" w:cs="Times New Roman"/>
          <w:sz w:val="24"/>
          <w:szCs w:val="24"/>
        </w:rPr>
        <w:t>, а 62</w:t>
      </w:r>
      <w:r w:rsidR="00D1189D" w:rsidRPr="007404FA">
        <w:rPr>
          <w:rFonts w:ascii="Times New Roman" w:eastAsia="Times New Roman" w:hAnsi="Times New Roman" w:cs="Times New Roman"/>
          <w:sz w:val="24"/>
          <w:szCs w:val="24"/>
        </w:rPr>
        <w:t> бр.</w:t>
      </w:r>
      <w:r w:rsidRPr="007404FA">
        <w:rPr>
          <w:rFonts w:ascii="Times New Roman" w:eastAsia="Times New Roman" w:hAnsi="Times New Roman" w:cs="Times New Roman"/>
          <w:sz w:val="24"/>
          <w:szCs w:val="24"/>
        </w:rPr>
        <w:t xml:space="preserve"> обхващат администратори с разнообразен предмет на дейност. </w:t>
      </w:r>
    </w:p>
    <w:p w:rsidR="0063284A" w:rsidRPr="007404FA" w:rsidRDefault="0063284A"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От регистрираните пробиви на сигурността на данните 25% засягат публични институции (държавни и образователни структури), а останалите са от частния сектор.</w:t>
      </w:r>
    </w:p>
    <w:p w:rsidR="0063284A" w:rsidRPr="007404FA" w:rsidRDefault="009B7354" w:rsidP="00DB6B05">
      <w:pPr>
        <w:spacing w:line="360" w:lineRule="auto"/>
        <w:ind w:firstLine="709"/>
        <w:jc w:val="both"/>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lastRenderedPageBreak/>
        <w:t>6.2.</w:t>
      </w:r>
      <w:r w:rsidR="0063284A" w:rsidRPr="007404FA">
        <w:rPr>
          <w:rFonts w:ascii="Times New Roman" w:eastAsia="Times New Roman" w:hAnsi="Times New Roman" w:cs="Times New Roman"/>
          <w:b/>
          <w:sz w:val="24"/>
          <w:szCs w:val="24"/>
        </w:rPr>
        <w:t xml:space="preserve"> Извършени проверки/одити по получените уведомления</w:t>
      </w:r>
      <w:r w:rsidR="00553661" w:rsidRPr="007404FA">
        <w:rPr>
          <w:rFonts w:ascii="Times New Roman" w:eastAsia="Times New Roman" w:hAnsi="Times New Roman" w:cs="Times New Roman"/>
          <w:b/>
          <w:sz w:val="24"/>
          <w:szCs w:val="24"/>
        </w:rPr>
        <w:t xml:space="preserve"> – </w:t>
      </w:r>
      <w:r w:rsidR="0063284A" w:rsidRPr="007404FA">
        <w:rPr>
          <w:rFonts w:ascii="Times New Roman" w:eastAsia="Times New Roman" w:hAnsi="Times New Roman" w:cs="Times New Roman"/>
          <w:b/>
          <w:sz w:val="24"/>
          <w:szCs w:val="24"/>
        </w:rPr>
        <w:t>констативни актове и становища.</w:t>
      </w:r>
    </w:p>
    <w:p w:rsidR="0063284A" w:rsidRPr="007404FA" w:rsidRDefault="0063284A"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 xml:space="preserve">По получените уведомления за нарушения на сигурността на личните данни </w:t>
      </w:r>
      <w:r w:rsidR="005A34C1" w:rsidRPr="007404FA">
        <w:rPr>
          <w:rFonts w:ascii="Times New Roman" w:eastAsia="Times New Roman" w:hAnsi="Times New Roman" w:cs="Times New Roman"/>
          <w:sz w:val="24"/>
          <w:szCs w:val="24"/>
        </w:rPr>
        <w:t>са изготвени</w:t>
      </w:r>
      <w:r w:rsidRPr="007404FA">
        <w:rPr>
          <w:rFonts w:ascii="Times New Roman" w:eastAsia="Times New Roman" w:hAnsi="Times New Roman" w:cs="Times New Roman"/>
          <w:sz w:val="24"/>
          <w:szCs w:val="24"/>
        </w:rPr>
        <w:t xml:space="preserve"> съответни </w:t>
      </w:r>
      <w:r w:rsidR="00C42283" w:rsidRPr="007404FA">
        <w:rPr>
          <w:rFonts w:ascii="Times New Roman" w:eastAsia="Times New Roman" w:hAnsi="Times New Roman" w:cs="Times New Roman"/>
          <w:sz w:val="24"/>
          <w:szCs w:val="24"/>
        </w:rPr>
        <w:t xml:space="preserve">вътрешноведомствени </w:t>
      </w:r>
      <w:r w:rsidRPr="007404FA">
        <w:rPr>
          <w:rFonts w:ascii="Times New Roman" w:eastAsia="Times New Roman" w:hAnsi="Times New Roman" w:cs="Times New Roman"/>
          <w:sz w:val="24"/>
          <w:szCs w:val="24"/>
        </w:rPr>
        <w:t>доклади за определяне нивото на риск и за засегнат надзорен орган. Изготвените констативни актове за отчетния период са 23, становищата</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6. Изготвени са и 14 решения на основание</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 xml:space="preserve">58, </w:t>
      </w:r>
      <w:r w:rsidR="00EB3C5B">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2 от Регламента за налагане на корективни мерки.</w:t>
      </w:r>
    </w:p>
    <w:p w:rsidR="0063284A" w:rsidRPr="007404FA" w:rsidRDefault="0063284A" w:rsidP="00DB6B05">
      <w:pPr>
        <w:spacing w:line="360" w:lineRule="auto"/>
        <w:ind w:firstLine="709"/>
        <w:jc w:val="both"/>
        <w:rPr>
          <w:rFonts w:ascii="Times New Roman" w:eastAsia="Times New Roman" w:hAnsi="Times New Roman" w:cs="Times New Roman"/>
          <w:sz w:val="24"/>
          <w:szCs w:val="24"/>
        </w:rPr>
      </w:pPr>
    </w:p>
    <w:p w:rsidR="0063284A" w:rsidRPr="007404FA" w:rsidRDefault="009B7354" w:rsidP="00DB6B05">
      <w:pPr>
        <w:spacing w:line="360" w:lineRule="auto"/>
        <w:ind w:firstLine="709"/>
        <w:jc w:val="both"/>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6.3.</w:t>
      </w:r>
      <w:r w:rsidR="0063284A" w:rsidRPr="007404FA">
        <w:rPr>
          <w:rFonts w:ascii="Times New Roman" w:eastAsia="Times New Roman" w:hAnsi="Times New Roman" w:cs="Times New Roman"/>
          <w:b/>
          <w:sz w:val="24"/>
          <w:szCs w:val="24"/>
        </w:rPr>
        <w:t xml:space="preserve"> Наложени корективни мерки по</w:t>
      </w:r>
      <w:r w:rsidR="00F06583" w:rsidRPr="007404FA">
        <w:rPr>
          <w:rFonts w:ascii="Times New Roman" w:eastAsia="Times New Roman" w:hAnsi="Times New Roman" w:cs="Times New Roman"/>
          <w:b/>
          <w:sz w:val="24"/>
          <w:szCs w:val="24"/>
        </w:rPr>
        <w:t xml:space="preserve"> чл. </w:t>
      </w:r>
      <w:r w:rsidR="0063284A" w:rsidRPr="007404FA">
        <w:rPr>
          <w:rFonts w:ascii="Times New Roman" w:eastAsia="Times New Roman" w:hAnsi="Times New Roman" w:cs="Times New Roman"/>
          <w:b/>
          <w:sz w:val="24"/>
          <w:szCs w:val="24"/>
        </w:rPr>
        <w:t xml:space="preserve">58, </w:t>
      </w:r>
      <w:r w:rsidR="0055233D">
        <w:rPr>
          <w:rFonts w:ascii="Times New Roman" w:eastAsia="Times New Roman" w:hAnsi="Times New Roman" w:cs="Times New Roman"/>
          <w:b/>
          <w:sz w:val="24"/>
          <w:szCs w:val="24"/>
        </w:rPr>
        <w:t>§</w:t>
      </w:r>
      <w:r w:rsidR="0063284A" w:rsidRPr="007404FA">
        <w:rPr>
          <w:rFonts w:ascii="Times New Roman" w:eastAsia="Times New Roman" w:hAnsi="Times New Roman" w:cs="Times New Roman"/>
          <w:b/>
          <w:sz w:val="24"/>
          <w:szCs w:val="24"/>
        </w:rPr>
        <w:t>2 от Регламент (ЕС) 2016/679.</w:t>
      </w:r>
    </w:p>
    <w:p w:rsidR="0063284A" w:rsidRPr="007404FA" w:rsidRDefault="0063284A" w:rsidP="00DB6B05">
      <w:pPr>
        <w:autoSpaceDN w:val="0"/>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Във връзка с постъпили уведомления за нарушения на сигурността на личните данни по</w:t>
      </w:r>
      <w:r w:rsidR="00F06583" w:rsidRPr="007404FA">
        <w:rPr>
          <w:rFonts w:ascii="Times New Roman" w:eastAsia="Times New Roman" w:hAnsi="Times New Roman" w:cs="Times New Roman"/>
          <w:sz w:val="24"/>
          <w:szCs w:val="24"/>
        </w:rPr>
        <w:t xml:space="preserve"> чл. </w:t>
      </w:r>
      <w:r w:rsidR="0055233D">
        <w:rPr>
          <w:rFonts w:ascii="Times New Roman" w:eastAsia="Times New Roman" w:hAnsi="Times New Roman" w:cs="Times New Roman"/>
          <w:sz w:val="24"/>
          <w:szCs w:val="24"/>
        </w:rPr>
        <w:t>33 от Регламент (ЕС) 2016/679</w:t>
      </w:r>
      <w:r w:rsidRPr="007404FA">
        <w:rPr>
          <w:rFonts w:ascii="Times New Roman" w:eastAsia="Times New Roman" w:hAnsi="Times New Roman" w:cs="Times New Roman"/>
          <w:sz w:val="24"/>
          <w:szCs w:val="24"/>
        </w:rPr>
        <w:t xml:space="preserve"> през 2022</w:t>
      </w:r>
      <w:r w:rsidR="00F06583" w:rsidRPr="007404FA">
        <w:rPr>
          <w:rFonts w:ascii="Times New Roman" w:eastAsia="Times New Roman" w:hAnsi="Times New Roman" w:cs="Times New Roman"/>
          <w:sz w:val="24"/>
          <w:szCs w:val="24"/>
        </w:rPr>
        <w:t> г.</w:t>
      </w:r>
      <w:r w:rsidRPr="007404FA">
        <w:rPr>
          <w:rFonts w:ascii="Times New Roman" w:eastAsia="Times New Roman" w:hAnsi="Times New Roman" w:cs="Times New Roman"/>
          <w:sz w:val="24"/>
          <w:szCs w:val="24"/>
        </w:rPr>
        <w:t xml:space="preserve"> КЗЛД е реализирала правомощията си по</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 xml:space="preserve">58, </w:t>
      </w:r>
      <w:r w:rsidR="0055233D">
        <w:rPr>
          <w:rFonts w:ascii="Times New Roman" w:eastAsia="Times New Roman" w:hAnsi="Times New Roman" w:cs="Times New Roman"/>
          <w:sz w:val="24"/>
          <w:szCs w:val="24"/>
        </w:rPr>
        <w:t>§2 от Р</w:t>
      </w:r>
      <w:r w:rsidRPr="007404FA">
        <w:rPr>
          <w:rFonts w:ascii="Times New Roman" w:eastAsia="Times New Roman" w:hAnsi="Times New Roman" w:cs="Times New Roman"/>
          <w:sz w:val="24"/>
          <w:szCs w:val="24"/>
        </w:rPr>
        <w:t xml:space="preserve">егламента, като с решения са приложени следните корективни мерки: </w:t>
      </w:r>
    </w:p>
    <w:p w:rsidR="0063284A" w:rsidRPr="007404FA" w:rsidRDefault="0063284A" w:rsidP="00DB6B05">
      <w:pPr>
        <w:numPr>
          <w:ilvl w:val="0"/>
          <w:numId w:val="4"/>
        </w:numPr>
        <w:spacing w:line="360" w:lineRule="auto"/>
        <w:ind w:left="0" w:firstLine="709"/>
        <w:contextualSpacing/>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официално предупреждение по буква „б“</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4</w:t>
      </w:r>
      <w:r w:rsidR="00D1189D" w:rsidRPr="007404FA">
        <w:rPr>
          <w:rFonts w:ascii="Times New Roman" w:eastAsia="Times New Roman" w:hAnsi="Times New Roman" w:cs="Times New Roman"/>
          <w:sz w:val="24"/>
          <w:szCs w:val="24"/>
        </w:rPr>
        <w:t> бр.</w:t>
      </w:r>
      <w:r w:rsidRPr="007404FA">
        <w:rPr>
          <w:rFonts w:ascii="Times New Roman" w:eastAsia="Times New Roman" w:hAnsi="Times New Roman" w:cs="Times New Roman"/>
          <w:sz w:val="24"/>
          <w:szCs w:val="24"/>
        </w:rPr>
        <w:t xml:space="preserve">; </w:t>
      </w:r>
    </w:p>
    <w:p w:rsidR="0063284A" w:rsidRPr="007404FA" w:rsidRDefault="0063284A" w:rsidP="00DB6B05">
      <w:pPr>
        <w:numPr>
          <w:ilvl w:val="0"/>
          <w:numId w:val="4"/>
        </w:numPr>
        <w:autoSpaceDN w:val="0"/>
        <w:spacing w:line="360" w:lineRule="auto"/>
        <w:ind w:left="0" w:firstLine="709"/>
        <w:contextualSpacing/>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разпореждане по буква „г“</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10</w:t>
      </w:r>
      <w:r w:rsidR="00D1189D" w:rsidRPr="007404FA">
        <w:rPr>
          <w:rFonts w:ascii="Times New Roman" w:eastAsia="Times New Roman" w:hAnsi="Times New Roman" w:cs="Times New Roman"/>
          <w:sz w:val="24"/>
          <w:szCs w:val="24"/>
        </w:rPr>
        <w:t> бр.</w:t>
      </w:r>
      <w:r w:rsidRPr="007404FA">
        <w:rPr>
          <w:rFonts w:ascii="Times New Roman" w:eastAsia="Times New Roman" w:hAnsi="Times New Roman" w:cs="Times New Roman"/>
          <w:sz w:val="24"/>
          <w:szCs w:val="24"/>
        </w:rPr>
        <w:t>;</w:t>
      </w:r>
    </w:p>
    <w:p w:rsidR="0063284A" w:rsidRPr="007404FA" w:rsidRDefault="0063284A" w:rsidP="00DB6B05">
      <w:pPr>
        <w:numPr>
          <w:ilvl w:val="0"/>
          <w:numId w:val="4"/>
        </w:numPr>
        <w:autoSpaceDN w:val="0"/>
        <w:spacing w:line="360" w:lineRule="auto"/>
        <w:ind w:left="0" w:firstLine="709"/>
        <w:contextualSpacing/>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разпореждане по буква „д“</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2</w:t>
      </w:r>
      <w:r w:rsidR="00D1189D" w:rsidRPr="007404FA">
        <w:rPr>
          <w:rFonts w:ascii="Times New Roman" w:eastAsia="Times New Roman" w:hAnsi="Times New Roman" w:cs="Times New Roman"/>
          <w:sz w:val="24"/>
          <w:szCs w:val="24"/>
        </w:rPr>
        <w:t> бр.</w:t>
      </w:r>
      <w:r w:rsidRPr="007404FA">
        <w:rPr>
          <w:rFonts w:ascii="Times New Roman" w:eastAsia="Times New Roman" w:hAnsi="Times New Roman" w:cs="Times New Roman"/>
          <w:sz w:val="24"/>
          <w:szCs w:val="24"/>
        </w:rPr>
        <w:t xml:space="preserve">; </w:t>
      </w:r>
    </w:p>
    <w:p w:rsidR="0063284A" w:rsidRPr="007404FA" w:rsidRDefault="0063284A" w:rsidP="00DB6B05">
      <w:pPr>
        <w:numPr>
          <w:ilvl w:val="0"/>
          <w:numId w:val="4"/>
        </w:numPr>
        <w:autoSpaceDN w:val="0"/>
        <w:spacing w:line="360" w:lineRule="auto"/>
        <w:ind w:left="0" w:firstLine="709"/>
        <w:contextualSpacing/>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имуществена санкция по буква „и“ в размер на 10</w:t>
      </w:r>
      <w:r w:rsidR="002B2E4F" w:rsidRPr="007404FA">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000</w:t>
      </w:r>
      <w:r w:rsidR="003742EB" w:rsidRPr="007404FA">
        <w:rPr>
          <w:rFonts w:ascii="Times New Roman" w:eastAsia="Times New Roman" w:hAnsi="Times New Roman" w:cs="Times New Roman"/>
          <w:sz w:val="24"/>
          <w:szCs w:val="24"/>
        </w:rPr>
        <w:t> лв.</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1</w:t>
      </w:r>
      <w:r w:rsidR="00D1189D" w:rsidRPr="007404FA">
        <w:rPr>
          <w:rFonts w:ascii="Times New Roman" w:eastAsia="Times New Roman" w:hAnsi="Times New Roman" w:cs="Times New Roman"/>
          <w:sz w:val="24"/>
          <w:szCs w:val="24"/>
        </w:rPr>
        <w:t> бр.</w:t>
      </w:r>
      <w:r w:rsidR="00157B49">
        <w:rPr>
          <w:rFonts w:ascii="Times New Roman" w:eastAsia="Times New Roman" w:hAnsi="Times New Roman" w:cs="Times New Roman"/>
          <w:sz w:val="24"/>
          <w:szCs w:val="24"/>
        </w:rPr>
        <w:t xml:space="preserve"> </w:t>
      </w:r>
    </w:p>
    <w:p w:rsidR="0063284A" w:rsidRPr="007404FA" w:rsidRDefault="0063284A"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При определяне на конкретните корективни мерки, които са алтернативно изброени в</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 xml:space="preserve">58, </w:t>
      </w:r>
      <w:r w:rsidR="0055233D">
        <w:rPr>
          <w:rFonts w:ascii="Times New Roman" w:eastAsia="Times New Roman" w:hAnsi="Times New Roman" w:cs="Times New Roman"/>
          <w:sz w:val="24"/>
          <w:szCs w:val="24"/>
        </w:rPr>
        <w:t>§2 от Р</w:t>
      </w:r>
      <w:r w:rsidRPr="007404FA">
        <w:rPr>
          <w:rFonts w:ascii="Times New Roman" w:eastAsia="Times New Roman" w:hAnsi="Times New Roman" w:cs="Times New Roman"/>
          <w:sz w:val="24"/>
          <w:szCs w:val="24"/>
        </w:rPr>
        <w:t>егламента, КЗЛД отчита естеството, тежестта и продължителността на нарушението, целта н</w:t>
      </w:r>
      <w:r w:rsidR="0055233D">
        <w:rPr>
          <w:rFonts w:ascii="Times New Roman" w:eastAsia="Times New Roman" w:hAnsi="Times New Roman" w:cs="Times New Roman"/>
          <w:sz w:val="24"/>
          <w:szCs w:val="24"/>
        </w:rPr>
        <w:t>а съответното обработване, броя</w:t>
      </w:r>
      <w:r w:rsidRPr="007404FA">
        <w:rPr>
          <w:rFonts w:ascii="Times New Roman" w:eastAsia="Times New Roman" w:hAnsi="Times New Roman" w:cs="Times New Roman"/>
          <w:sz w:val="24"/>
          <w:szCs w:val="24"/>
        </w:rPr>
        <w:t xml:space="preserve"> на засегнатите субекти на данни и степента на причинената им вреда, категориите лични данни, засегнати от нарушението, действията, предприети от администратора/обработващия лични данни за смекчаване на последиците от нарушението. </w:t>
      </w:r>
    </w:p>
    <w:p w:rsidR="0063284A" w:rsidRPr="007404FA" w:rsidRDefault="0063284A"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Анализът на практиката на КЗЛД по отношение упражнените корективни правомощия във връзка с постъпили уведомления за нарушения сигурността на личните данни по</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33 от Регламента пок</w:t>
      </w:r>
      <w:r w:rsidR="0055233D">
        <w:rPr>
          <w:rFonts w:ascii="Times New Roman" w:eastAsia="Times New Roman" w:hAnsi="Times New Roman" w:cs="Times New Roman"/>
          <w:sz w:val="24"/>
          <w:szCs w:val="24"/>
        </w:rPr>
        <w:t>азва</w:t>
      </w:r>
      <w:r w:rsidR="00E9190B" w:rsidRPr="007404FA">
        <w:rPr>
          <w:rFonts w:ascii="Times New Roman" w:eastAsia="Times New Roman" w:hAnsi="Times New Roman" w:cs="Times New Roman"/>
          <w:sz w:val="24"/>
          <w:szCs w:val="24"/>
        </w:rPr>
        <w:t xml:space="preserve"> тенденция за намаляване (</w:t>
      </w:r>
      <w:r w:rsidR="0055233D">
        <w:rPr>
          <w:rFonts w:ascii="Times New Roman" w:eastAsia="Times New Roman" w:hAnsi="Times New Roman" w:cs="Times New Roman"/>
          <w:b/>
          <w:sz w:val="24"/>
          <w:szCs w:val="24"/>
        </w:rPr>
        <w:t>ф</w:t>
      </w:r>
      <w:r w:rsidRPr="007404FA">
        <w:rPr>
          <w:rFonts w:ascii="Times New Roman" w:eastAsia="Times New Roman" w:hAnsi="Times New Roman" w:cs="Times New Roman"/>
          <w:b/>
          <w:sz w:val="24"/>
          <w:szCs w:val="24"/>
        </w:rPr>
        <w:t>иг. 12</w:t>
      </w:r>
      <w:r w:rsidRPr="007404FA">
        <w:rPr>
          <w:rFonts w:ascii="Times New Roman" w:eastAsia="Times New Roman" w:hAnsi="Times New Roman" w:cs="Times New Roman"/>
          <w:sz w:val="24"/>
          <w:szCs w:val="24"/>
        </w:rPr>
        <w:t xml:space="preserve">). Изводът от посочената констатация е, че администраторите постепенно започват да разбират и възприемат задълженията, произтичащи от приложимото законодателство в областта на защитата на личните данни, и особено необходимостта от предприемането на своевременни подходящи технически и организационни мерки за осигуряване на сигурност на обработваните лични данни. </w:t>
      </w:r>
    </w:p>
    <w:p w:rsidR="00BE2D21" w:rsidRPr="007404FA" w:rsidRDefault="00BE2D21" w:rsidP="00DB6B05">
      <w:pPr>
        <w:pStyle w:val="ListParagraph"/>
        <w:spacing w:after="0" w:line="360" w:lineRule="auto"/>
        <w:ind w:left="0"/>
        <w:jc w:val="both"/>
        <w:rPr>
          <w:rFonts w:ascii="Times New Roman" w:hAnsi="Times New Roman"/>
          <w:b/>
          <w:sz w:val="24"/>
          <w:szCs w:val="24"/>
          <w:highlight w:val="yellow"/>
          <w:lang w:val="bg-BG"/>
        </w:rPr>
      </w:pPr>
      <w:r w:rsidRPr="007404FA">
        <w:rPr>
          <w:noProof/>
        </w:rPr>
        <w:lastRenderedPageBreak/>
        <w:drawing>
          <wp:inline distT="0" distB="0" distL="0" distR="0" wp14:anchorId="5C6AD367" wp14:editId="093D0218">
            <wp:extent cx="5731510" cy="3805088"/>
            <wp:effectExtent l="38100" t="38100" r="40640" b="4318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3284A" w:rsidRPr="007404FA" w:rsidRDefault="0063284A" w:rsidP="00DB6B05">
      <w:pPr>
        <w:pStyle w:val="ListParagraph"/>
        <w:spacing w:after="0" w:line="360" w:lineRule="auto"/>
        <w:ind w:left="0" w:firstLine="709"/>
        <w:jc w:val="center"/>
        <w:rPr>
          <w:rFonts w:ascii="Times New Roman" w:hAnsi="Times New Roman"/>
          <w:b/>
          <w:sz w:val="24"/>
          <w:szCs w:val="24"/>
          <w:lang w:val="bg-BG"/>
        </w:rPr>
      </w:pPr>
      <w:r w:rsidRPr="007404FA">
        <w:rPr>
          <w:rFonts w:ascii="Times New Roman" w:hAnsi="Times New Roman"/>
          <w:b/>
          <w:sz w:val="24"/>
          <w:szCs w:val="24"/>
          <w:lang w:val="bg-BG"/>
        </w:rPr>
        <w:t>Фиг. 12</w:t>
      </w:r>
    </w:p>
    <w:p w:rsidR="0063284A" w:rsidRPr="007404FA" w:rsidRDefault="0063284A" w:rsidP="00DB6B05">
      <w:pPr>
        <w:autoSpaceDN w:val="0"/>
        <w:spacing w:line="360" w:lineRule="auto"/>
        <w:ind w:firstLine="709"/>
        <w:jc w:val="both"/>
        <w:rPr>
          <w:rFonts w:ascii="Times New Roman" w:eastAsia="Times New Roman" w:hAnsi="Times New Roman" w:cs="Times New Roman"/>
          <w:sz w:val="24"/>
          <w:szCs w:val="24"/>
        </w:rPr>
      </w:pPr>
    </w:p>
    <w:p w:rsidR="0063284A" w:rsidRPr="007404FA" w:rsidRDefault="0063284A"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Издадените през 2022</w:t>
      </w:r>
      <w:r w:rsidR="00F06583" w:rsidRPr="007404FA">
        <w:rPr>
          <w:rFonts w:ascii="Times New Roman" w:eastAsia="Times New Roman" w:hAnsi="Times New Roman" w:cs="Times New Roman"/>
          <w:sz w:val="24"/>
          <w:szCs w:val="24"/>
        </w:rPr>
        <w:t> г.</w:t>
      </w:r>
      <w:r w:rsidRPr="007404FA">
        <w:rPr>
          <w:rFonts w:ascii="Times New Roman" w:eastAsia="Times New Roman" w:hAnsi="Times New Roman" w:cs="Times New Roman"/>
          <w:sz w:val="24"/>
          <w:szCs w:val="24"/>
        </w:rPr>
        <w:t xml:space="preserve"> разпореждания са за прилагане на подходящи технически и организационни мерки за осигуряване ниво на сигурност, включително защита срещу неразрешено или незаконосъобразно обработване, срещу случайна загуба и неоторизиран достъп до личните данни на физически лица; обучение на служителите по отношение на работата с лични данни; спазване на разпоредбите на</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34 от регламента за уведомяване на субектите на данни в случаи на нарушение на сигурността на личните данни и др.</w:t>
      </w:r>
    </w:p>
    <w:p w:rsidR="0063284A" w:rsidRPr="007404FA" w:rsidRDefault="0063284A" w:rsidP="00DB6B05">
      <w:pPr>
        <w:widowControl w:val="0"/>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На двама администратори са съставени АУАН при условията на</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40 от ЗАНН и са издадени две наказателни постановления. На единия администратор е наложена</w:t>
      </w:r>
      <w:r w:rsidR="00157B49">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имуществена санкция в размер на 2000</w:t>
      </w:r>
      <w:r w:rsidR="003742EB" w:rsidRPr="007404FA">
        <w:rPr>
          <w:rFonts w:ascii="Times New Roman" w:eastAsia="Times New Roman" w:hAnsi="Times New Roman" w:cs="Times New Roman"/>
          <w:sz w:val="24"/>
          <w:szCs w:val="24"/>
        </w:rPr>
        <w:t> лв.</w:t>
      </w:r>
      <w:r w:rsidRPr="007404FA">
        <w:rPr>
          <w:rFonts w:ascii="Times New Roman" w:eastAsia="Times New Roman" w:hAnsi="Times New Roman" w:cs="Times New Roman"/>
          <w:sz w:val="24"/>
          <w:szCs w:val="24"/>
        </w:rPr>
        <w:t>, а на другия администратор е наложена имуществена санкция в размер на 35</w:t>
      </w:r>
      <w:r w:rsidR="002B2E4F" w:rsidRPr="007404FA">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000</w:t>
      </w:r>
      <w:r w:rsidR="003742EB" w:rsidRPr="007404FA">
        <w:rPr>
          <w:rFonts w:ascii="Times New Roman" w:eastAsia="Times New Roman" w:hAnsi="Times New Roman" w:cs="Times New Roman"/>
          <w:sz w:val="24"/>
          <w:szCs w:val="24"/>
        </w:rPr>
        <w:t> лв.</w:t>
      </w:r>
      <w:r w:rsidRPr="007404FA">
        <w:rPr>
          <w:rFonts w:ascii="Times New Roman" w:eastAsia="Times New Roman" w:hAnsi="Times New Roman" w:cs="Times New Roman"/>
          <w:sz w:val="24"/>
          <w:szCs w:val="24"/>
        </w:rPr>
        <w:t xml:space="preserve"> Наложената имуществена санкция в размер на 2000</w:t>
      </w:r>
      <w:r w:rsidR="003742EB" w:rsidRPr="007404FA">
        <w:rPr>
          <w:rFonts w:ascii="Times New Roman" w:eastAsia="Times New Roman" w:hAnsi="Times New Roman" w:cs="Times New Roman"/>
          <w:sz w:val="24"/>
          <w:szCs w:val="24"/>
        </w:rPr>
        <w:t> лв.</w:t>
      </w:r>
      <w:r w:rsidRPr="007404FA">
        <w:rPr>
          <w:rFonts w:ascii="Times New Roman" w:eastAsia="Times New Roman" w:hAnsi="Times New Roman" w:cs="Times New Roman"/>
          <w:sz w:val="24"/>
          <w:szCs w:val="24"/>
        </w:rPr>
        <w:t xml:space="preserve"> е изплатена</w:t>
      </w:r>
      <w:r w:rsidR="001530AD" w:rsidRPr="007404FA">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xml:space="preserve"> без да е обжалвана</w:t>
      </w:r>
      <w:r w:rsidR="00B974FC" w:rsidRPr="007404FA">
        <w:rPr>
          <w:rFonts w:ascii="Times New Roman" w:eastAsia="Times New Roman" w:hAnsi="Times New Roman" w:cs="Times New Roman"/>
          <w:sz w:val="24"/>
          <w:szCs w:val="24"/>
        </w:rPr>
        <w:t>, а</w:t>
      </w:r>
      <w:r w:rsidRPr="007404FA">
        <w:rPr>
          <w:rFonts w:ascii="Times New Roman" w:eastAsia="Times New Roman" w:hAnsi="Times New Roman" w:cs="Times New Roman"/>
          <w:sz w:val="24"/>
          <w:szCs w:val="24"/>
        </w:rPr>
        <w:t xml:space="preserve"> </w:t>
      </w:r>
      <w:r w:rsidR="00CF0016" w:rsidRPr="007404FA">
        <w:rPr>
          <w:rFonts w:ascii="Times New Roman" w:eastAsia="Times New Roman" w:hAnsi="Times New Roman" w:cs="Times New Roman"/>
          <w:sz w:val="24"/>
          <w:szCs w:val="24"/>
        </w:rPr>
        <w:t xml:space="preserve">по </w:t>
      </w:r>
      <w:r w:rsidRPr="007404FA">
        <w:rPr>
          <w:rFonts w:ascii="Times New Roman" w:eastAsia="Times New Roman" w:hAnsi="Times New Roman" w:cs="Times New Roman"/>
          <w:sz w:val="24"/>
          <w:szCs w:val="24"/>
        </w:rPr>
        <w:t>наложената имуществена санкция в размер на 35</w:t>
      </w:r>
      <w:r w:rsidR="002B2E4F" w:rsidRPr="007404FA">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000</w:t>
      </w:r>
      <w:r w:rsidR="003742EB" w:rsidRPr="007404FA">
        <w:rPr>
          <w:rFonts w:ascii="Times New Roman" w:eastAsia="Times New Roman" w:hAnsi="Times New Roman" w:cs="Times New Roman"/>
          <w:sz w:val="24"/>
          <w:szCs w:val="24"/>
        </w:rPr>
        <w:t> лв.</w:t>
      </w:r>
      <w:r w:rsidRPr="007404FA">
        <w:rPr>
          <w:rFonts w:ascii="Times New Roman" w:eastAsia="Times New Roman" w:hAnsi="Times New Roman" w:cs="Times New Roman"/>
          <w:sz w:val="24"/>
          <w:szCs w:val="24"/>
        </w:rPr>
        <w:t xml:space="preserve"> в съответствие с</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79 б,</w:t>
      </w:r>
      <w:r w:rsidR="00F06583" w:rsidRPr="007404FA">
        <w:rPr>
          <w:rFonts w:ascii="Times New Roman" w:eastAsia="Times New Roman" w:hAnsi="Times New Roman" w:cs="Times New Roman"/>
          <w:sz w:val="24"/>
          <w:szCs w:val="24"/>
        </w:rPr>
        <w:t xml:space="preserve"> ал. </w:t>
      </w:r>
      <w:r w:rsidR="0055233D">
        <w:rPr>
          <w:rFonts w:ascii="Times New Roman" w:eastAsia="Times New Roman" w:hAnsi="Times New Roman" w:cs="Times New Roman"/>
          <w:sz w:val="24"/>
          <w:szCs w:val="24"/>
        </w:rPr>
        <w:t>1 от ЗАНН</w:t>
      </w:r>
      <w:r w:rsidRPr="007404FA">
        <w:rPr>
          <w:rFonts w:ascii="Times New Roman" w:eastAsia="Times New Roman" w:hAnsi="Times New Roman" w:cs="Times New Roman"/>
          <w:sz w:val="24"/>
          <w:szCs w:val="24"/>
        </w:rPr>
        <w:t xml:space="preserve"> е изплатена сумата от 28 000</w:t>
      </w:r>
      <w:r w:rsidR="003742EB" w:rsidRPr="007404FA">
        <w:rPr>
          <w:rFonts w:ascii="Times New Roman" w:eastAsia="Times New Roman" w:hAnsi="Times New Roman" w:cs="Times New Roman"/>
          <w:sz w:val="24"/>
          <w:szCs w:val="24"/>
        </w:rPr>
        <w:t> лв.</w:t>
      </w:r>
      <w:r w:rsidR="0055233D">
        <w:rPr>
          <w:rFonts w:ascii="Times New Roman" w:eastAsia="Times New Roman" w:hAnsi="Times New Roman" w:cs="Times New Roman"/>
          <w:sz w:val="24"/>
          <w:szCs w:val="24"/>
        </w:rPr>
        <w:t xml:space="preserve"> (80</w:t>
      </w:r>
      <w:r w:rsidRPr="007404FA">
        <w:rPr>
          <w:rFonts w:ascii="Times New Roman" w:eastAsia="Times New Roman" w:hAnsi="Times New Roman" w:cs="Times New Roman"/>
          <w:sz w:val="24"/>
          <w:szCs w:val="24"/>
        </w:rPr>
        <w:t>%</w:t>
      </w:r>
      <w:r w:rsidR="0055233D">
        <w:rPr>
          <w:rFonts w:ascii="Times New Roman" w:eastAsia="Times New Roman" w:hAnsi="Times New Roman" w:cs="Times New Roman"/>
          <w:sz w:val="24"/>
          <w:szCs w:val="24"/>
        </w:rPr>
        <w:t xml:space="preserve"> от наложената санкция)</w:t>
      </w:r>
      <w:r w:rsidR="00CF0016" w:rsidRPr="007404FA">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също без да е обжалвана.</w:t>
      </w:r>
    </w:p>
    <w:p w:rsidR="0063284A" w:rsidRPr="007404FA" w:rsidRDefault="0063284A" w:rsidP="00DB6B05">
      <w:pPr>
        <w:widowControl w:val="0"/>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Наложената с решение на КЗЛД имуществена санкция в размер на 10</w:t>
      </w:r>
      <w:r w:rsidR="002B2E4F" w:rsidRPr="007404FA">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000</w:t>
      </w:r>
      <w:r w:rsidR="003742EB" w:rsidRPr="007404FA">
        <w:rPr>
          <w:rFonts w:ascii="Times New Roman" w:eastAsia="Times New Roman" w:hAnsi="Times New Roman" w:cs="Times New Roman"/>
          <w:sz w:val="24"/>
          <w:szCs w:val="24"/>
        </w:rPr>
        <w:t> лв.</w:t>
      </w:r>
      <w:r w:rsidRPr="007404FA">
        <w:rPr>
          <w:rFonts w:ascii="Times New Roman" w:eastAsia="Times New Roman" w:hAnsi="Times New Roman" w:cs="Times New Roman"/>
          <w:sz w:val="24"/>
          <w:szCs w:val="24"/>
        </w:rPr>
        <w:t xml:space="preserve"> е обжалвана. Предстои произнасяне от Административен съд</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 xml:space="preserve">Бургас. Също така едно решение с разпореждане се обжалва от администратор, по което предстои произнасяне от Административен съд </w:t>
      </w:r>
      <w:r w:rsidR="00DE4C8A">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София</w:t>
      </w:r>
      <w:r w:rsidR="0055233D">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град.</w:t>
      </w:r>
    </w:p>
    <w:p w:rsidR="00212C0A" w:rsidRPr="007404FA" w:rsidRDefault="00212C0A" w:rsidP="00DB6B05">
      <w:pPr>
        <w:spacing w:line="360" w:lineRule="auto"/>
        <w:ind w:firstLine="709"/>
        <w:jc w:val="both"/>
        <w:rPr>
          <w:rFonts w:ascii="Times New Roman" w:eastAsia="Calibri" w:hAnsi="Times New Roman" w:cs="Times New Roman"/>
          <w:b/>
          <w:i/>
          <w:sz w:val="24"/>
          <w:szCs w:val="24"/>
        </w:rPr>
      </w:pPr>
      <w:r w:rsidRPr="007404FA">
        <w:rPr>
          <w:rFonts w:ascii="Times New Roman" w:eastAsia="Calibri" w:hAnsi="Times New Roman" w:cs="Times New Roman"/>
          <w:sz w:val="24"/>
        </w:rPr>
        <w:lastRenderedPageBreak/>
        <w:t xml:space="preserve">Осъществяването на надзорната функция на </w:t>
      </w:r>
      <w:r w:rsidR="000D5031" w:rsidRPr="007404FA">
        <w:rPr>
          <w:rFonts w:ascii="Times New Roman" w:eastAsia="Calibri" w:hAnsi="Times New Roman" w:cs="Times New Roman"/>
          <w:sz w:val="24"/>
        </w:rPr>
        <w:t>КЗЛД</w:t>
      </w:r>
      <w:r w:rsidR="00F63FDD" w:rsidRPr="007404FA">
        <w:rPr>
          <w:rFonts w:ascii="Times New Roman" w:eastAsia="Calibri" w:hAnsi="Times New Roman" w:cs="Times New Roman"/>
          <w:sz w:val="24"/>
        </w:rPr>
        <w:t xml:space="preserve"> по линия на нарушенията на сигурността на личните данни</w:t>
      </w:r>
      <w:r w:rsidR="005C6633" w:rsidRPr="007404FA">
        <w:rPr>
          <w:rFonts w:ascii="Times New Roman" w:eastAsia="Calibri" w:hAnsi="Times New Roman" w:cs="Times New Roman"/>
          <w:sz w:val="24"/>
        </w:rPr>
        <w:t xml:space="preserve"> </w:t>
      </w:r>
      <w:r w:rsidRPr="007404FA">
        <w:rPr>
          <w:rFonts w:ascii="Times New Roman" w:eastAsia="Calibri" w:hAnsi="Times New Roman" w:cs="Times New Roman"/>
          <w:sz w:val="24"/>
        </w:rPr>
        <w:t>задължително е свързана с наблюдение и</w:t>
      </w:r>
      <w:r w:rsidR="00681612" w:rsidRPr="007404FA">
        <w:rPr>
          <w:rFonts w:ascii="Times New Roman" w:eastAsia="Calibri" w:hAnsi="Times New Roman" w:cs="Times New Roman"/>
          <w:sz w:val="24"/>
        </w:rPr>
        <w:t xml:space="preserve"> </w:t>
      </w:r>
      <w:r w:rsidR="00CD31FC" w:rsidRPr="007404FA">
        <w:rPr>
          <w:rFonts w:ascii="Times New Roman" w:eastAsia="Calibri" w:hAnsi="Times New Roman" w:cs="Times New Roman"/>
          <w:sz w:val="24"/>
        </w:rPr>
        <w:t>периодичен преглед</w:t>
      </w:r>
      <w:r w:rsidR="00681612" w:rsidRPr="007404FA">
        <w:rPr>
          <w:rFonts w:ascii="Times New Roman" w:eastAsia="Calibri" w:hAnsi="Times New Roman" w:cs="Times New Roman"/>
          <w:sz w:val="24"/>
        </w:rPr>
        <w:t xml:space="preserve"> на натрупваната практика </w:t>
      </w:r>
      <w:r w:rsidR="005B2D68" w:rsidRPr="007404FA">
        <w:rPr>
          <w:rFonts w:ascii="Times New Roman" w:eastAsia="Calibri" w:hAnsi="Times New Roman" w:cs="Times New Roman"/>
          <w:sz w:val="24"/>
        </w:rPr>
        <w:t xml:space="preserve">и констатации </w:t>
      </w:r>
      <w:r w:rsidR="00681612" w:rsidRPr="007404FA">
        <w:rPr>
          <w:rFonts w:ascii="Times New Roman" w:eastAsia="Calibri" w:hAnsi="Times New Roman" w:cs="Times New Roman"/>
          <w:sz w:val="24"/>
        </w:rPr>
        <w:t>на надзорния орган</w:t>
      </w:r>
      <w:r w:rsidRPr="007404FA">
        <w:rPr>
          <w:rFonts w:ascii="Times New Roman" w:eastAsia="Calibri" w:hAnsi="Times New Roman" w:cs="Times New Roman"/>
          <w:sz w:val="24"/>
        </w:rPr>
        <w:t xml:space="preserve"> при реализирането на защитата на личните данни в една или друга сфера. В тази връзка през 2022</w:t>
      </w:r>
      <w:r w:rsidR="00F06583" w:rsidRPr="007404FA">
        <w:rPr>
          <w:rFonts w:ascii="Times New Roman" w:eastAsia="Calibri" w:hAnsi="Times New Roman" w:cs="Times New Roman"/>
          <w:sz w:val="24"/>
        </w:rPr>
        <w:t> г.</w:t>
      </w:r>
      <w:r w:rsidRPr="007404FA">
        <w:rPr>
          <w:rFonts w:ascii="Times New Roman" w:eastAsia="Calibri" w:hAnsi="Times New Roman" w:cs="Times New Roman"/>
          <w:sz w:val="24"/>
        </w:rPr>
        <w:t xml:space="preserve"> е направен анализ на получените в КЗЛД уведомления за нарушения на сигурността на данните.</w:t>
      </w:r>
      <w:r w:rsidR="00157B49">
        <w:rPr>
          <w:rFonts w:ascii="Times New Roman" w:eastAsia="Calibri" w:hAnsi="Times New Roman" w:cs="Times New Roman"/>
          <w:sz w:val="24"/>
        </w:rPr>
        <w:t xml:space="preserve"> </w:t>
      </w:r>
      <w:r w:rsidRPr="007404FA">
        <w:rPr>
          <w:rFonts w:ascii="Times New Roman" w:eastAsia="Calibri" w:hAnsi="Times New Roman" w:cs="Times New Roman"/>
          <w:sz w:val="24"/>
        </w:rPr>
        <w:t>От</w:t>
      </w:r>
      <w:r w:rsidRPr="007404FA">
        <w:rPr>
          <w:rFonts w:ascii="Times New Roman" w:eastAsia="Calibri" w:hAnsi="Times New Roman" w:cs="Times New Roman"/>
          <w:sz w:val="24"/>
          <w:szCs w:val="24"/>
        </w:rPr>
        <w:t xml:space="preserve"> анализа </w:t>
      </w:r>
      <w:r w:rsidRPr="007404FA">
        <w:rPr>
          <w:rFonts w:ascii="Times New Roman" w:eastAsia="Calibri" w:hAnsi="Times New Roman" w:cs="Times New Roman"/>
          <w:sz w:val="24"/>
        </w:rPr>
        <w:t>се извеждат изводи и добри практики на база на получените уведомления и упражнения от Комисията контрол във връзка с тях в следните основни направления:</w:t>
      </w:r>
      <w:r w:rsidR="00157B49">
        <w:rPr>
          <w:rFonts w:ascii="Times New Roman" w:eastAsia="Calibri" w:hAnsi="Times New Roman" w:cs="Times New Roman"/>
          <w:sz w:val="24"/>
        </w:rPr>
        <w:t xml:space="preserve"> </w:t>
      </w:r>
    </w:p>
    <w:p w:rsidR="00212C0A" w:rsidRPr="007404FA" w:rsidRDefault="0055233D" w:rsidP="00DB6B05">
      <w:pPr>
        <w:numPr>
          <w:ilvl w:val="0"/>
          <w:numId w:val="20"/>
        </w:numPr>
        <w:spacing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212C0A" w:rsidRPr="007404FA">
        <w:rPr>
          <w:rFonts w:ascii="Times New Roman" w:eastAsia="Times New Roman" w:hAnsi="Times New Roman" w:cs="Times New Roman"/>
          <w:sz w:val="24"/>
          <w:szCs w:val="24"/>
        </w:rPr>
        <w:t>еобходимост от периодична оценка на риска и съответната преценка за ефективността на въведените технически и организационни мерки;</w:t>
      </w:r>
    </w:p>
    <w:p w:rsidR="00212C0A" w:rsidRPr="007404FA" w:rsidRDefault="0055233D" w:rsidP="00DB6B05">
      <w:pPr>
        <w:numPr>
          <w:ilvl w:val="0"/>
          <w:numId w:val="20"/>
        </w:numPr>
        <w:spacing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212C0A" w:rsidRPr="007404FA">
        <w:rPr>
          <w:rFonts w:ascii="Times New Roman" w:eastAsia="Times New Roman" w:hAnsi="Times New Roman" w:cs="Times New Roman"/>
          <w:sz w:val="24"/>
          <w:szCs w:val="24"/>
        </w:rPr>
        <w:t>пазване на принципа за отчетност</w:t>
      </w:r>
      <w:r w:rsidR="00553661" w:rsidRPr="007404FA">
        <w:rPr>
          <w:rFonts w:ascii="Times New Roman" w:eastAsia="Times New Roman" w:hAnsi="Times New Roman" w:cs="Times New Roman"/>
          <w:sz w:val="24"/>
          <w:szCs w:val="24"/>
        </w:rPr>
        <w:t xml:space="preserve"> – </w:t>
      </w:r>
      <w:r w:rsidR="00212C0A" w:rsidRPr="007404FA">
        <w:rPr>
          <w:rFonts w:ascii="Times New Roman" w:eastAsia="Times New Roman" w:hAnsi="Times New Roman" w:cs="Times New Roman"/>
          <w:sz w:val="24"/>
          <w:szCs w:val="24"/>
        </w:rPr>
        <w:t>инструмент за доказване на съответствие с Регламент (ЕС) 2016/679;</w:t>
      </w:r>
    </w:p>
    <w:p w:rsidR="00212C0A" w:rsidRPr="007404FA" w:rsidRDefault="0055233D" w:rsidP="00DB6B05">
      <w:pPr>
        <w:numPr>
          <w:ilvl w:val="0"/>
          <w:numId w:val="20"/>
        </w:numPr>
        <w:spacing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212C0A" w:rsidRPr="007404FA">
        <w:rPr>
          <w:rFonts w:ascii="Times New Roman" w:eastAsia="Times New Roman" w:hAnsi="Times New Roman" w:cs="Times New Roman"/>
          <w:sz w:val="24"/>
          <w:szCs w:val="24"/>
        </w:rPr>
        <w:t>бученията по защита на данните да са свързани с</w:t>
      </w:r>
      <w:r>
        <w:rPr>
          <w:rFonts w:ascii="Times New Roman" w:eastAsia="Times New Roman" w:hAnsi="Times New Roman" w:cs="Times New Roman"/>
          <w:sz w:val="24"/>
          <w:szCs w:val="24"/>
        </w:rPr>
        <w:t>ъс</w:t>
      </w:r>
      <w:r w:rsidR="00212C0A" w:rsidRPr="007404FA">
        <w:rPr>
          <w:rFonts w:ascii="Times New Roman" w:eastAsia="Times New Roman" w:hAnsi="Times New Roman" w:cs="Times New Roman"/>
          <w:sz w:val="24"/>
          <w:szCs w:val="24"/>
        </w:rPr>
        <w:t xml:space="preserve"> и да отразяват специфичната дейност на администраторите/обработващите;</w:t>
      </w:r>
    </w:p>
    <w:p w:rsidR="00212C0A" w:rsidRPr="007404FA" w:rsidRDefault="0055233D" w:rsidP="00DB6B05">
      <w:pPr>
        <w:numPr>
          <w:ilvl w:val="0"/>
          <w:numId w:val="20"/>
        </w:numPr>
        <w:spacing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212C0A" w:rsidRPr="007404FA">
        <w:rPr>
          <w:rFonts w:ascii="Times New Roman" w:eastAsia="Times New Roman" w:hAnsi="Times New Roman" w:cs="Times New Roman"/>
          <w:sz w:val="24"/>
          <w:szCs w:val="24"/>
        </w:rPr>
        <w:t>бучения за сигурно обработване на данните в цифрова среда;</w:t>
      </w:r>
    </w:p>
    <w:p w:rsidR="00212C0A" w:rsidRPr="007404FA" w:rsidRDefault="0055233D" w:rsidP="00DB6B05">
      <w:pPr>
        <w:numPr>
          <w:ilvl w:val="0"/>
          <w:numId w:val="20"/>
        </w:numPr>
        <w:spacing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212C0A" w:rsidRPr="007404FA">
        <w:rPr>
          <w:rFonts w:ascii="Times New Roman" w:eastAsia="Times New Roman" w:hAnsi="Times New Roman" w:cs="Times New Roman"/>
          <w:sz w:val="24"/>
          <w:szCs w:val="24"/>
        </w:rPr>
        <w:t>ведомяване на засегнатите от нарушението</w:t>
      </w:r>
      <w:r w:rsidR="00157B49">
        <w:rPr>
          <w:rFonts w:ascii="Times New Roman" w:eastAsia="Times New Roman" w:hAnsi="Times New Roman" w:cs="Times New Roman"/>
          <w:sz w:val="24"/>
          <w:szCs w:val="24"/>
        </w:rPr>
        <w:t xml:space="preserve"> </w:t>
      </w:r>
      <w:r w:rsidR="00212C0A" w:rsidRPr="007404FA">
        <w:rPr>
          <w:rFonts w:ascii="Times New Roman" w:eastAsia="Times New Roman" w:hAnsi="Times New Roman" w:cs="Times New Roman"/>
          <w:sz w:val="24"/>
          <w:szCs w:val="24"/>
        </w:rPr>
        <w:t>субекти на данни.</w:t>
      </w:r>
    </w:p>
    <w:p w:rsidR="00212C0A" w:rsidRPr="007404FA" w:rsidRDefault="00212C0A" w:rsidP="00DB6B05">
      <w:pPr>
        <w:spacing w:line="360" w:lineRule="auto"/>
        <w:ind w:firstLine="709"/>
        <w:contextualSpacing/>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Откроените в анализа акценти</w:t>
      </w:r>
      <w:r w:rsidR="00157B49">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далеч не изчерпват възможните варианти на добри практики, които да осигурят и гарантират постоянна поверителност, цялостност и наличност на обработваните от администраторите/обработващите лични данни. Намирането на собствени, специфични и конкретни мерки и действия за защита на личните</w:t>
      </w:r>
      <w:r w:rsidR="00157B49">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данни, съобразени с техния вид и дейности по обработването им, е ключово за осигуряване на съответствие с изискванията и принципите на Регламент (ЕС) 2016/679 и за защита за правата и интересите на субектите на данни.</w:t>
      </w:r>
    </w:p>
    <w:p w:rsidR="00212C0A" w:rsidRPr="007404FA" w:rsidRDefault="00212C0A" w:rsidP="00DB6B05">
      <w:pPr>
        <w:spacing w:line="360" w:lineRule="auto"/>
        <w:ind w:firstLine="709"/>
        <w:contextualSpacing/>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 xml:space="preserve">Посочените изводи и аргументите за тях са част от информационен материал относно добри практики на база натрупания опит от надзорната дейност на КЗЛД, достъпен на сайта на Комисията. </w:t>
      </w:r>
    </w:p>
    <w:p w:rsidR="00212C0A" w:rsidRPr="007404FA" w:rsidRDefault="00212C0A" w:rsidP="00DB6B05">
      <w:pPr>
        <w:widowControl w:val="0"/>
        <w:spacing w:line="360" w:lineRule="auto"/>
        <w:ind w:firstLine="709"/>
        <w:jc w:val="both"/>
        <w:rPr>
          <w:rFonts w:ascii="Times New Roman" w:eastAsia="Times New Roman" w:hAnsi="Times New Roman" w:cs="Times New Roman"/>
          <w:sz w:val="24"/>
          <w:szCs w:val="24"/>
        </w:rPr>
      </w:pPr>
    </w:p>
    <w:p w:rsidR="0063284A" w:rsidRPr="007404FA" w:rsidRDefault="0063284A" w:rsidP="00DB6B05">
      <w:pPr>
        <w:spacing w:line="360" w:lineRule="auto"/>
        <w:ind w:firstLine="709"/>
        <w:jc w:val="both"/>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7. Предварителна консултация с КЗЛД по чл.</w:t>
      </w:r>
      <w:r w:rsidR="0055233D">
        <w:rPr>
          <w:rFonts w:ascii="Times New Roman" w:eastAsia="Times New Roman" w:hAnsi="Times New Roman" w:cs="Times New Roman"/>
          <w:b/>
          <w:sz w:val="24"/>
          <w:szCs w:val="24"/>
        </w:rPr>
        <w:t xml:space="preserve"> </w:t>
      </w:r>
      <w:r w:rsidRPr="007404FA">
        <w:rPr>
          <w:rFonts w:ascii="Times New Roman" w:eastAsia="Times New Roman" w:hAnsi="Times New Roman" w:cs="Times New Roman"/>
          <w:b/>
          <w:sz w:val="24"/>
          <w:szCs w:val="24"/>
        </w:rPr>
        <w:t>36</w:t>
      </w:r>
      <w:r w:rsidR="0055233D">
        <w:rPr>
          <w:rFonts w:ascii="Times New Roman" w:eastAsia="Times New Roman" w:hAnsi="Times New Roman" w:cs="Times New Roman"/>
          <w:b/>
          <w:sz w:val="24"/>
          <w:szCs w:val="24"/>
        </w:rPr>
        <w:t>,</w:t>
      </w:r>
      <w:r w:rsidRPr="007404FA">
        <w:rPr>
          <w:rFonts w:ascii="Times New Roman" w:eastAsia="Times New Roman" w:hAnsi="Times New Roman" w:cs="Times New Roman"/>
          <w:b/>
          <w:sz w:val="24"/>
          <w:szCs w:val="24"/>
        </w:rPr>
        <w:t xml:space="preserve"> </w:t>
      </w:r>
      <w:r w:rsidR="0055233D">
        <w:rPr>
          <w:rFonts w:ascii="Times New Roman" w:eastAsia="Times New Roman" w:hAnsi="Times New Roman" w:cs="Times New Roman"/>
          <w:b/>
          <w:sz w:val="24"/>
          <w:szCs w:val="24"/>
        </w:rPr>
        <w:t xml:space="preserve">§1 – </w:t>
      </w:r>
      <w:r w:rsidRPr="007404FA">
        <w:rPr>
          <w:rFonts w:ascii="Times New Roman" w:eastAsia="Times New Roman" w:hAnsi="Times New Roman" w:cs="Times New Roman"/>
          <w:b/>
          <w:sz w:val="24"/>
          <w:szCs w:val="24"/>
        </w:rPr>
        <w:t>3 от Регламент (ЕС) 2016/679.</w:t>
      </w:r>
    </w:p>
    <w:p w:rsidR="0063284A" w:rsidRPr="007404FA" w:rsidRDefault="0063284A"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b/>
          <w:sz w:val="24"/>
          <w:szCs w:val="24"/>
        </w:rPr>
        <w:t>7.1. Предварителната консултация по чл.</w:t>
      </w:r>
      <w:r w:rsidR="0055233D">
        <w:rPr>
          <w:rFonts w:ascii="Times New Roman" w:eastAsia="Times New Roman" w:hAnsi="Times New Roman" w:cs="Times New Roman"/>
          <w:b/>
          <w:sz w:val="24"/>
          <w:szCs w:val="24"/>
        </w:rPr>
        <w:t xml:space="preserve"> </w:t>
      </w:r>
      <w:r w:rsidRPr="007404FA">
        <w:rPr>
          <w:rFonts w:ascii="Times New Roman" w:eastAsia="Times New Roman" w:hAnsi="Times New Roman" w:cs="Times New Roman"/>
          <w:b/>
          <w:sz w:val="24"/>
          <w:szCs w:val="24"/>
        </w:rPr>
        <w:t xml:space="preserve">36, </w:t>
      </w:r>
      <w:r w:rsidR="0055233D">
        <w:rPr>
          <w:rFonts w:ascii="Times New Roman" w:eastAsia="Times New Roman" w:hAnsi="Times New Roman" w:cs="Times New Roman"/>
          <w:b/>
          <w:sz w:val="24"/>
          <w:szCs w:val="24"/>
        </w:rPr>
        <w:t>§</w:t>
      </w:r>
      <w:r w:rsidRPr="007404FA">
        <w:rPr>
          <w:rFonts w:ascii="Times New Roman" w:eastAsia="Times New Roman" w:hAnsi="Times New Roman" w:cs="Times New Roman"/>
          <w:b/>
          <w:sz w:val="24"/>
          <w:szCs w:val="24"/>
        </w:rPr>
        <w:t>1</w:t>
      </w:r>
      <w:r w:rsidR="0055233D">
        <w:rPr>
          <w:rFonts w:ascii="Times New Roman" w:eastAsia="Times New Roman" w:hAnsi="Times New Roman" w:cs="Times New Roman"/>
          <w:b/>
          <w:sz w:val="24"/>
          <w:szCs w:val="24"/>
        </w:rPr>
        <w:t xml:space="preserve"> – </w:t>
      </w:r>
      <w:r w:rsidRPr="007404FA">
        <w:rPr>
          <w:rFonts w:ascii="Times New Roman" w:eastAsia="Times New Roman" w:hAnsi="Times New Roman" w:cs="Times New Roman"/>
          <w:b/>
          <w:sz w:val="24"/>
          <w:szCs w:val="24"/>
        </w:rPr>
        <w:t>3 от Регламент (ЕС) 2016/679</w:t>
      </w:r>
      <w:r w:rsidRPr="007404FA">
        <w:rPr>
          <w:rFonts w:ascii="Times New Roman" w:eastAsia="Times New Roman" w:hAnsi="Times New Roman" w:cs="Times New Roman"/>
          <w:sz w:val="24"/>
          <w:szCs w:val="24"/>
        </w:rPr>
        <w:t xml:space="preserve"> </w:t>
      </w:r>
      <w:r w:rsidRPr="007404FA">
        <w:rPr>
          <w:rFonts w:ascii="Times New Roman" w:eastAsia="Times New Roman" w:hAnsi="Times New Roman" w:cs="Times New Roman"/>
          <w:b/>
          <w:sz w:val="24"/>
          <w:szCs w:val="24"/>
        </w:rPr>
        <w:t>е важна част от контролните функции на КЗЛД</w:t>
      </w:r>
      <w:r w:rsidRPr="007404FA">
        <w:rPr>
          <w:rFonts w:ascii="Times New Roman" w:eastAsia="Times New Roman" w:hAnsi="Times New Roman" w:cs="Times New Roman"/>
          <w:sz w:val="24"/>
          <w:szCs w:val="24"/>
        </w:rPr>
        <w:t xml:space="preserve"> и е в пряка връзка с извършването от администратора или обработващия лични данни (АЛД/ОЛД) на оценка на въздействието върху защитата на данните (ОВЗД) по чл.35 от ОРЗД. </w:t>
      </w:r>
    </w:p>
    <w:p w:rsidR="0063284A" w:rsidRPr="007404FA" w:rsidRDefault="0063284A"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Когато чрез ОВЗД администраторът констатира, че остатъчните рискове са високи и той не може да установи достатъчни мерки за намаляване на тези рискове до приемливо равнище, задължително се осъществява консултация с надзорния орган</w:t>
      </w:r>
      <w:r w:rsidR="00E06D6E">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КЗЛД. Преди да</w:t>
      </w:r>
      <w:r w:rsidR="00157B49">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lastRenderedPageBreak/>
        <w:t>започне консултацията, АЛД представя на</w:t>
      </w:r>
      <w:r w:rsidR="00A97991">
        <w:rPr>
          <w:rFonts w:ascii="Times New Roman" w:eastAsia="Times New Roman" w:hAnsi="Times New Roman" w:cs="Times New Roman"/>
          <w:sz w:val="24"/>
          <w:szCs w:val="24"/>
        </w:rPr>
        <w:t xml:space="preserve"> К</w:t>
      </w:r>
      <w:r w:rsidRPr="007404FA">
        <w:rPr>
          <w:rFonts w:ascii="Times New Roman" w:eastAsia="Times New Roman" w:hAnsi="Times New Roman" w:cs="Times New Roman"/>
          <w:sz w:val="24"/>
          <w:szCs w:val="24"/>
        </w:rPr>
        <w:t>омисията цялата информация</w:t>
      </w:r>
      <w:r w:rsidR="00A97991">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посочена в чл.</w:t>
      </w:r>
      <w:r w:rsidR="00A97991">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 xml:space="preserve">36, </w:t>
      </w:r>
      <w:r w:rsidR="00A97991">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3 от Регламента и чл.</w:t>
      </w:r>
      <w:r w:rsidR="00A97991">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58, ал.</w:t>
      </w:r>
      <w:r w:rsidR="00A97991">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 xml:space="preserve">2 от </w:t>
      </w:r>
      <w:r w:rsidR="00132DE6" w:rsidRPr="007404FA">
        <w:rPr>
          <w:rFonts w:ascii="Times New Roman" w:eastAsia="Times New Roman" w:hAnsi="Times New Roman" w:cs="Times New Roman"/>
          <w:sz w:val="24"/>
          <w:szCs w:val="24"/>
        </w:rPr>
        <w:t>ПСКЗЛДНА</w:t>
      </w:r>
      <w:r w:rsidRPr="007404FA">
        <w:rPr>
          <w:rFonts w:ascii="Times New Roman" w:eastAsia="Times New Roman" w:hAnsi="Times New Roman" w:cs="Times New Roman"/>
          <w:sz w:val="24"/>
          <w:szCs w:val="24"/>
        </w:rPr>
        <w:t>.</w:t>
      </w:r>
      <w:r w:rsidR="008607C2" w:rsidRPr="007404FA">
        <w:rPr>
          <w:rFonts w:ascii="Times New Roman" w:eastAsia="Times New Roman" w:hAnsi="Times New Roman" w:cs="Times New Roman"/>
          <w:sz w:val="24"/>
          <w:szCs w:val="24"/>
        </w:rPr>
        <w:t xml:space="preserve"> </w:t>
      </w:r>
    </w:p>
    <w:p w:rsidR="004952BB" w:rsidRPr="007404FA" w:rsidRDefault="0063284A"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Целта на предварителната консултация по чл.</w:t>
      </w:r>
      <w:r w:rsidR="00A97991">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 xml:space="preserve">36, </w:t>
      </w:r>
      <w:r w:rsidR="00A97991">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1</w:t>
      </w:r>
      <w:r w:rsidR="00A97991">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3 от Ре</w:t>
      </w:r>
      <w:r w:rsidR="00A97991">
        <w:rPr>
          <w:rFonts w:ascii="Times New Roman" w:eastAsia="Times New Roman" w:hAnsi="Times New Roman" w:cs="Times New Roman"/>
          <w:sz w:val="24"/>
          <w:szCs w:val="24"/>
        </w:rPr>
        <w:t xml:space="preserve">гламента е с помощта на надзорния орган да се намерят от АЛД </w:t>
      </w:r>
      <w:r w:rsidRPr="007404FA">
        <w:rPr>
          <w:rFonts w:ascii="Times New Roman" w:eastAsia="Times New Roman" w:hAnsi="Times New Roman" w:cs="Times New Roman"/>
          <w:sz w:val="24"/>
          <w:szCs w:val="24"/>
        </w:rPr>
        <w:t>подходящи технически и организационни мерки, които да свалят високото ниво на риск, показано от ОВЗД, до приемливи за целта на обработването нива. Надзорният орган може да използва всяко от правомощията си по чл.</w:t>
      </w:r>
      <w:r w:rsidR="00A97991">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 xml:space="preserve">58 от Регламента, за да ограничи или дори да спре такова обработване, докато администраторът не намери подходящи технически и организационни мерки за намаляване на високия риск до приемливо равнище. </w:t>
      </w:r>
    </w:p>
    <w:p w:rsidR="002E6B3B" w:rsidRPr="007404FA" w:rsidRDefault="002E6B3B" w:rsidP="00DB6B05">
      <w:pPr>
        <w:spacing w:line="360" w:lineRule="auto"/>
        <w:ind w:firstLine="709"/>
        <w:jc w:val="both"/>
        <w:rPr>
          <w:rFonts w:ascii="Times New Roman" w:eastAsia="Times New Roman" w:hAnsi="Times New Roman" w:cs="Times New Roman"/>
          <w:sz w:val="24"/>
          <w:szCs w:val="24"/>
        </w:rPr>
      </w:pPr>
    </w:p>
    <w:p w:rsidR="0063284A" w:rsidRPr="007404FA" w:rsidRDefault="0063284A"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b/>
          <w:sz w:val="24"/>
          <w:szCs w:val="24"/>
        </w:rPr>
        <w:t xml:space="preserve">7.2. </w:t>
      </w:r>
      <w:r w:rsidR="008A5A47" w:rsidRPr="007404FA">
        <w:rPr>
          <w:rFonts w:ascii="Times New Roman" w:eastAsia="Times New Roman" w:hAnsi="Times New Roman" w:cs="Times New Roman"/>
          <w:b/>
          <w:sz w:val="24"/>
          <w:szCs w:val="24"/>
        </w:rPr>
        <w:t>Известни особености разкрива</w:t>
      </w:r>
      <w:r w:rsidRPr="007404FA">
        <w:rPr>
          <w:rFonts w:ascii="Times New Roman" w:eastAsia="Times New Roman" w:hAnsi="Times New Roman" w:cs="Times New Roman"/>
          <w:b/>
          <w:sz w:val="24"/>
          <w:szCs w:val="24"/>
        </w:rPr>
        <w:t xml:space="preserve"> предварителната консултация по чл.</w:t>
      </w:r>
      <w:r w:rsidR="00A97991">
        <w:rPr>
          <w:rFonts w:ascii="Times New Roman" w:eastAsia="Times New Roman" w:hAnsi="Times New Roman" w:cs="Times New Roman"/>
          <w:b/>
          <w:sz w:val="24"/>
          <w:szCs w:val="24"/>
        </w:rPr>
        <w:t xml:space="preserve"> </w:t>
      </w:r>
      <w:r w:rsidRPr="007404FA">
        <w:rPr>
          <w:rFonts w:ascii="Times New Roman" w:eastAsia="Times New Roman" w:hAnsi="Times New Roman" w:cs="Times New Roman"/>
          <w:b/>
          <w:sz w:val="24"/>
          <w:szCs w:val="24"/>
        </w:rPr>
        <w:t>65, ал.</w:t>
      </w:r>
      <w:r w:rsidR="00A97991">
        <w:rPr>
          <w:rFonts w:ascii="Times New Roman" w:eastAsia="Times New Roman" w:hAnsi="Times New Roman" w:cs="Times New Roman"/>
          <w:b/>
          <w:sz w:val="24"/>
          <w:szCs w:val="24"/>
        </w:rPr>
        <w:t xml:space="preserve"> </w:t>
      </w:r>
      <w:r w:rsidRPr="007404FA">
        <w:rPr>
          <w:rFonts w:ascii="Times New Roman" w:eastAsia="Times New Roman" w:hAnsi="Times New Roman" w:cs="Times New Roman"/>
          <w:b/>
          <w:sz w:val="24"/>
          <w:szCs w:val="24"/>
        </w:rPr>
        <w:t>1 от ЗЗЛД, която е уредена в Глава осма на ЗЗЛД</w:t>
      </w:r>
      <w:r w:rsidRPr="007404FA">
        <w:rPr>
          <w:rFonts w:ascii="Times New Roman" w:eastAsia="Times New Roman" w:hAnsi="Times New Roman" w:cs="Times New Roman"/>
          <w:sz w:val="24"/>
          <w:szCs w:val="24"/>
        </w:rPr>
        <w:t xml:space="preserve"> (изм.</w:t>
      </w:r>
      <w:r w:rsidR="00E06D6E">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ДВ,</w:t>
      </w:r>
      <w:r w:rsidR="00D1189D" w:rsidRPr="007404FA">
        <w:rPr>
          <w:rFonts w:ascii="Times New Roman" w:eastAsia="Times New Roman" w:hAnsi="Times New Roman" w:cs="Times New Roman"/>
          <w:sz w:val="24"/>
          <w:szCs w:val="24"/>
        </w:rPr>
        <w:t> бр.</w:t>
      </w:r>
      <w:r w:rsidRPr="007404FA">
        <w:rPr>
          <w:rFonts w:ascii="Times New Roman" w:eastAsia="Times New Roman" w:hAnsi="Times New Roman" w:cs="Times New Roman"/>
          <w:sz w:val="24"/>
          <w:szCs w:val="24"/>
        </w:rPr>
        <w:t xml:space="preserve"> 17 от 2019</w:t>
      </w:r>
      <w:r w:rsidR="00A97991">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 xml:space="preserve">г.) и с която </w:t>
      </w:r>
      <w:r w:rsidR="00803EEA" w:rsidRPr="007404FA">
        <w:rPr>
          <w:rFonts w:ascii="Times New Roman" w:eastAsia="Times New Roman" w:hAnsi="Times New Roman" w:cs="Times New Roman"/>
          <w:sz w:val="24"/>
          <w:szCs w:val="24"/>
        </w:rPr>
        <w:t>е</w:t>
      </w:r>
      <w:r w:rsidRPr="007404FA">
        <w:rPr>
          <w:rFonts w:ascii="Times New Roman" w:eastAsia="Times New Roman" w:hAnsi="Times New Roman" w:cs="Times New Roman"/>
          <w:sz w:val="24"/>
          <w:szCs w:val="24"/>
        </w:rPr>
        <w:t xml:space="preserve"> транспонирана в нашето законодателство </w:t>
      </w:r>
      <w:r w:rsidR="00A43D0D" w:rsidRPr="007404FA">
        <w:rPr>
          <w:rFonts w:ascii="Times New Roman" w:eastAsia="Times New Roman" w:hAnsi="Times New Roman" w:cs="Times New Roman"/>
          <w:sz w:val="24"/>
          <w:szCs w:val="24"/>
        </w:rPr>
        <w:t xml:space="preserve">Директива (ЕС) 2016/680 на Европейския парламент и на Съвета </w:t>
      </w:r>
      <w:r w:rsidRPr="007404FA">
        <w:rPr>
          <w:rFonts w:ascii="Times New Roman" w:eastAsia="Times New Roman" w:hAnsi="Times New Roman" w:cs="Times New Roman"/>
          <w:sz w:val="24"/>
          <w:szCs w:val="24"/>
        </w:rPr>
        <w:t xml:space="preserve">от 27 април 2016 </w:t>
      </w:r>
      <w:r w:rsidR="00A97991">
        <w:rPr>
          <w:rFonts w:ascii="Times New Roman" w:eastAsia="Times New Roman" w:hAnsi="Times New Roman" w:cs="Times New Roman"/>
          <w:sz w:val="24"/>
          <w:szCs w:val="24"/>
        </w:rPr>
        <w:t>г.</w:t>
      </w:r>
      <w:r w:rsidRPr="007404FA">
        <w:rPr>
          <w:rFonts w:ascii="Times New Roman" w:eastAsia="Times New Roman" w:hAnsi="Times New Roman" w:cs="Times New Roman"/>
          <w:sz w:val="24"/>
          <w:szCs w:val="24"/>
        </w:rPr>
        <w:t xml:space="preserve"> относно защитата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и относно своб</w:t>
      </w:r>
      <w:r w:rsidR="00A97991">
        <w:rPr>
          <w:rFonts w:ascii="Times New Roman" w:eastAsia="Times New Roman" w:hAnsi="Times New Roman" w:cs="Times New Roman"/>
          <w:sz w:val="24"/>
          <w:szCs w:val="24"/>
        </w:rPr>
        <w:t>одното движение на такива данни</w:t>
      </w:r>
      <w:r w:rsidRPr="007404FA">
        <w:rPr>
          <w:rFonts w:ascii="Times New Roman" w:eastAsia="Times New Roman" w:hAnsi="Times New Roman" w:cs="Times New Roman"/>
          <w:sz w:val="24"/>
          <w:szCs w:val="24"/>
        </w:rPr>
        <w:t xml:space="preserve"> и за отмяна на Рамково решение </w:t>
      </w:r>
      <w:r w:rsidR="005B0914" w:rsidRPr="007404FA">
        <w:rPr>
          <w:rFonts w:ascii="Times New Roman" w:eastAsia="Times New Roman" w:hAnsi="Times New Roman" w:cs="Times New Roman"/>
          <w:sz w:val="24"/>
          <w:szCs w:val="24"/>
        </w:rPr>
        <w:t>2008/977/ПВР на Съвета</w:t>
      </w:r>
      <w:r w:rsidR="002E6B3B" w:rsidRPr="007404FA">
        <w:rPr>
          <w:rFonts w:ascii="Times New Roman" w:eastAsia="Times New Roman" w:hAnsi="Times New Roman" w:cs="Times New Roman"/>
          <w:sz w:val="24"/>
          <w:szCs w:val="24"/>
        </w:rPr>
        <w:t xml:space="preserve"> (Директива (ЕС) 2016/680, Д</w:t>
      </w:r>
      <w:r w:rsidRPr="007404FA">
        <w:rPr>
          <w:rFonts w:ascii="Times New Roman" w:eastAsia="Times New Roman" w:hAnsi="Times New Roman" w:cs="Times New Roman"/>
          <w:sz w:val="24"/>
          <w:szCs w:val="24"/>
        </w:rPr>
        <w:t xml:space="preserve">ирективата). Най-важната </w:t>
      </w:r>
      <w:r w:rsidR="0046019D" w:rsidRPr="007404FA">
        <w:rPr>
          <w:rFonts w:ascii="Times New Roman" w:eastAsia="Times New Roman" w:hAnsi="Times New Roman" w:cs="Times New Roman"/>
          <w:sz w:val="24"/>
          <w:szCs w:val="24"/>
        </w:rPr>
        <w:t>специфика</w:t>
      </w:r>
      <w:r w:rsidR="00A97991">
        <w:rPr>
          <w:rFonts w:ascii="Times New Roman" w:eastAsia="Times New Roman" w:hAnsi="Times New Roman" w:cs="Times New Roman"/>
          <w:sz w:val="24"/>
          <w:szCs w:val="24"/>
        </w:rPr>
        <w:t xml:space="preserve"> тук е кръгът</w:t>
      </w:r>
      <w:r w:rsidRPr="007404FA">
        <w:rPr>
          <w:rFonts w:ascii="Times New Roman" w:eastAsia="Times New Roman" w:hAnsi="Times New Roman" w:cs="Times New Roman"/>
          <w:sz w:val="24"/>
          <w:szCs w:val="24"/>
        </w:rPr>
        <w:t xml:space="preserve"> от АЛД, които следва да ползват това основание при търсенето на</w:t>
      </w:r>
      <w:r w:rsidR="00157B49">
        <w:rPr>
          <w:rFonts w:ascii="Times New Roman" w:eastAsia="Times New Roman" w:hAnsi="Times New Roman" w:cs="Times New Roman"/>
          <w:sz w:val="24"/>
          <w:szCs w:val="24"/>
        </w:rPr>
        <w:t xml:space="preserve"> </w:t>
      </w:r>
      <w:r w:rsidR="00A97991">
        <w:rPr>
          <w:rFonts w:ascii="Times New Roman" w:eastAsia="Times New Roman" w:hAnsi="Times New Roman" w:cs="Times New Roman"/>
          <w:sz w:val="24"/>
          <w:szCs w:val="24"/>
        </w:rPr>
        <w:t>предварителна консултация с К</w:t>
      </w:r>
      <w:r w:rsidRPr="007404FA">
        <w:rPr>
          <w:rFonts w:ascii="Times New Roman" w:eastAsia="Times New Roman" w:hAnsi="Times New Roman" w:cs="Times New Roman"/>
          <w:sz w:val="24"/>
          <w:szCs w:val="24"/>
        </w:rPr>
        <w:t>омисията. Те са посочени в чл.</w:t>
      </w:r>
      <w:r w:rsidR="00A97991">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42, ал.</w:t>
      </w:r>
      <w:r w:rsidR="00A97991">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4 от ЗЗЛД: „</w:t>
      </w:r>
      <w:r w:rsidR="00A97991">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държавните органи, които имат правомощия по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обществената сигу</w:t>
      </w:r>
      <w:r w:rsidR="00A97991">
        <w:rPr>
          <w:rFonts w:ascii="Times New Roman" w:eastAsia="Times New Roman" w:hAnsi="Times New Roman" w:cs="Times New Roman"/>
          <w:sz w:val="24"/>
          <w:szCs w:val="24"/>
        </w:rPr>
        <w:t>рност и тяхното предотвратяване</w:t>
      </w:r>
      <w:r w:rsidRPr="007404FA">
        <w:rPr>
          <w:rFonts w:ascii="Times New Roman" w:eastAsia="Times New Roman" w:hAnsi="Times New Roman" w:cs="Times New Roman"/>
          <w:sz w:val="24"/>
          <w:szCs w:val="24"/>
        </w:rPr>
        <w:t>“</w:t>
      </w:r>
      <w:r w:rsidR="00A97991">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xml:space="preserve"> Изброяването е изчерпателно и никой друг извън посочените държавни органи не може да се позове на нормата по чл.</w:t>
      </w:r>
      <w:r w:rsidR="00A97991">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65, ал.</w:t>
      </w:r>
      <w:r w:rsidR="00A97991">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1 от ЗЗЛД за искане на предварителна консултация с КЗЛД, а следва да спазва правилата, посочени по-горе по чл.</w:t>
      </w:r>
      <w:r w:rsidR="00A97991">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 xml:space="preserve">36, </w:t>
      </w:r>
      <w:r w:rsidR="00A97991">
        <w:rPr>
          <w:rFonts w:ascii="Times New Roman" w:eastAsia="Times New Roman" w:hAnsi="Times New Roman" w:cs="Times New Roman"/>
          <w:sz w:val="24"/>
          <w:szCs w:val="24"/>
        </w:rPr>
        <w:t xml:space="preserve">§1 – </w:t>
      </w:r>
      <w:r w:rsidRPr="007404FA">
        <w:rPr>
          <w:rFonts w:ascii="Times New Roman" w:eastAsia="Times New Roman" w:hAnsi="Times New Roman" w:cs="Times New Roman"/>
          <w:sz w:val="24"/>
          <w:szCs w:val="24"/>
        </w:rPr>
        <w:t>3 от Регламента и описани подробно като производство в чл.</w:t>
      </w:r>
      <w:r w:rsidR="00A97991">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58, ал.</w:t>
      </w:r>
      <w:r w:rsidR="00A97991">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 xml:space="preserve">2 от </w:t>
      </w:r>
      <w:r w:rsidR="000B1237" w:rsidRPr="007404FA">
        <w:rPr>
          <w:rFonts w:ascii="Times New Roman" w:eastAsia="Times New Roman" w:hAnsi="Times New Roman" w:cs="Times New Roman"/>
          <w:sz w:val="24"/>
          <w:szCs w:val="24"/>
        </w:rPr>
        <w:t>ПДКЗЛДНА.</w:t>
      </w:r>
      <w:r w:rsidRPr="007404FA">
        <w:rPr>
          <w:rFonts w:ascii="Times New Roman" w:eastAsia="Times New Roman" w:hAnsi="Times New Roman" w:cs="Times New Roman"/>
          <w:sz w:val="24"/>
          <w:szCs w:val="24"/>
        </w:rPr>
        <w:t xml:space="preserve"> </w:t>
      </w:r>
    </w:p>
    <w:p w:rsidR="0063284A" w:rsidRPr="007404FA" w:rsidRDefault="0063284A"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Друга особен</w:t>
      </w:r>
      <w:r w:rsidR="007274D0" w:rsidRPr="007404FA">
        <w:rPr>
          <w:rFonts w:ascii="Times New Roman" w:eastAsia="Times New Roman" w:hAnsi="Times New Roman" w:cs="Times New Roman"/>
          <w:sz w:val="24"/>
          <w:szCs w:val="24"/>
        </w:rPr>
        <w:t>ост, като следствие от особения</w:t>
      </w:r>
      <w:r w:rsidRPr="007404FA">
        <w:rPr>
          <w:rFonts w:ascii="Times New Roman" w:eastAsia="Times New Roman" w:hAnsi="Times New Roman" w:cs="Times New Roman"/>
          <w:sz w:val="24"/>
          <w:szCs w:val="24"/>
        </w:rPr>
        <w:t xml:space="preserve"> кръг АЛД, визирани в чл.</w:t>
      </w:r>
      <w:r w:rsidR="00A97991">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42, ал.</w:t>
      </w:r>
      <w:r w:rsidR="00A97991">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4 от ЗЗЛД, е и хипотезата на задължителна предварителна консултация по чл.</w:t>
      </w:r>
      <w:r w:rsidR="00A97991">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65, ал.</w:t>
      </w:r>
      <w:r w:rsidR="00A97991">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3 от ЗЗЛД</w:t>
      </w:r>
      <w:r w:rsidR="004A09F8">
        <w:rPr>
          <w:rFonts w:ascii="Times New Roman" w:eastAsia="Times New Roman" w:hAnsi="Times New Roman" w:cs="Times New Roman"/>
          <w:sz w:val="24"/>
          <w:szCs w:val="24"/>
        </w:rPr>
        <w:t> </w:t>
      </w:r>
      <w:r w:rsidR="00E06D6E">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„Комисията приема и публикува списък на операциите по обработване, за които е задължителна предварителната консултация по</w:t>
      </w:r>
      <w:r w:rsidR="00F06583" w:rsidRPr="007404FA">
        <w:rPr>
          <w:rFonts w:ascii="Times New Roman" w:eastAsia="Times New Roman" w:hAnsi="Times New Roman" w:cs="Times New Roman"/>
          <w:sz w:val="24"/>
          <w:szCs w:val="24"/>
        </w:rPr>
        <w:t xml:space="preserve"> ал. </w:t>
      </w:r>
      <w:r w:rsidRPr="007404FA">
        <w:rPr>
          <w:rFonts w:ascii="Times New Roman" w:eastAsia="Times New Roman" w:hAnsi="Times New Roman" w:cs="Times New Roman"/>
          <w:sz w:val="24"/>
          <w:szCs w:val="24"/>
        </w:rPr>
        <w:t>1“. В този слу</w:t>
      </w:r>
      <w:r w:rsidR="00A97991">
        <w:rPr>
          <w:rFonts w:ascii="Times New Roman" w:eastAsia="Times New Roman" w:hAnsi="Times New Roman" w:cs="Times New Roman"/>
          <w:sz w:val="24"/>
          <w:szCs w:val="24"/>
        </w:rPr>
        <w:t>чай изобщо не се поставя въпросът</w:t>
      </w:r>
      <w:r w:rsidRPr="007404FA">
        <w:rPr>
          <w:rFonts w:ascii="Times New Roman" w:eastAsia="Times New Roman" w:hAnsi="Times New Roman" w:cs="Times New Roman"/>
          <w:sz w:val="24"/>
          <w:szCs w:val="24"/>
        </w:rPr>
        <w:t xml:space="preserve"> за нивото на риска, от който следва провеждането на предварителната консултация с </w:t>
      </w:r>
      <w:r w:rsidR="00A97991">
        <w:rPr>
          <w:rFonts w:ascii="Times New Roman" w:eastAsia="Times New Roman" w:hAnsi="Times New Roman" w:cs="Times New Roman"/>
          <w:sz w:val="24"/>
          <w:szCs w:val="24"/>
        </w:rPr>
        <w:t>К</w:t>
      </w:r>
      <w:r w:rsidRPr="007404FA">
        <w:rPr>
          <w:rFonts w:ascii="Times New Roman" w:eastAsia="Times New Roman" w:hAnsi="Times New Roman" w:cs="Times New Roman"/>
          <w:sz w:val="24"/>
          <w:szCs w:val="24"/>
        </w:rPr>
        <w:t xml:space="preserve">омисията, а по-важен е видът на обработването на лични данни и дали той попада в посочения списък или не. В изпълнение на това си задължение КЗЛД е приела и </w:t>
      </w:r>
      <w:r w:rsidRPr="007404FA">
        <w:rPr>
          <w:rFonts w:ascii="Times New Roman" w:eastAsia="Times New Roman" w:hAnsi="Times New Roman" w:cs="Times New Roman"/>
          <w:sz w:val="24"/>
          <w:szCs w:val="24"/>
        </w:rPr>
        <w:lastRenderedPageBreak/>
        <w:t>публикувала на сайта си „Списък на операциите по обработване на лични данни, за които е задължителна предварителна консултация по чл.</w:t>
      </w:r>
      <w:r w:rsidR="00A97991">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65, ал.</w:t>
      </w:r>
      <w:r w:rsidR="00A97991">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3 от Закона за защита на личните данни“.</w:t>
      </w:r>
    </w:p>
    <w:p w:rsidR="00A73F3B" w:rsidRPr="007404FA" w:rsidRDefault="006A242F"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Прави</w:t>
      </w:r>
      <w:r w:rsidR="0063284A" w:rsidRPr="007404FA">
        <w:rPr>
          <w:rFonts w:ascii="Times New Roman" w:eastAsia="Times New Roman" w:hAnsi="Times New Roman" w:cs="Times New Roman"/>
          <w:sz w:val="24"/>
          <w:szCs w:val="24"/>
        </w:rPr>
        <w:t xml:space="preserve"> впечатление, че </w:t>
      </w:r>
      <w:r w:rsidR="005D13B5" w:rsidRPr="007404FA">
        <w:rPr>
          <w:rFonts w:ascii="Times New Roman" w:eastAsia="Times New Roman" w:hAnsi="Times New Roman" w:cs="Times New Roman"/>
          <w:sz w:val="24"/>
          <w:szCs w:val="24"/>
        </w:rPr>
        <w:t xml:space="preserve">редица </w:t>
      </w:r>
      <w:r w:rsidR="0063284A" w:rsidRPr="007404FA">
        <w:rPr>
          <w:rFonts w:ascii="Times New Roman" w:eastAsia="Times New Roman" w:hAnsi="Times New Roman" w:cs="Times New Roman"/>
          <w:sz w:val="24"/>
          <w:szCs w:val="24"/>
        </w:rPr>
        <w:t xml:space="preserve">АЛД </w:t>
      </w:r>
      <w:r w:rsidR="005D13B5" w:rsidRPr="007404FA">
        <w:rPr>
          <w:rFonts w:ascii="Times New Roman" w:eastAsia="Times New Roman" w:hAnsi="Times New Roman" w:cs="Times New Roman"/>
          <w:sz w:val="24"/>
          <w:szCs w:val="24"/>
        </w:rPr>
        <w:t>и техни консултанти</w:t>
      </w:r>
      <w:r w:rsidR="00FD35E3" w:rsidRPr="007404FA">
        <w:rPr>
          <w:rFonts w:ascii="Times New Roman" w:eastAsia="Times New Roman" w:hAnsi="Times New Roman" w:cs="Times New Roman"/>
          <w:sz w:val="24"/>
          <w:szCs w:val="24"/>
        </w:rPr>
        <w:t xml:space="preserve"> периодично</w:t>
      </w:r>
      <w:r w:rsidR="0063284A" w:rsidRPr="007404FA">
        <w:rPr>
          <w:rFonts w:ascii="Times New Roman" w:eastAsia="Times New Roman" w:hAnsi="Times New Roman" w:cs="Times New Roman"/>
          <w:sz w:val="24"/>
          <w:szCs w:val="24"/>
        </w:rPr>
        <w:t xml:space="preserve"> се обръщат към КЗЛД с искане за предварителна консултация по чл.</w:t>
      </w:r>
      <w:r w:rsidR="00A97991">
        <w:rPr>
          <w:rFonts w:ascii="Times New Roman" w:eastAsia="Times New Roman" w:hAnsi="Times New Roman" w:cs="Times New Roman"/>
          <w:sz w:val="24"/>
          <w:szCs w:val="24"/>
        </w:rPr>
        <w:t xml:space="preserve"> </w:t>
      </w:r>
      <w:r w:rsidR="0063284A" w:rsidRPr="007404FA">
        <w:rPr>
          <w:rFonts w:ascii="Times New Roman" w:eastAsia="Times New Roman" w:hAnsi="Times New Roman" w:cs="Times New Roman"/>
          <w:sz w:val="24"/>
          <w:szCs w:val="24"/>
        </w:rPr>
        <w:t>65, ал.</w:t>
      </w:r>
      <w:r w:rsidR="00A97991">
        <w:rPr>
          <w:rFonts w:ascii="Times New Roman" w:eastAsia="Times New Roman" w:hAnsi="Times New Roman" w:cs="Times New Roman"/>
          <w:sz w:val="24"/>
          <w:szCs w:val="24"/>
        </w:rPr>
        <w:t xml:space="preserve"> </w:t>
      </w:r>
      <w:r w:rsidR="0063284A" w:rsidRPr="007404FA">
        <w:rPr>
          <w:rFonts w:ascii="Times New Roman" w:eastAsia="Times New Roman" w:hAnsi="Times New Roman" w:cs="Times New Roman"/>
          <w:sz w:val="24"/>
          <w:szCs w:val="24"/>
        </w:rPr>
        <w:t xml:space="preserve">1 от ЗЗЛД, без изобщо </w:t>
      </w:r>
      <w:r w:rsidR="00E0234A" w:rsidRPr="007404FA">
        <w:rPr>
          <w:rFonts w:ascii="Times New Roman" w:eastAsia="Times New Roman" w:hAnsi="Times New Roman" w:cs="Times New Roman"/>
          <w:sz w:val="24"/>
          <w:szCs w:val="24"/>
        </w:rPr>
        <w:t>да отчитат обстоятел</w:t>
      </w:r>
      <w:r w:rsidR="00D450B9" w:rsidRPr="007404FA">
        <w:rPr>
          <w:rFonts w:ascii="Times New Roman" w:eastAsia="Times New Roman" w:hAnsi="Times New Roman" w:cs="Times New Roman"/>
          <w:sz w:val="24"/>
          <w:szCs w:val="24"/>
        </w:rPr>
        <w:t>ството</w:t>
      </w:r>
      <w:r w:rsidR="0063284A" w:rsidRPr="007404FA">
        <w:rPr>
          <w:rFonts w:ascii="Times New Roman" w:eastAsia="Times New Roman" w:hAnsi="Times New Roman" w:cs="Times New Roman"/>
          <w:sz w:val="24"/>
          <w:szCs w:val="24"/>
        </w:rPr>
        <w:t>, че не попадат в кръга от субекти на чл.</w:t>
      </w:r>
      <w:r w:rsidR="00A97991">
        <w:rPr>
          <w:rFonts w:ascii="Times New Roman" w:eastAsia="Times New Roman" w:hAnsi="Times New Roman" w:cs="Times New Roman"/>
          <w:sz w:val="24"/>
          <w:szCs w:val="24"/>
        </w:rPr>
        <w:t xml:space="preserve"> </w:t>
      </w:r>
      <w:r w:rsidR="0063284A" w:rsidRPr="007404FA">
        <w:rPr>
          <w:rFonts w:ascii="Times New Roman" w:eastAsia="Times New Roman" w:hAnsi="Times New Roman" w:cs="Times New Roman"/>
          <w:sz w:val="24"/>
          <w:szCs w:val="24"/>
        </w:rPr>
        <w:t>42, ал.</w:t>
      </w:r>
      <w:r w:rsidR="00A97991">
        <w:rPr>
          <w:rFonts w:ascii="Times New Roman" w:eastAsia="Times New Roman" w:hAnsi="Times New Roman" w:cs="Times New Roman"/>
          <w:sz w:val="24"/>
          <w:szCs w:val="24"/>
        </w:rPr>
        <w:t xml:space="preserve"> </w:t>
      </w:r>
      <w:r w:rsidR="0063284A" w:rsidRPr="007404FA">
        <w:rPr>
          <w:rFonts w:ascii="Times New Roman" w:eastAsia="Times New Roman" w:hAnsi="Times New Roman" w:cs="Times New Roman"/>
          <w:sz w:val="24"/>
          <w:szCs w:val="24"/>
        </w:rPr>
        <w:t xml:space="preserve">4 от ЗЗЛД. </w:t>
      </w:r>
      <w:r w:rsidR="00B036B8" w:rsidRPr="007404FA">
        <w:rPr>
          <w:rFonts w:ascii="Times New Roman" w:eastAsia="Times New Roman" w:hAnsi="Times New Roman" w:cs="Times New Roman"/>
          <w:sz w:val="24"/>
          <w:szCs w:val="24"/>
        </w:rPr>
        <w:t>Констатира се недостатъчно задълбочено познаване на материята</w:t>
      </w:r>
      <w:r w:rsidR="00553661" w:rsidRPr="007404FA">
        <w:rPr>
          <w:rFonts w:ascii="Times New Roman" w:eastAsia="Times New Roman" w:hAnsi="Times New Roman" w:cs="Times New Roman"/>
          <w:sz w:val="24"/>
          <w:szCs w:val="24"/>
        </w:rPr>
        <w:t xml:space="preserve"> – </w:t>
      </w:r>
      <w:r w:rsidR="00A73F3B" w:rsidRPr="007404FA">
        <w:rPr>
          <w:rFonts w:ascii="Times New Roman" w:eastAsia="Times New Roman" w:hAnsi="Times New Roman" w:cs="Times New Roman"/>
          <w:sz w:val="24"/>
          <w:szCs w:val="24"/>
        </w:rPr>
        <w:t>предмет на регламентация на Зак</w:t>
      </w:r>
      <w:r w:rsidR="00AA6D5F" w:rsidRPr="007404FA">
        <w:rPr>
          <w:rFonts w:ascii="Times New Roman" w:eastAsia="Times New Roman" w:hAnsi="Times New Roman" w:cs="Times New Roman"/>
          <w:sz w:val="24"/>
          <w:szCs w:val="24"/>
        </w:rPr>
        <w:t xml:space="preserve">она за защита на личните данни и свързаните с нея особености. </w:t>
      </w:r>
    </w:p>
    <w:p w:rsidR="00A73F3B" w:rsidRPr="007404FA" w:rsidRDefault="00A73F3B" w:rsidP="00DB6B05">
      <w:pPr>
        <w:spacing w:line="360" w:lineRule="auto"/>
        <w:ind w:firstLine="709"/>
        <w:jc w:val="both"/>
        <w:rPr>
          <w:rFonts w:ascii="Times New Roman" w:eastAsia="Times New Roman" w:hAnsi="Times New Roman" w:cs="Times New Roman"/>
          <w:sz w:val="24"/>
          <w:szCs w:val="24"/>
        </w:rPr>
      </w:pPr>
    </w:p>
    <w:p w:rsidR="0063284A" w:rsidRPr="007404FA" w:rsidRDefault="0063284A" w:rsidP="00DB6B05">
      <w:pPr>
        <w:spacing w:line="360" w:lineRule="auto"/>
        <w:ind w:firstLine="709"/>
        <w:jc w:val="both"/>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7.3. През 2022</w:t>
      </w:r>
      <w:r w:rsidR="00A97991">
        <w:rPr>
          <w:rFonts w:ascii="Times New Roman" w:eastAsia="Times New Roman" w:hAnsi="Times New Roman" w:cs="Times New Roman"/>
          <w:b/>
          <w:sz w:val="24"/>
          <w:szCs w:val="24"/>
        </w:rPr>
        <w:t xml:space="preserve"> г. К</w:t>
      </w:r>
      <w:r w:rsidRPr="007404FA">
        <w:rPr>
          <w:rFonts w:ascii="Times New Roman" w:eastAsia="Times New Roman" w:hAnsi="Times New Roman" w:cs="Times New Roman"/>
          <w:b/>
          <w:sz w:val="24"/>
          <w:szCs w:val="24"/>
        </w:rPr>
        <w:t>омисията е била адресат на две искан</w:t>
      </w:r>
      <w:r w:rsidR="00A97991">
        <w:rPr>
          <w:rFonts w:ascii="Times New Roman" w:eastAsia="Times New Roman" w:hAnsi="Times New Roman" w:cs="Times New Roman"/>
          <w:b/>
          <w:sz w:val="24"/>
          <w:szCs w:val="24"/>
        </w:rPr>
        <w:t>ия за предварителна консултация</w:t>
      </w:r>
      <w:r w:rsidRPr="007404FA">
        <w:rPr>
          <w:rFonts w:ascii="Times New Roman" w:eastAsia="Times New Roman" w:hAnsi="Times New Roman" w:cs="Times New Roman"/>
          <w:b/>
          <w:sz w:val="24"/>
          <w:szCs w:val="24"/>
        </w:rPr>
        <w:t xml:space="preserve"> както по чл.</w:t>
      </w:r>
      <w:r w:rsidR="00A97991">
        <w:rPr>
          <w:rFonts w:ascii="Times New Roman" w:eastAsia="Times New Roman" w:hAnsi="Times New Roman" w:cs="Times New Roman"/>
          <w:b/>
          <w:sz w:val="24"/>
          <w:szCs w:val="24"/>
        </w:rPr>
        <w:t xml:space="preserve"> </w:t>
      </w:r>
      <w:r w:rsidRPr="007404FA">
        <w:rPr>
          <w:rFonts w:ascii="Times New Roman" w:eastAsia="Times New Roman" w:hAnsi="Times New Roman" w:cs="Times New Roman"/>
          <w:b/>
          <w:sz w:val="24"/>
          <w:szCs w:val="24"/>
        </w:rPr>
        <w:t>36 от ОРЗД, така и по чл.</w:t>
      </w:r>
      <w:r w:rsidR="00A97991">
        <w:rPr>
          <w:rFonts w:ascii="Times New Roman" w:eastAsia="Times New Roman" w:hAnsi="Times New Roman" w:cs="Times New Roman"/>
          <w:b/>
          <w:sz w:val="24"/>
          <w:szCs w:val="24"/>
        </w:rPr>
        <w:t xml:space="preserve"> </w:t>
      </w:r>
      <w:r w:rsidRPr="007404FA">
        <w:rPr>
          <w:rFonts w:ascii="Times New Roman" w:eastAsia="Times New Roman" w:hAnsi="Times New Roman" w:cs="Times New Roman"/>
          <w:b/>
          <w:sz w:val="24"/>
          <w:szCs w:val="24"/>
        </w:rPr>
        <w:t>65, ал.</w:t>
      </w:r>
      <w:r w:rsidR="00A97991">
        <w:rPr>
          <w:rFonts w:ascii="Times New Roman" w:eastAsia="Times New Roman" w:hAnsi="Times New Roman" w:cs="Times New Roman"/>
          <w:b/>
          <w:sz w:val="24"/>
          <w:szCs w:val="24"/>
        </w:rPr>
        <w:t xml:space="preserve"> </w:t>
      </w:r>
      <w:r w:rsidRPr="007404FA">
        <w:rPr>
          <w:rFonts w:ascii="Times New Roman" w:eastAsia="Times New Roman" w:hAnsi="Times New Roman" w:cs="Times New Roman"/>
          <w:b/>
          <w:sz w:val="24"/>
          <w:szCs w:val="24"/>
        </w:rPr>
        <w:t>1 от ЗЗЛД.</w:t>
      </w:r>
    </w:p>
    <w:p w:rsidR="0063284A" w:rsidRPr="007404FA" w:rsidRDefault="0063284A"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В първия случай АЛД иска предварителна консултация едновременно на основание по чл.</w:t>
      </w:r>
      <w:r w:rsidR="00A97991">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36 от Регламента и по чл.</w:t>
      </w:r>
      <w:r w:rsidR="00A97991">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 xml:space="preserve">65 от ЗЗЛД (което сочи за очевидно неразбиране на разликата между двете основания), без изобщо да е направена ОВЗД, както и да е известно нивото на евентуалния риск при обработването на лични данни на </w:t>
      </w:r>
      <w:r w:rsidR="000F1324" w:rsidRPr="007404FA">
        <w:rPr>
          <w:rFonts w:ascii="Times New Roman" w:eastAsia="Times New Roman" w:hAnsi="Times New Roman" w:cs="Times New Roman"/>
          <w:sz w:val="24"/>
          <w:szCs w:val="24"/>
        </w:rPr>
        <w:t>физическите лица</w:t>
      </w:r>
      <w:r w:rsidRPr="007404FA">
        <w:rPr>
          <w:rFonts w:ascii="Times New Roman" w:eastAsia="Times New Roman" w:hAnsi="Times New Roman" w:cs="Times New Roman"/>
          <w:sz w:val="24"/>
          <w:szCs w:val="24"/>
        </w:rPr>
        <w:t>. След изпращане на писмо с подробни разяснения за същността на консултацията и с и</w:t>
      </w:r>
      <w:r w:rsidR="00A97991">
        <w:rPr>
          <w:rFonts w:ascii="Times New Roman" w:eastAsia="Times New Roman" w:hAnsi="Times New Roman" w:cs="Times New Roman"/>
          <w:sz w:val="24"/>
          <w:szCs w:val="24"/>
        </w:rPr>
        <w:t>скане за допълнителни документи</w:t>
      </w:r>
      <w:r w:rsidRPr="007404FA">
        <w:rPr>
          <w:rFonts w:ascii="Times New Roman" w:eastAsia="Times New Roman" w:hAnsi="Times New Roman" w:cs="Times New Roman"/>
          <w:sz w:val="24"/>
          <w:szCs w:val="24"/>
        </w:rPr>
        <w:t xml:space="preserve"> АЛД</w:t>
      </w:r>
      <w:r w:rsidR="00A97991">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xml:space="preserve"> явно разбирайки своята грешка (и отчитайки, че не попада в нито една от хипотезите за предварителна консултация), повече не поддържа своето искане.</w:t>
      </w:r>
    </w:p>
    <w:p w:rsidR="0063284A" w:rsidRPr="007404FA" w:rsidRDefault="0063284A"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Второто искане за предварителна консултация от АЛД</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държавен орган</w:t>
      </w:r>
      <w:r w:rsidR="00A97991">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xml:space="preserve"> е във връзка с предстоящо приемане на подзаконов акт, като основание е посочена нормата на чл.</w:t>
      </w:r>
      <w:r w:rsidR="00A97991">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 xml:space="preserve">36, </w:t>
      </w:r>
      <w:r w:rsidR="00A97991">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4 от Регламента. Важно е да се отбележи, че макар разпоредбата на чл.</w:t>
      </w:r>
      <w:r w:rsidR="00A97991">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 xml:space="preserve">36, </w:t>
      </w:r>
      <w:r w:rsidR="00A97991">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4 от Регламента да е разписана</w:t>
      </w:r>
      <w:r w:rsidR="0005563F" w:rsidRPr="007404FA">
        <w:rPr>
          <w:rFonts w:ascii="Times New Roman" w:eastAsia="Times New Roman" w:hAnsi="Times New Roman" w:cs="Times New Roman"/>
          <w:sz w:val="24"/>
          <w:szCs w:val="24"/>
        </w:rPr>
        <w:t xml:space="preserve"> систематично </w:t>
      </w:r>
      <w:r w:rsidRPr="007404FA">
        <w:rPr>
          <w:rFonts w:ascii="Times New Roman" w:eastAsia="Times New Roman" w:hAnsi="Times New Roman" w:cs="Times New Roman"/>
          <w:sz w:val="24"/>
          <w:szCs w:val="24"/>
        </w:rPr>
        <w:t xml:space="preserve">в </w:t>
      </w:r>
      <w:r w:rsidR="0005563F" w:rsidRPr="007404FA">
        <w:rPr>
          <w:rFonts w:ascii="Times New Roman" w:eastAsia="Times New Roman" w:hAnsi="Times New Roman" w:cs="Times New Roman"/>
          <w:sz w:val="24"/>
          <w:szCs w:val="24"/>
        </w:rPr>
        <w:t xml:space="preserve">нормата на </w:t>
      </w:r>
      <w:r w:rsidRPr="007404FA">
        <w:rPr>
          <w:rFonts w:ascii="Times New Roman" w:eastAsia="Times New Roman" w:hAnsi="Times New Roman" w:cs="Times New Roman"/>
          <w:sz w:val="24"/>
          <w:szCs w:val="24"/>
        </w:rPr>
        <w:t>чл.</w:t>
      </w:r>
      <w:r w:rsidR="00A97991">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36 от Регламента, който разглежда провеждането на предварителната консултация с надзорния орган, същата не е част от типичната предварителна консултация по чл.</w:t>
      </w:r>
      <w:r w:rsidR="00A97991">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 xml:space="preserve">36, </w:t>
      </w:r>
      <w:r w:rsidR="00A97991">
        <w:rPr>
          <w:rFonts w:ascii="Times New Roman" w:eastAsia="Times New Roman" w:hAnsi="Times New Roman" w:cs="Times New Roman"/>
          <w:sz w:val="24"/>
          <w:szCs w:val="24"/>
        </w:rPr>
        <w:t xml:space="preserve">§1 – </w:t>
      </w:r>
      <w:r w:rsidRPr="007404FA">
        <w:rPr>
          <w:rFonts w:ascii="Times New Roman" w:eastAsia="Times New Roman" w:hAnsi="Times New Roman" w:cs="Times New Roman"/>
          <w:sz w:val="24"/>
          <w:szCs w:val="24"/>
        </w:rPr>
        <w:t>3 от Регламента, необходима</w:t>
      </w:r>
      <w:r w:rsidR="00A97991">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xml:space="preserve"> след като извършената ОВЗД е показала висок риск и невъзможност на АЛД да намали или ограничи този риск. Логиката на нормата на чл.</w:t>
      </w:r>
      <w:r w:rsidR="00A97991">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 xml:space="preserve">36, </w:t>
      </w:r>
      <w:r w:rsidR="00A97991">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4 от Регламента се</w:t>
      </w:r>
      <w:r w:rsidR="00157B49">
        <w:rPr>
          <w:rFonts w:ascii="Times New Roman" w:eastAsia="Times New Roman" w:hAnsi="Times New Roman" w:cs="Times New Roman"/>
          <w:sz w:val="24"/>
          <w:szCs w:val="24"/>
        </w:rPr>
        <w:t xml:space="preserve"> </w:t>
      </w:r>
      <w:r w:rsidR="00A97991">
        <w:rPr>
          <w:rFonts w:ascii="Times New Roman" w:eastAsia="Times New Roman" w:hAnsi="Times New Roman" w:cs="Times New Roman"/>
          <w:sz w:val="24"/>
          <w:szCs w:val="24"/>
        </w:rPr>
        <w:t xml:space="preserve">проявява в задължението на АЛД – </w:t>
      </w:r>
      <w:r w:rsidRPr="007404FA">
        <w:rPr>
          <w:rFonts w:ascii="Times New Roman" w:eastAsia="Times New Roman" w:hAnsi="Times New Roman" w:cs="Times New Roman"/>
          <w:sz w:val="24"/>
          <w:szCs w:val="24"/>
        </w:rPr>
        <w:t>държавен орган</w:t>
      </w:r>
      <w:r w:rsidR="00A97991">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xml:space="preserve"> принципно да съгласува с КЗЛД „предложения за законодателни мерки, които да бъдат приети от националните парламенти“, когато същите касаят защитата на личните данни и целта е да се вземе предвид</w:t>
      </w:r>
      <w:r w:rsidR="00A97991">
        <w:rPr>
          <w:rFonts w:ascii="Times New Roman" w:eastAsia="Times New Roman" w:hAnsi="Times New Roman" w:cs="Times New Roman"/>
          <w:sz w:val="24"/>
          <w:szCs w:val="24"/>
        </w:rPr>
        <w:t xml:space="preserve"> становището на К</w:t>
      </w:r>
      <w:r w:rsidRPr="007404FA">
        <w:rPr>
          <w:rFonts w:ascii="Times New Roman" w:eastAsia="Times New Roman" w:hAnsi="Times New Roman" w:cs="Times New Roman"/>
          <w:sz w:val="24"/>
          <w:szCs w:val="24"/>
        </w:rPr>
        <w:t>омисията като най-компетентен орган в Република България по разглежданата материя. В този случай не са необходими и допълнителните документи, изрично посочени в чл.</w:t>
      </w:r>
      <w:r w:rsidR="00A97991">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58, ал.</w:t>
      </w:r>
      <w:r w:rsidR="00A97991">
        <w:rPr>
          <w:rFonts w:ascii="Times New Roman" w:eastAsia="Times New Roman" w:hAnsi="Times New Roman" w:cs="Times New Roman"/>
          <w:sz w:val="24"/>
          <w:szCs w:val="24"/>
        </w:rPr>
        <w:t xml:space="preserve"> 2 от Правилника на К</w:t>
      </w:r>
      <w:r w:rsidRPr="007404FA">
        <w:rPr>
          <w:rFonts w:ascii="Times New Roman" w:eastAsia="Times New Roman" w:hAnsi="Times New Roman" w:cs="Times New Roman"/>
          <w:sz w:val="24"/>
          <w:szCs w:val="24"/>
        </w:rPr>
        <w:t>омисията</w:t>
      </w:r>
      <w:r w:rsidR="00A97991">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xml:space="preserve"> и съответното искане не е разгледано като искане за типична предварителна консултация, а като искане за консултация по чл.</w:t>
      </w:r>
      <w:r w:rsidR="00A97991">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 xml:space="preserve">36, </w:t>
      </w:r>
      <w:r w:rsidR="00A97991">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xml:space="preserve">4 от Регламента. </w:t>
      </w:r>
    </w:p>
    <w:p w:rsidR="00103365" w:rsidRPr="007404FA" w:rsidRDefault="00103365" w:rsidP="00DB6B05">
      <w:pPr>
        <w:spacing w:line="259" w:lineRule="auto"/>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br w:type="page"/>
      </w:r>
    </w:p>
    <w:p w:rsidR="00E42714" w:rsidRPr="00644574" w:rsidRDefault="00E42714" w:rsidP="00644574">
      <w:pPr>
        <w:pStyle w:val="Heading1"/>
        <w:spacing w:before="0" w:after="120" w:line="360" w:lineRule="auto"/>
        <w:ind w:firstLine="709"/>
        <w:jc w:val="both"/>
        <w:rPr>
          <w:rFonts w:ascii="Times New Roman" w:hAnsi="Times New Roman" w:cs="Times New Roman"/>
          <w:sz w:val="24"/>
          <w:szCs w:val="24"/>
        </w:rPr>
      </w:pPr>
      <w:bookmarkStart w:id="4" w:name="_Toc130915381"/>
      <w:r w:rsidRPr="00644574">
        <w:rPr>
          <w:rFonts w:ascii="Times New Roman" w:hAnsi="Times New Roman" w:cs="Times New Roman"/>
          <w:sz w:val="24"/>
          <w:szCs w:val="24"/>
        </w:rPr>
        <w:lastRenderedPageBreak/>
        <w:t>V. ПРОИЗВОДСТВА ПО ИЗРАЗЯВАНЕ НА СТАНОВИЩА И УЧАСТИЕ В СЪГЛАСУВАТЕЛНИ ПРОЦЕДУРИ НА НОРМАТИВНИ АКТОВЕ ПО ВЪПРОСИТЕ, СВЪРЗАНИ СЪС ЗАЩИТА НА ЛИЧНИТЕ ДАННИ</w:t>
      </w:r>
      <w:bookmarkEnd w:id="4"/>
    </w:p>
    <w:p w:rsidR="00E42714" w:rsidRPr="007404FA" w:rsidRDefault="00E42714" w:rsidP="00DB6B05">
      <w:pPr>
        <w:spacing w:line="360" w:lineRule="auto"/>
        <w:ind w:firstLine="709"/>
        <w:jc w:val="both"/>
        <w:rPr>
          <w:rFonts w:ascii="Times New Roman" w:hAnsi="Times New Roman" w:cs="Times New Roman"/>
          <w:sz w:val="24"/>
          <w:szCs w:val="24"/>
        </w:rPr>
      </w:pPr>
    </w:p>
    <w:p w:rsidR="00E42714" w:rsidRPr="007404FA" w:rsidRDefault="00E42714" w:rsidP="00DB6B05">
      <w:pPr>
        <w:spacing w:line="360" w:lineRule="auto"/>
        <w:ind w:firstLine="709"/>
        <w:jc w:val="both"/>
        <w:rPr>
          <w:rFonts w:ascii="Times New Roman" w:hAnsi="Times New Roman" w:cs="Times New Roman"/>
          <w:b/>
          <w:sz w:val="24"/>
          <w:szCs w:val="24"/>
        </w:rPr>
      </w:pPr>
      <w:r w:rsidRPr="007404FA">
        <w:rPr>
          <w:rFonts w:ascii="Times New Roman" w:hAnsi="Times New Roman" w:cs="Times New Roman"/>
          <w:b/>
          <w:sz w:val="24"/>
          <w:szCs w:val="24"/>
        </w:rPr>
        <w:t>1. Обща статистика и по-интересни случаи от практиката на КЗЛД.</w:t>
      </w:r>
    </w:p>
    <w:p w:rsidR="004615EB" w:rsidRPr="007404FA" w:rsidRDefault="004615EB"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През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Комисията е била сезирана и е изразила 32 становища по различни въпроси в областта на защитата на личните данни. Подробна информация и разяснения по ключови въпроси от обществен интерес </w:t>
      </w:r>
      <w:r w:rsidR="000827E7">
        <w:rPr>
          <w:rFonts w:ascii="Times New Roman" w:hAnsi="Times New Roman" w:cs="Times New Roman"/>
          <w:sz w:val="24"/>
          <w:szCs w:val="24"/>
        </w:rPr>
        <w:t>са</w:t>
      </w:r>
      <w:r w:rsidRPr="007404FA">
        <w:rPr>
          <w:rFonts w:ascii="Times New Roman" w:hAnsi="Times New Roman" w:cs="Times New Roman"/>
          <w:sz w:val="24"/>
          <w:szCs w:val="24"/>
        </w:rPr>
        <w:t xml:space="preserve"> предоставен</w:t>
      </w:r>
      <w:r w:rsidR="000827E7">
        <w:rPr>
          <w:rFonts w:ascii="Times New Roman" w:hAnsi="Times New Roman" w:cs="Times New Roman"/>
          <w:sz w:val="24"/>
          <w:szCs w:val="24"/>
        </w:rPr>
        <w:t>и</w:t>
      </w:r>
      <w:r w:rsidRPr="007404FA">
        <w:rPr>
          <w:rFonts w:ascii="Times New Roman" w:hAnsi="Times New Roman" w:cs="Times New Roman"/>
          <w:sz w:val="24"/>
          <w:szCs w:val="24"/>
        </w:rPr>
        <w:t xml:space="preserve"> по-долу.</w:t>
      </w:r>
    </w:p>
    <w:p w:rsidR="004615EB" w:rsidRPr="007404FA" w:rsidRDefault="004615EB" w:rsidP="00DB6B05">
      <w:pPr>
        <w:spacing w:line="360" w:lineRule="auto"/>
        <w:ind w:firstLine="709"/>
        <w:jc w:val="both"/>
        <w:rPr>
          <w:rFonts w:ascii="Times New Roman" w:eastAsia="Times New Roman" w:hAnsi="Times New Roman" w:cs="Times New Roman"/>
          <w:b/>
          <w:sz w:val="24"/>
          <w:szCs w:val="24"/>
        </w:rPr>
      </w:pPr>
    </w:p>
    <w:p w:rsidR="004615EB" w:rsidRPr="007404FA" w:rsidRDefault="004615EB" w:rsidP="00DB6B05">
      <w:pPr>
        <w:pStyle w:val="ListParagraph"/>
        <w:numPr>
          <w:ilvl w:val="1"/>
          <w:numId w:val="37"/>
        </w:numPr>
        <w:spacing w:after="0" w:line="360" w:lineRule="auto"/>
        <w:ind w:left="1066" w:hanging="357"/>
        <w:rPr>
          <w:rFonts w:ascii="Times New Roman" w:hAnsi="Times New Roman"/>
          <w:b/>
          <w:sz w:val="24"/>
          <w:szCs w:val="24"/>
          <w:lang w:val="bg-BG"/>
        </w:rPr>
      </w:pPr>
      <w:r w:rsidRPr="007404FA">
        <w:rPr>
          <w:rFonts w:ascii="Times New Roman" w:hAnsi="Times New Roman"/>
          <w:b/>
          <w:sz w:val="24"/>
          <w:szCs w:val="24"/>
          <w:lang w:val="bg-BG"/>
        </w:rPr>
        <w:t>Преюдициални запитвания</w:t>
      </w:r>
      <w:r w:rsidR="000827E7">
        <w:rPr>
          <w:rFonts w:ascii="Times New Roman" w:hAnsi="Times New Roman"/>
          <w:b/>
          <w:sz w:val="24"/>
          <w:szCs w:val="24"/>
          <w:lang w:val="bg-BG"/>
        </w:rPr>
        <w:t>.</w:t>
      </w:r>
    </w:p>
    <w:p w:rsidR="00E42714" w:rsidRPr="007404FA" w:rsidRDefault="00E42714"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През отчетния период КЗЛД е изразила становища по три преюдициални запитвания, които са предложени и приети като част от формиране на позицията на Република България пред Съда на ЕС. </w:t>
      </w:r>
    </w:p>
    <w:p w:rsidR="00E42714" w:rsidRPr="007404FA" w:rsidRDefault="00E42714" w:rsidP="00DB6B05">
      <w:pPr>
        <w:spacing w:line="360" w:lineRule="auto"/>
        <w:ind w:firstLine="709"/>
        <w:jc w:val="both"/>
        <w:rPr>
          <w:rFonts w:ascii="Times New Roman" w:eastAsia="Times New Roman" w:hAnsi="Times New Roman" w:cs="Times New Roman"/>
          <w:i/>
          <w:sz w:val="24"/>
          <w:szCs w:val="24"/>
          <w:u w:val="single"/>
        </w:rPr>
      </w:pPr>
      <w:r w:rsidRPr="007404FA">
        <w:rPr>
          <w:rFonts w:ascii="Times New Roman" w:eastAsia="Times New Roman" w:hAnsi="Times New Roman" w:cs="Times New Roman"/>
          <w:i/>
          <w:sz w:val="24"/>
          <w:szCs w:val="24"/>
          <w:u w:val="single"/>
        </w:rPr>
        <w:t xml:space="preserve">Допълнителни въпроси по </w:t>
      </w:r>
      <w:r w:rsidR="000827E7">
        <w:rPr>
          <w:rFonts w:ascii="Times New Roman" w:eastAsia="Times New Roman" w:hAnsi="Times New Roman" w:cs="Times New Roman"/>
          <w:i/>
          <w:sz w:val="24"/>
          <w:szCs w:val="24"/>
          <w:u w:val="single"/>
        </w:rPr>
        <w:t>д</w:t>
      </w:r>
      <w:r w:rsidRPr="007404FA">
        <w:rPr>
          <w:rFonts w:ascii="Times New Roman" w:eastAsia="Times New Roman" w:hAnsi="Times New Roman" w:cs="Times New Roman"/>
          <w:i/>
          <w:sz w:val="24"/>
          <w:szCs w:val="24"/>
          <w:u w:val="single"/>
        </w:rPr>
        <w:t>ело С-180/21, „Инспектор в Инспектората към Висшия съдебен съвет пред Съда на Европейския съюз“, образувано по преюдициално запитване на Административен съд</w:t>
      </w:r>
      <w:r w:rsidR="00553661" w:rsidRPr="007404FA">
        <w:rPr>
          <w:rFonts w:ascii="Times New Roman" w:eastAsia="Times New Roman" w:hAnsi="Times New Roman" w:cs="Times New Roman"/>
          <w:i/>
          <w:sz w:val="24"/>
          <w:szCs w:val="24"/>
          <w:u w:val="single"/>
        </w:rPr>
        <w:t xml:space="preserve"> – </w:t>
      </w:r>
      <w:r w:rsidRPr="007404FA">
        <w:rPr>
          <w:rFonts w:ascii="Times New Roman" w:eastAsia="Times New Roman" w:hAnsi="Times New Roman" w:cs="Times New Roman"/>
          <w:i/>
          <w:sz w:val="24"/>
          <w:szCs w:val="24"/>
          <w:u w:val="single"/>
        </w:rPr>
        <w:t>Благоевград, България.</w:t>
      </w:r>
    </w:p>
    <w:p w:rsidR="00E42714" w:rsidRPr="007404FA" w:rsidRDefault="00E42714" w:rsidP="00DB6B05">
      <w:pPr>
        <w:spacing w:line="360" w:lineRule="auto"/>
        <w:ind w:firstLine="709"/>
        <w:jc w:val="both"/>
        <w:rPr>
          <w:rFonts w:ascii="Times New Roman" w:eastAsia="Times New Roman" w:hAnsi="Times New Roman" w:cs="Times New Roman"/>
          <w:bCs/>
          <w:strike/>
          <w:sz w:val="24"/>
          <w:szCs w:val="24"/>
        </w:rPr>
      </w:pPr>
      <w:r w:rsidRPr="007404FA">
        <w:rPr>
          <w:rFonts w:ascii="Times New Roman" w:eastAsia="Times New Roman" w:hAnsi="Times New Roman" w:cs="Times New Roman"/>
          <w:sz w:val="24"/>
          <w:szCs w:val="24"/>
        </w:rPr>
        <w:t>Преюдициалното запитване се отнася до тълкуването на</w:t>
      </w:r>
      <w:r w:rsidR="006E66EA" w:rsidRPr="007404FA">
        <w:rPr>
          <w:rFonts w:ascii="Times New Roman" w:eastAsia="Times New Roman" w:hAnsi="Times New Roman" w:cs="Times New Roman"/>
          <w:sz w:val="24"/>
          <w:szCs w:val="24"/>
        </w:rPr>
        <w:t xml:space="preserve"> Директива (ЕС) 2016/680</w:t>
      </w:r>
      <w:r w:rsidR="00157B49">
        <w:rPr>
          <w:rFonts w:ascii="Times New Roman" w:eastAsia="Times New Roman" w:hAnsi="Times New Roman" w:cs="Times New Roman"/>
          <w:sz w:val="24"/>
          <w:szCs w:val="24"/>
        </w:rPr>
        <w:t xml:space="preserve"> </w:t>
      </w:r>
      <w:r w:rsidR="0069038C" w:rsidRPr="007404FA">
        <w:rPr>
          <w:rFonts w:ascii="Times New Roman" w:eastAsia="Times New Roman" w:hAnsi="Times New Roman" w:cs="Times New Roman"/>
          <w:sz w:val="24"/>
          <w:szCs w:val="24"/>
        </w:rPr>
        <w:t>и на Регламент (ЕС) 2016/679.</w:t>
      </w:r>
    </w:p>
    <w:p w:rsidR="00E42714" w:rsidRPr="007404FA" w:rsidRDefault="00E42714" w:rsidP="00DB6B05">
      <w:pPr>
        <w:spacing w:line="360" w:lineRule="auto"/>
        <w:ind w:firstLine="709"/>
        <w:jc w:val="both"/>
        <w:rPr>
          <w:rFonts w:ascii="Times New Roman" w:eastAsia="Times New Roman" w:hAnsi="Times New Roman" w:cs="Times New Roman"/>
          <w:i/>
          <w:color w:val="000000"/>
          <w:sz w:val="24"/>
          <w:szCs w:val="24"/>
        </w:rPr>
      </w:pPr>
      <w:r w:rsidRPr="007404FA">
        <w:rPr>
          <w:rFonts w:ascii="Times New Roman" w:eastAsia="Times New Roman" w:hAnsi="Times New Roman" w:cs="Times New Roman"/>
          <w:sz w:val="24"/>
          <w:szCs w:val="24"/>
        </w:rPr>
        <w:t>Доколкото от материална</w:t>
      </w:r>
      <w:r w:rsidR="00B02A4B" w:rsidRPr="007404FA">
        <w:rPr>
          <w:rFonts w:ascii="Times New Roman" w:eastAsia="Times New Roman" w:hAnsi="Times New Roman" w:cs="Times New Roman"/>
          <w:sz w:val="24"/>
          <w:szCs w:val="24"/>
        </w:rPr>
        <w:t>та</w:t>
      </w:r>
      <w:r w:rsidRPr="007404FA">
        <w:rPr>
          <w:rFonts w:ascii="Times New Roman" w:eastAsia="Times New Roman" w:hAnsi="Times New Roman" w:cs="Times New Roman"/>
          <w:sz w:val="24"/>
          <w:szCs w:val="24"/>
        </w:rPr>
        <w:t xml:space="preserve"> компетентнос</w:t>
      </w:r>
      <w:r w:rsidR="000827E7">
        <w:rPr>
          <w:rFonts w:ascii="Times New Roman" w:eastAsia="Times New Roman" w:hAnsi="Times New Roman" w:cs="Times New Roman"/>
          <w:sz w:val="24"/>
          <w:szCs w:val="24"/>
        </w:rPr>
        <w:t>т на КЗЛД се явява само отговорът</w:t>
      </w:r>
      <w:r w:rsidRPr="007404FA">
        <w:rPr>
          <w:rFonts w:ascii="Times New Roman" w:eastAsia="Times New Roman" w:hAnsi="Times New Roman" w:cs="Times New Roman"/>
          <w:sz w:val="24"/>
          <w:szCs w:val="24"/>
        </w:rPr>
        <w:t xml:space="preserve"> на втория допълнителен въпрос, то </w:t>
      </w:r>
      <w:r w:rsidR="00744BD5" w:rsidRPr="007404FA">
        <w:rPr>
          <w:rFonts w:ascii="Times New Roman" w:eastAsia="Times New Roman" w:hAnsi="Times New Roman" w:cs="Times New Roman"/>
          <w:sz w:val="24"/>
          <w:szCs w:val="24"/>
        </w:rPr>
        <w:t xml:space="preserve">единствено </w:t>
      </w:r>
      <w:r w:rsidRPr="007404FA">
        <w:rPr>
          <w:rFonts w:ascii="Times New Roman" w:eastAsia="Times New Roman" w:hAnsi="Times New Roman" w:cs="Times New Roman"/>
          <w:sz w:val="24"/>
          <w:szCs w:val="24"/>
        </w:rPr>
        <w:t xml:space="preserve">той </w:t>
      </w:r>
      <w:r w:rsidR="00744BD5" w:rsidRPr="007404FA">
        <w:rPr>
          <w:rFonts w:ascii="Times New Roman" w:eastAsia="Times New Roman" w:hAnsi="Times New Roman" w:cs="Times New Roman"/>
          <w:sz w:val="24"/>
          <w:szCs w:val="24"/>
        </w:rPr>
        <w:t>е</w:t>
      </w:r>
      <w:r w:rsidRPr="007404FA">
        <w:rPr>
          <w:rFonts w:ascii="Times New Roman" w:eastAsia="Times New Roman" w:hAnsi="Times New Roman" w:cs="Times New Roman"/>
          <w:sz w:val="24"/>
          <w:szCs w:val="24"/>
        </w:rPr>
        <w:t xml:space="preserve"> разгледан </w:t>
      </w:r>
      <w:r w:rsidR="000827E7">
        <w:rPr>
          <w:rFonts w:ascii="Times New Roman" w:eastAsia="Times New Roman" w:hAnsi="Times New Roman" w:cs="Times New Roman"/>
          <w:sz w:val="24"/>
          <w:szCs w:val="24"/>
        </w:rPr>
        <w:t>от К</w:t>
      </w:r>
      <w:r w:rsidR="00744BD5" w:rsidRPr="007404FA">
        <w:rPr>
          <w:rFonts w:ascii="Times New Roman" w:eastAsia="Times New Roman" w:hAnsi="Times New Roman" w:cs="Times New Roman"/>
          <w:sz w:val="24"/>
          <w:szCs w:val="24"/>
        </w:rPr>
        <w:t xml:space="preserve">омисията </w:t>
      </w:r>
      <w:r w:rsidRPr="007404FA">
        <w:rPr>
          <w:rFonts w:ascii="Times New Roman" w:eastAsia="Times New Roman" w:hAnsi="Times New Roman" w:cs="Times New Roman"/>
          <w:sz w:val="24"/>
          <w:szCs w:val="24"/>
        </w:rPr>
        <w:t>по същество: „</w:t>
      </w:r>
      <w:r w:rsidRPr="007404FA">
        <w:rPr>
          <w:rFonts w:ascii="Times New Roman" w:eastAsia="Times New Roman" w:hAnsi="Times New Roman" w:cs="Times New Roman"/>
          <w:i/>
          <w:color w:val="000000"/>
          <w:sz w:val="24"/>
          <w:szCs w:val="24"/>
        </w:rPr>
        <w:t xml:space="preserve">В случай че обработването на лични данни от прокуратурата в производство по иск за отговорност на държавата може да се основава единствено на член 6, </w:t>
      </w:r>
      <w:r w:rsidR="000827E7">
        <w:rPr>
          <w:rFonts w:ascii="Times New Roman" w:eastAsia="Times New Roman" w:hAnsi="Times New Roman" w:cs="Times New Roman"/>
          <w:i/>
          <w:color w:val="000000"/>
          <w:sz w:val="24"/>
          <w:szCs w:val="24"/>
        </w:rPr>
        <w:t>§</w:t>
      </w:r>
      <w:r w:rsidRPr="007404FA">
        <w:rPr>
          <w:rFonts w:ascii="Times New Roman" w:eastAsia="Times New Roman" w:hAnsi="Times New Roman" w:cs="Times New Roman"/>
          <w:i/>
          <w:color w:val="000000"/>
          <w:sz w:val="24"/>
          <w:szCs w:val="24"/>
        </w:rPr>
        <w:t>1, първа алинея, буква д) от ОРЗД, има ли разпоредба в българското право, която би могла да представлява правно основание за такова обработване?“</w:t>
      </w:r>
      <w:r w:rsidR="000827E7">
        <w:rPr>
          <w:rFonts w:ascii="Times New Roman" w:eastAsia="Times New Roman" w:hAnsi="Times New Roman" w:cs="Times New Roman"/>
          <w:i/>
          <w:color w:val="000000"/>
          <w:sz w:val="24"/>
          <w:szCs w:val="24"/>
        </w:rPr>
        <w:t>.</w:t>
      </w:r>
    </w:p>
    <w:p w:rsidR="00E42714" w:rsidRPr="007404FA" w:rsidRDefault="00E42714"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Становището на КЗЛД е, че правното основание за обработването на лични данни по реда на</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 xml:space="preserve">6, </w:t>
      </w:r>
      <w:r w:rsidR="00E06D6E">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1, б. „д“ от Регламент (ЕС) 2016/679 следва да се тълкува в контекста на двойствената роля, която прокуратурата играе в главното производство</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същевременно на ответник и на издател на официални документи с правно значение за случая, което обуславя и двойственост на дейностите по обработване на лични данни. В този смисъл и правното основание за обработване на лични данни има двойствен характер, а именно по</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 xml:space="preserve">6, </w:t>
      </w:r>
      <w:r w:rsidR="00E06D6E">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1, букви „в“ и „д“ от Регламент (ЕС) 2016/679, доколкото за прокуратурата в качеството ѝ на „издател на документ“ по смисъла на</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179 от ГПК е налице законово задължение за представяне на официалните документи, относими към даден случай (основание по б. „в“</w:t>
      </w:r>
      <w:r w:rsidR="000827E7">
        <w:rPr>
          <w:rFonts w:ascii="Times New Roman" w:eastAsia="Times New Roman" w:hAnsi="Times New Roman" w:cs="Times New Roman"/>
          <w:sz w:val="24"/>
          <w:szCs w:val="24"/>
        </w:rPr>
        <w:t>), а в качеството ѝ на ответник</w:t>
      </w:r>
      <w:r w:rsidRPr="007404FA">
        <w:rPr>
          <w:rFonts w:ascii="Times New Roman" w:eastAsia="Times New Roman" w:hAnsi="Times New Roman" w:cs="Times New Roman"/>
          <w:sz w:val="24"/>
          <w:szCs w:val="24"/>
        </w:rPr>
        <w:t xml:space="preserve"> по смисъла на</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10 и</w:t>
      </w:r>
      <w:r w:rsidR="00F06583" w:rsidRPr="007404FA">
        <w:rPr>
          <w:rFonts w:ascii="Times New Roman" w:eastAsia="Times New Roman" w:hAnsi="Times New Roman" w:cs="Times New Roman"/>
          <w:sz w:val="24"/>
          <w:szCs w:val="24"/>
        </w:rPr>
        <w:t xml:space="preserve"> чл. </w:t>
      </w:r>
      <w:r w:rsidR="000827E7">
        <w:rPr>
          <w:rFonts w:ascii="Times New Roman" w:eastAsia="Times New Roman" w:hAnsi="Times New Roman" w:cs="Times New Roman"/>
          <w:sz w:val="24"/>
          <w:szCs w:val="24"/>
        </w:rPr>
        <w:t>186 от ГПК</w:t>
      </w:r>
      <w:r w:rsidRPr="007404FA">
        <w:rPr>
          <w:rFonts w:ascii="Times New Roman" w:eastAsia="Times New Roman" w:hAnsi="Times New Roman" w:cs="Times New Roman"/>
          <w:sz w:val="24"/>
          <w:szCs w:val="24"/>
        </w:rPr>
        <w:t xml:space="preserve"> следва да представи с </w:t>
      </w:r>
      <w:r w:rsidR="000827E7">
        <w:rPr>
          <w:rFonts w:ascii="Times New Roman" w:eastAsia="Times New Roman" w:hAnsi="Times New Roman" w:cs="Times New Roman"/>
          <w:sz w:val="24"/>
          <w:szCs w:val="24"/>
        </w:rPr>
        <w:lastRenderedPageBreak/>
        <w:t>цел установяване на истината</w:t>
      </w:r>
      <w:r w:rsidRPr="007404FA">
        <w:rPr>
          <w:rFonts w:ascii="Times New Roman" w:eastAsia="Times New Roman" w:hAnsi="Times New Roman" w:cs="Times New Roman"/>
          <w:sz w:val="24"/>
          <w:szCs w:val="24"/>
        </w:rPr>
        <w:t xml:space="preserve"> всички известни ѝ релевантни официални документи (основание по б. „д“).</w:t>
      </w:r>
    </w:p>
    <w:p w:rsidR="00E42714" w:rsidRPr="007404FA" w:rsidRDefault="00E42714"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На 08.12.2022</w:t>
      </w:r>
      <w:r w:rsidR="00F06583" w:rsidRPr="007404FA">
        <w:rPr>
          <w:rFonts w:ascii="Times New Roman" w:eastAsia="Times New Roman" w:hAnsi="Times New Roman" w:cs="Times New Roman"/>
          <w:sz w:val="24"/>
          <w:szCs w:val="24"/>
        </w:rPr>
        <w:t> г.</w:t>
      </w:r>
      <w:r w:rsidR="00B127DA" w:rsidRPr="007404FA">
        <w:rPr>
          <w:rFonts w:ascii="Times New Roman" w:eastAsia="Times New Roman" w:hAnsi="Times New Roman" w:cs="Times New Roman"/>
          <w:sz w:val="24"/>
          <w:szCs w:val="24"/>
        </w:rPr>
        <w:t xml:space="preserve"> СЕС</w:t>
      </w:r>
      <w:r w:rsidRPr="007404FA">
        <w:rPr>
          <w:rFonts w:ascii="Times New Roman" w:eastAsia="Times New Roman" w:hAnsi="Times New Roman" w:cs="Times New Roman"/>
          <w:sz w:val="24"/>
          <w:szCs w:val="24"/>
        </w:rPr>
        <w:t xml:space="preserve"> постанов</w:t>
      </w:r>
      <w:r w:rsidR="006F6A21" w:rsidRPr="007404FA">
        <w:rPr>
          <w:rFonts w:ascii="Times New Roman" w:eastAsia="Times New Roman" w:hAnsi="Times New Roman" w:cs="Times New Roman"/>
          <w:sz w:val="24"/>
          <w:szCs w:val="24"/>
        </w:rPr>
        <w:t>ява</w:t>
      </w:r>
      <w:r w:rsidRPr="007404FA">
        <w:rPr>
          <w:rFonts w:ascii="Times New Roman" w:eastAsia="Times New Roman" w:hAnsi="Times New Roman" w:cs="Times New Roman"/>
          <w:sz w:val="24"/>
          <w:szCs w:val="24"/>
        </w:rPr>
        <w:t xml:space="preserve"> решение по делото, като по относимия към позицията на КЗЛД въпрос счита, че к</w:t>
      </w:r>
      <w:r w:rsidRPr="007404FA">
        <w:rPr>
          <w:rFonts w:ascii="Times New Roman" w:eastAsia="Times New Roman" w:hAnsi="Times New Roman" w:cs="Times New Roman"/>
          <w:bCs/>
          <w:sz w:val="24"/>
          <w:szCs w:val="24"/>
        </w:rPr>
        <w:t>огато иск за отговорност на държавата за вреди се основава на твърдени нарушения на прокуратурата при изпълнението на нейните задачи в областта на наказателното право, такова обработване на лични данни може да се счита за законосъобразно, ако е необходимо за изпълнението на задача от обществен интерес (по смисъла на член</w:t>
      </w:r>
      <w:r w:rsidR="002B2E4F" w:rsidRPr="007404FA">
        <w:rPr>
          <w:rFonts w:ascii="Times New Roman" w:eastAsia="Times New Roman" w:hAnsi="Times New Roman" w:cs="Times New Roman"/>
          <w:bCs/>
          <w:sz w:val="24"/>
          <w:szCs w:val="24"/>
        </w:rPr>
        <w:t xml:space="preserve"> </w:t>
      </w:r>
      <w:r w:rsidRPr="007404FA">
        <w:rPr>
          <w:rFonts w:ascii="Times New Roman" w:eastAsia="Times New Roman" w:hAnsi="Times New Roman" w:cs="Times New Roman"/>
          <w:bCs/>
          <w:sz w:val="24"/>
          <w:szCs w:val="24"/>
        </w:rPr>
        <w:t xml:space="preserve">6, </w:t>
      </w:r>
      <w:r w:rsidR="000827E7">
        <w:rPr>
          <w:rFonts w:ascii="Times New Roman" w:eastAsia="Times New Roman" w:hAnsi="Times New Roman" w:cs="Times New Roman"/>
          <w:bCs/>
          <w:sz w:val="24"/>
          <w:szCs w:val="24"/>
        </w:rPr>
        <w:t>§</w:t>
      </w:r>
      <w:r w:rsidRPr="007404FA">
        <w:rPr>
          <w:rFonts w:ascii="Times New Roman" w:eastAsia="Times New Roman" w:hAnsi="Times New Roman" w:cs="Times New Roman"/>
          <w:bCs/>
          <w:sz w:val="24"/>
          <w:szCs w:val="24"/>
        </w:rPr>
        <w:t>1, първа алинея, буква</w:t>
      </w:r>
      <w:r w:rsidR="002B2E4F" w:rsidRPr="007404FA">
        <w:rPr>
          <w:rFonts w:ascii="Times New Roman" w:eastAsia="Times New Roman" w:hAnsi="Times New Roman" w:cs="Times New Roman"/>
          <w:bCs/>
          <w:sz w:val="24"/>
          <w:szCs w:val="24"/>
        </w:rPr>
        <w:t xml:space="preserve"> </w:t>
      </w:r>
      <w:r w:rsidRPr="007404FA">
        <w:rPr>
          <w:rFonts w:ascii="Times New Roman" w:eastAsia="Times New Roman" w:hAnsi="Times New Roman" w:cs="Times New Roman"/>
          <w:bCs/>
          <w:sz w:val="24"/>
          <w:szCs w:val="24"/>
        </w:rPr>
        <w:t>д) от този регламент), свързана със защита на правните и имуществените интереси на държавата и поверена на прокуратурата в рамките на това производство въз основа на националното право, стига посоченото обработване на лични данни да отговаря на всички приложими изисквания съгласно ОРЗД.</w:t>
      </w:r>
    </w:p>
    <w:p w:rsidR="00E42714" w:rsidRPr="007404FA" w:rsidRDefault="00E42714" w:rsidP="00DB6B05">
      <w:pPr>
        <w:spacing w:line="360" w:lineRule="auto"/>
        <w:ind w:firstLine="709"/>
        <w:jc w:val="both"/>
        <w:rPr>
          <w:rFonts w:ascii="Times New Roman" w:eastAsia="Times New Roman" w:hAnsi="Times New Roman" w:cs="Times New Roman"/>
          <w:sz w:val="24"/>
          <w:szCs w:val="24"/>
        </w:rPr>
      </w:pPr>
    </w:p>
    <w:p w:rsidR="00E42714" w:rsidRPr="007404FA" w:rsidRDefault="00E42714" w:rsidP="00DB6B05">
      <w:pPr>
        <w:spacing w:line="360" w:lineRule="auto"/>
        <w:ind w:firstLine="709"/>
        <w:jc w:val="both"/>
        <w:rPr>
          <w:rFonts w:ascii="Times New Roman" w:eastAsia="Batang" w:hAnsi="Times New Roman" w:cs="Times New Roman"/>
          <w:i/>
          <w:sz w:val="24"/>
          <w:szCs w:val="24"/>
          <w:u w:val="single"/>
          <w:lang w:bidi="bg-BG"/>
        </w:rPr>
      </w:pPr>
      <w:r w:rsidRPr="007404FA">
        <w:rPr>
          <w:rFonts w:ascii="Times New Roman" w:eastAsia="Batang" w:hAnsi="Times New Roman" w:cs="Times New Roman"/>
          <w:i/>
          <w:sz w:val="24"/>
          <w:szCs w:val="24"/>
          <w:u w:val="single"/>
          <w:lang w:bidi="bg-BG"/>
        </w:rPr>
        <w:t>Преюдициално дело С-118/22</w:t>
      </w:r>
      <w:r w:rsidR="00553661" w:rsidRPr="007404FA">
        <w:rPr>
          <w:rFonts w:ascii="Times New Roman" w:eastAsia="Batang" w:hAnsi="Times New Roman" w:cs="Times New Roman"/>
          <w:i/>
          <w:sz w:val="24"/>
          <w:szCs w:val="24"/>
          <w:u w:val="single"/>
          <w:lang w:bidi="bg-BG"/>
        </w:rPr>
        <w:t xml:space="preserve"> – </w:t>
      </w:r>
      <w:r w:rsidR="000827E7">
        <w:rPr>
          <w:rFonts w:ascii="Times New Roman" w:eastAsia="Batang" w:hAnsi="Times New Roman" w:cs="Times New Roman"/>
          <w:i/>
          <w:sz w:val="24"/>
          <w:szCs w:val="24"/>
          <w:u w:val="single"/>
          <w:lang w:bidi="bg-BG"/>
        </w:rPr>
        <w:t>„</w:t>
      </w:r>
      <w:r w:rsidRPr="007404FA">
        <w:rPr>
          <w:rFonts w:ascii="Times New Roman" w:eastAsia="Batang" w:hAnsi="Times New Roman" w:cs="Times New Roman"/>
          <w:i/>
          <w:sz w:val="24"/>
          <w:szCs w:val="24"/>
          <w:u w:val="single"/>
          <w:lang w:bidi="bg-BG"/>
        </w:rPr>
        <w:t>Директор на Главна дирекция „Национална полиция“ при МВР</w:t>
      </w:r>
      <w:r w:rsidR="00553661" w:rsidRPr="007404FA">
        <w:rPr>
          <w:rFonts w:ascii="Times New Roman" w:eastAsia="Batang" w:hAnsi="Times New Roman" w:cs="Times New Roman"/>
          <w:i/>
          <w:sz w:val="24"/>
          <w:szCs w:val="24"/>
          <w:u w:val="single"/>
          <w:lang w:bidi="bg-BG"/>
        </w:rPr>
        <w:t xml:space="preserve"> – </w:t>
      </w:r>
      <w:r w:rsidRPr="007404FA">
        <w:rPr>
          <w:rFonts w:ascii="Times New Roman" w:eastAsia="Batang" w:hAnsi="Times New Roman" w:cs="Times New Roman"/>
          <w:i/>
          <w:sz w:val="24"/>
          <w:szCs w:val="24"/>
          <w:u w:val="single"/>
          <w:lang w:bidi="bg-BG"/>
        </w:rPr>
        <w:t>гр. София</w:t>
      </w:r>
      <w:r w:rsidR="000827E7">
        <w:rPr>
          <w:rFonts w:ascii="Times New Roman" w:eastAsia="Batang" w:hAnsi="Times New Roman" w:cs="Times New Roman"/>
          <w:i/>
          <w:sz w:val="24"/>
          <w:szCs w:val="24"/>
          <w:u w:val="single"/>
          <w:lang w:bidi="bg-BG"/>
        </w:rPr>
        <w:t>,</w:t>
      </w:r>
      <w:r w:rsidRPr="007404FA">
        <w:rPr>
          <w:rFonts w:ascii="Times New Roman" w:eastAsia="Batang" w:hAnsi="Times New Roman" w:cs="Times New Roman"/>
          <w:i/>
          <w:sz w:val="24"/>
          <w:szCs w:val="24"/>
          <w:u w:val="single"/>
          <w:lang w:bidi="bg-BG"/>
        </w:rPr>
        <w:t xml:space="preserve"> пред Съда на Европейския съюз</w:t>
      </w:r>
      <w:r w:rsidR="000827E7">
        <w:rPr>
          <w:rFonts w:ascii="Times New Roman" w:eastAsia="Batang" w:hAnsi="Times New Roman" w:cs="Times New Roman"/>
          <w:i/>
          <w:sz w:val="24"/>
          <w:szCs w:val="24"/>
          <w:u w:val="single"/>
          <w:lang w:bidi="bg-BG"/>
        </w:rPr>
        <w:t>“</w:t>
      </w:r>
      <w:r w:rsidRPr="007404FA">
        <w:rPr>
          <w:rFonts w:ascii="Times New Roman" w:eastAsia="Batang" w:hAnsi="Times New Roman" w:cs="Times New Roman"/>
          <w:i/>
          <w:sz w:val="24"/>
          <w:szCs w:val="24"/>
          <w:u w:val="single"/>
          <w:lang w:bidi="bg-BG"/>
        </w:rPr>
        <w:t>, образувано по преюдициално запитване на Върховния административен съд</w:t>
      </w:r>
    </w:p>
    <w:p w:rsidR="0069038C" w:rsidRPr="007404FA" w:rsidRDefault="00E42714" w:rsidP="00DB6B05">
      <w:pPr>
        <w:spacing w:line="360" w:lineRule="auto"/>
        <w:ind w:firstLine="709"/>
        <w:contextualSpacing/>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 xml:space="preserve">Преюдициалното запитване се отнася до тълкуването на разпоредби от </w:t>
      </w:r>
      <w:r w:rsidR="00EE6CF5" w:rsidRPr="007404FA">
        <w:rPr>
          <w:rFonts w:ascii="Times New Roman" w:eastAsia="Times New Roman" w:hAnsi="Times New Roman" w:cs="Times New Roman"/>
          <w:sz w:val="24"/>
          <w:szCs w:val="24"/>
        </w:rPr>
        <w:t>Директива (ЕС) 20</w:t>
      </w:r>
      <w:r w:rsidR="0069038C" w:rsidRPr="007404FA">
        <w:rPr>
          <w:rFonts w:ascii="Times New Roman" w:eastAsia="Times New Roman" w:hAnsi="Times New Roman" w:cs="Times New Roman"/>
          <w:sz w:val="24"/>
          <w:szCs w:val="24"/>
        </w:rPr>
        <w:t>16/680.</w:t>
      </w:r>
    </w:p>
    <w:p w:rsidR="00E42714" w:rsidRPr="007404FA" w:rsidRDefault="00E42714" w:rsidP="00DB6B05">
      <w:pPr>
        <w:spacing w:line="360" w:lineRule="auto"/>
        <w:ind w:firstLine="709"/>
        <w:contextualSpacing/>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Запитващата юрисдикция е отправила следния преюдициален въпрос:</w:t>
      </w:r>
    </w:p>
    <w:p w:rsidR="00E42714" w:rsidRPr="007404FA" w:rsidRDefault="00E42714" w:rsidP="00DB6B05">
      <w:pPr>
        <w:spacing w:line="360" w:lineRule="auto"/>
        <w:ind w:firstLine="709"/>
        <w:contextualSpacing/>
        <w:jc w:val="both"/>
        <w:rPr>
          <w:rFonts w:ascii="Times New Roman" w:eastAsia="Times New Roman" w:hAnsi="Times New Roman" w:cs="Times New Roman"/>
          <w:i/>
          <w:sz w:val="24"/>
          <w:szCs w:val="24"/>
        </w:rPr>
      </w:pPr>
      <w:r w:rsidRPr="007404FA">
        <w:rPr>
          <w:rFonts w:ascii="Times New Roman" w:eastAsia="Times New Roman" w:hAnsi="Times New Roman" w:cs="Times New Roman"/>
          <w:i/>
          <w:sz w:val="24"/>
          <w:szCs w:val="24"/>
        </w:rPr>
        <w:t xml:space="preserve"> „1. Тълкуването на</w:t>
      </w:r>
      <w:r w:rsidR="00F06583" w:rsidRPr="007404FA">
        <w:rPr>
          <w:rFonts w:ascii="Times New Roman" w:eastAsia="Times New Roman" w:hAnsi="Times New Roman" w:cs="Times New Roman"/>
          <w:i/>
          <w:sz w:val="24"/>
          <w:szCs w:val="24"/>
        </w:rPr>
        <w:t xml:space="preserve"> чл. </w:t>
      </w:r>
      <w:r w:rsidRPr="007404FA">
        <w:rPr>
          <w:rFonts w:ascii="Times New Roman" w:eastAsia="Times New Roman" w:hAnsi="Times New Roman" w:cs="Times New Roman"/>
          <w:i/>
          <w:sz w:val="24"/>
          <w:szCs w:val="24"/>
        </w:rPr>
        <w:t>5 от Директива (ЕС) 2016/680 на Европейския парламент и на Съвета от 27 април 2016 година относно защитата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и относно своб</w:t>
      </w:r>
      <w:r w:rsidR="000827E7">
        <w:rPr>
          <w:rFonts w:ascii="Times New Roman" w:eastAsia="Times New Roman" w:hAnsi="Times New Roman" w:cs="Times New Roman"/>
          <w:i/>
          <w:sz w:val="24"/>
          <w:szCs w:val="24"/>
        </w:rPr>
        <w:t>одното движение на такива данни</w:t>
      </w:r>
      <w:r w:rsidRPr="007404FA">
        <w:rPr>
          <w:rFonts w:ascii="Times New Roman" w:eastAsia="Times New Roman" w:hAnsi="Times New Roman" w:cs="Times New Roman"/>
          <w:i/>
          <w:sz w:val="24"/>
          <w:szCs w:val="24"/>
        </w:rPr>
        <w:t xml:space="preserve"> и за отмяна на Рамково решение 2008/977/ПВР на Съвета във вр. с</w:t>
      </w:r>
      <w:r w:rsidR="00F06583" w:rsidRPr="007404FA">
        <w:rPr>
          <w:rFonts w:ascii="Times New Roman" w:eastAsia="Times New Roman" w:hAnsi="Times New Roman" w:cs="Times New Roman"/>
          <w:i/>
          <w:sz w:val="24"/>
          <w:szCs w:val="24"/>
        </w:rPr>
        <w:t xml:space="preserve"> чл. </w:t>
      </w:r>
      <w:r w:rsidRPr="007404FA">
        <w:rPr>
          <w:rFonts w:ascii="Times New Roman" w:eastAsia="Times New Roman" w:hAnsi="Times New Roman" w:cs="Times New Roman"/>
          <w:i/>
          <w:sz w:val="24"/>
          <w:szCs w:val="24"/>
        </w:rPr>
        <w:t xml:space="preserve">13, </w:t>
      </w:r>
      <w:r w:rsidR="00E06D6E">
        <w:rPr>
          <w:rFonts w:ascii="Times New Roman" w:eastAsia="Times New Roman" w:hAnsi="Times New Roman" w:cs="Times New Roman"/>
          <w:i/>
          <w:sz w:val="24"/>
          <w:szCs w:val="24"/>
        </w:rPr>
        <w:t>§</w:t>
      </w:r>
      <w:r w:rsidRPr="007404FA">
        <w:rPr>
          <w:rFonts w:ascii="Times New Roman" w:eastAsia="Times New Roman" w:hAnsi="Times New Roman" w:cs="Times New Roman"/>
          <w:i/>
          <w:sz w:val="24"/>
          <w:szCs w:val="24"/>
        </w:rPr>
        <w:t xml:space="preserve">2, б. „б“ и </w:t>
      </w:r>
      <w:r w:rsidR="00E06D6E">
        <w:rPr>
          <w:rFonts w:ascii="Times New Roman" w:eastAsia="Times New Roman" w:hAnsi="Times New Roman" w:cs="Times New Roman"/>
          <w:i/>
          <w:sz w:val="24"/>
          <w:szCs w:val="24"/>
        </w:rPr>
        <w:t>§</w:t>
      </w:r>
      <w:r w:rsidRPr="007404FA">
        <w:rPr>
          <w:rFonts w:ascii="Times New Roman" w:eastAsia="Times New Roman" w:hAnsi="Times New Roman" w:cs="Times New Roman"/>
          <w:i/>
          <w:sz w:val="24"/>
          <w:szCs w:val="24"/>
        </w:rPr>
        <w:t>3 от същата допуска ли национални законодателни мерки, които да водят до практически неограничено право за обработване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и/или отпадане на правото на субекта на данните за ограничаване на обработването, заличаване или унищожаване на данните му?“</w:t>
      </w:r>
      <w:r w:rsidR="000827E7">
        <w:rPr>
          <w:rFonts w:ascii="Times New Roman" w:eastAsia="Times New Roman" w:hAnsi="Times New Roman" w:cs="Times New Roman"/>
          <w:i/>
          <w:sz w:val="24"/>
          <w:szCs w:val="24"/>
        </w:rPr>
        <w:t>.</w:t>
      </w:r>
    </w:p>
    <w:p w:rsidR="00E42714" w:rsidRPr="007404FA" w:rsidRDefault="0066131A" w:rsidP="00DB6B05">
      <w:pPr>
        <w:spacing w:line="360" w:lineRule="auto"/>
        <w:ind w:firstLine="709"/>
        <w:contextualSpacing/>
        <w:jc w:val="both"/>
        <w:rPr>
          <w:rFonts w:ascii="Times New Roman" w:eastAsia="Times New Roman" w:hAnsi="Times New Roman" w:cs="Times New Roman"/>
          <w:sz w:val="24"/>
          <w:szCs w:val="24"/>
          <w:lang w:bidi="bg-BG"/>
        </w:rPr>
      </w:pPr>
      <w:r w:rsidRPr="007404FA">
        <w:rPr>
          <w:rFonts w:ascii="Times New Roman" w:eastAsia="Times New Roman" w:hAnsi="Times New Roman" w:cs="Times New Roman"/>
          <w:sz w:val="24"/>
          <w:szCs w:val="24"/>
          <w:lang w:bidi="bg-BG"/>
        </w:rPr>
        <w:t>Комисията</w:t>
      </w:r>
      <w:r w:rsidR="00E42714" w:rsidRPr="007404FA">
        <w:rPr>
          <w:rFonts w:ascii="Times New Roman" w:eastAsia="Times New Roman" w:hAnsi="Times New Roman" w:cs="Times New Roman"/>
          <w:sz w:val="24"/>
          <w:szCs w:val="24"/>
          <w:lang w:bidi="bg-BG"/>
        </w:rPr>
        <w:t xml:space="preserve"> </w:t>
      </w:r>
      <w:r w:rsidRPr="007404FA">
        <w:rPr>
          <w:rFonts w:ascii="Times New Roman" w:eastAsia="Times New Roman" w:hAnsi="Times New Roman" w:cs="Times New Roman"/>
          <w:sz w:val="24"/>
          <w:szCs w:val="24"/>
          <w:lang w:bidi="bg-BG"/>
        </w:rPr>
        <w:t xml:space="preserve">е </w:t>
      </w:r>
      <w:r w:rsidR="00E42714" w:rsidRPr="007404FA">
        <w:rPr>
          <w:rFonts w:ascii="Times New Roman" w:eastAsia="Times New Roman" w:hAnsi="Times New Roman" w:cs="Times New Roman"/>
          <w:sz w:val="24"/>
          <w:szCs w:val="24"/>
          <w:lang w:bidi="bg-BG"/>
        </w:rPr>
        <w:t>представи</w:t>
      </w:r>
      <w:r w:rsidRPr="007404FA">
        <w:rPr>
          <w:rFonts w:ascii="Times New Roman" w:eastAsia="Times New Roman" w:hAnsi="Times New Roman" w:cs="Times New Roman"/>
          <w:sz w:val="24"/>
          <w:szCs w:val="24"/>
          <w:lang w:bidi="bg-BG"/>
        </w:rPr>
        <w:t>ла</w:t>
      </w:r>
      <w:r w:rsidR="00E42714" w:rsidRPr="007404FA">
        <w:rPr>
          <w:rFonts w:ascii="Times New Roman" w:eastAsia="Times New Roman" w:hAnsi="Times New Roman" w:cs="Times New Roman"/>
          <w:sz w:val="24"/>
          <w:szCs w:val="24"/>
          <w:lang w:bidi="bg-BG"/>
        </w:rPr>
        <w:t xml:space="preserve"> на МВнР принципна готовност за изразяване на становище под формата на писмени бележки по преюдициалното дело под условие водещо ведомство в хода на производството пред СЕС да бъде Министерство</w:t>
      </w:r>
      <w:r w:rsidR="000827E7">
        <w:rPr>
          <w:rFonts w:ascii="Times New Roman" w:eastAsia="Times New Roman" w:hAnsi="Times New Roman" w:cs="Times New Roman"/>
          <w:sz w:val="24"/>
          <w:szCs w:val="24"/>
          <w:lang w:bidi="bg-BG"/>
        </w:rPr>
        <w:t>то</w:t>
      </w:r>
      <w:r w:rsidR="00E42714" w:rsidRPr="007404FA">
        <w:rPr>
          <w:rFonts w:ascii="Times New Roman" w:eastAsia="Times New Roman" w:hAnsi="Times New Roman" w:cs="Times New Roman"/>
          <w:sz w:val="24"/>
          <w:szCs w:val="24"/>
          <w:lang w:bidi="bg-BG"/>
        </w:rPr>
        <w:t xml:space="preserve"> на вътрешните работи, тъй като се явява компетентен орган съгласно</w:t>
      </w:r>
      <w:r w:rsidR="00F06583" w:rsidRPr="007404FA">
        <w:rPr>
          <w:rFonts w:ascii="Times New Roman" w:eastAsia="Times New Roman" w:hAnsi="Times New Roman" w:cs="Times New Roman"/>
          <w:sz w:val="24"/>
          <w:szCs w:val="24"/>
          <w:lang w:bidi="bg-BG"/>
        </w:rPr>
        <w:t xml:space="preserve"> чл. </w:t>
      </w:r>
      <w:r w:rsidR="00E42714" w:rsidRPr="007404FA">
        <w:rPr>
          <w:rFonts w:ascii="Times New Roman" w:eastAsia="Times New Roman" w:hAnsi="Times New Roman" w:cs="Times New Roman"/>
          <w:sz w:val="24"/>
          <w:szCs w:val="24"/>
          <w:lang w:bidi="bg-BG"/>
        </w:rPr>
        <w:t xml:space="preserve">42 и сл. от ЗЗЛД. По делото </w:t>
      </w:r>
      <w:r w:rsidR="00E42714" w:rsidRPr="006C1E28">
        <w:rPr>
          <w:rFonts w:ascii="Times New Roman" w:eastAsia="Times New Roman" w:hAnsi="Times New Roman" w:cs="Times New Roman"/>
          <w:sz w:val="24"/>
          <w:szCs w:val="24"/>
          <w:lang w:bidi="bg-BG"/>
        </w:rPr>
        <w:t>са насрочени уст</w:t>
      </w:r>
      <w:r w:rsidR="006C1E28" w:rsidRPr="006C1E28">
        <w:rPr>
          <w:rFonts w:ascii="Times New Roman" w:eastAsia="Times New Roman" w:hAnsi="Times New Roman" w:cs="Times New Roman"/>
          <w:sz w:val="24"/>
          <w:szCs w:val="24"/>
          <w:lang w:bidi="bg-BG"/>
        </w:rPr>
        <w:t>н</w:t>
      </w:r>
      <w:r w:rsidR="00E42714" w:rsidRPr="006C1E28">
        <w:rPr>
          <w:rFonts w:ascii="Times New Roman" w:eastAsia="Times New Roman" w:hAnsi="Times New Roman" w:cs="Times New Roman"/>
          <w:sz w:val="24"/>
          <w:szCs w:val="24"/>
          <w:lang w:bidi="bg-BG"/>
        </w:rPr>
        <w:t>и състезания за началото на февруари 2023</w:t>
      </w:r>
      <w:r w:rsidR="00F06583" w:rsidRPr="006C1E28">
        <w:rPr>
          <w:rFonts w:ascii="Times New Roman" w:eastAsia="Times New Roman" w:hAnsi="Times New Roman" w:cs="Times New Roman"/>
          <w:sz w:val="24"/>
          <w:szCs w:val="24"/>
          <w:lang w:bidi="bg-BG"/>
        </w:rPr>
        <w:t> г.</w:t>
      </w:r>
    </w:p>
    <w:p w:rsidR="00E42714" w:rsidRPr="007404FA" w:rsidRDefault="00E42714" w:rsidP="00DB6B05">
      <w:pPr>
        <w:spacing w:line="360" w:lineRule="auto"/>
        <w:ind w:firstLine="709"/>
        <w:jc w:val="both"/>
        <w:rPr>
          <w:rFonts w:ascii="Times New Roman" w:eastAsia="Batang" w:hAnsi="Times New Roman" w:cs="Times New Roman"/>
          <w:i/>
          <w:sz w:val="24"/>
          <w:szCs w:val="24"/>
          <w:u w:val="single"/>
        </w:rPr>
      </w:pPr>
      <w:r w:rsidRPr="007404FA">
        <w:rPr>
          <w:rFonts w:ascii="Times New Roman" w:eastAsia="Batang" w:hAnsi="Times New Roman" w:cs="Times New Roman"/>
          <w:i/>
          <w:sz w:val="24"/>
          <w:szCs w:val="24"/>
          <w:u w:val="single"/>
        </w:rPr>
        <w:lastRenderedPageBreak/>
        <w:t>Преюдициално дело С-306/21</w:t>
      </w:r>
      <w:r w:rsidR="00553661" w:rsidRPr="007404FA">
        <w:rPr>
          <w:rFonts w:ascii="Times New Roman" w:eastAsia="Batang" w:hAnsi="Times New Roman" w:cs="Times New Roman"/>
          <w:i/>
          <w:sz w:val="24"/>
          <w:szCs w:val="24"/>
          <w:u w:val="single"/>
        </w:rPr>
        <w:t xml:space="preserve"> – </w:t>
      </w:r>
      <w:r w:rsidR="00D705A6">
        <w:rPr>
          <w:rFonts w:ascii="Times New Roman" w:eastAsia="Batang" w:hAnsi="Times New Roman" w:cs="Times New Roman"/>
          <w:i/>
          <w:sz w:val="24"/>
          <w:szCs w:val="24"/>
          <w:u w:val="single"/>
        </w:rPr>
        <w:t>„</w:t>
      </w:r>
      <w:r w:rsidRPr="007404FA">
        <w:rPr>
          <w:rFonts w:ascii="Times New Roman" w:eastAsia="Batang" w:hAnsi="Times New Roman" w:cs="Times New Roman"/>
          <w:i/>
          <w:sz w:val="24"/>
          <w:szCs w:val="24"/>
          <w:u w:val="single"/>
        </w:rPr>
        <w:t>Коалиция „Демократична България</w:t>
      </w:r>
      <w:r w:rsidR="00553661" w:rsidRPr="007404FA">
        <w:rPr>
          <w:rFonts w:ascii="Times New Roman" w:eastAsia="Batang" w:hAnsi="Times New Roman" w:cs="Times New Roman"/>
          <w:i/>
          <w:sz w:val="24"/>
          <w:szCs w:val="24"/>
          <w:u w:val="single"/>
        </w:rPr>
        <w:t xml:space="preserve"> – </w:t>
      </w:r>
      <w:r w:rsidRPr="007404FA">
        <w:rPr>
          <w:rFonts w:ascii="Times New Roman" w:eastAsia="Batang" w:hAnsi="Times New Roman" w:cs="Times New Roman"/>
          <w:i/>
          <w:sz w:val="24"/>
          <w:szCs w:val="24"/>
          <w:u w:val="single"/>
        </w:rPr>
        <w:t>Обединение“ пред Съда на Европейския съюз</w:t>
      </w:r>
      <w:r w:rsidR="00D705A6">
        <w:rPr>
          <w:rFonts w:ascii="Times New Roman" w:eastAsia="Batang" w:hAnsi="Times New Roman" w:cs="Times New Roman"/>
          <w:i/>
          <w:sz w:val="24"/>
          <w:szCs w:val="24"/>
          <w:u w:val="single"/>
        </w:rPr>
        <w:t>“</w:t>
      </w:r>
      <w:r w:rsidRPr="007404FA">
        <w:rPr>
          <w:rFonts w:ascii="Times New Roman" w:eastAsia="Batang" w:hAnsi="Times New Roman" w:cs="Times New Roman"/>
          <w:i/>
          <w:sz w:val="24"/>
          <w:szCs w:val="24"/>
          <w:u w:val="single"/>
        </w:rPr>
        <w:t xml:space="preserve">. </w:t>
      </w:r>
    </w:p>
    <w:p w:rsidR="0069038C" w:rsidRPr="007404FA" w:rsidRDefault="00E42714"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 xml:space="preserve">Преюдициалното запитване се отнася до тълкуването на член 2, </w:t>
      </w:r>
      <w:r w:rsidR="00D705A6">
        <w:rPr>
          <w:rFonts w:ascii="Times New Roman" w:eastAsia="Batang" w:hAnsi="Times New Roman" w:cs="Times New Roman"/>
          <w:sz w:val="24"/>
          <w:szCs w:val="24"/>
        </w:rPr>
        <w:t>§</w:t>
      </w:r>
      <w:r w:rsidRPr="007404FA">
        <w:rPr>
          <w:rFonts w:ascii="Times New Roman" w:eastAsia="Batang" w:hAnsi="Times New Roman" w:cs="Times New Roman"/>
          <w:sz w:val="24"/>
          <w:szCs w:val="24"/>
        </w:rPr>
        <w:t xml:space="preserve">2, буква а) и член 6, </w:t>
      </w:r>
      <w:r w:rsidR="00D705A6">
        <w:rPr>
          <w:rFonts w:ascii="Times New Roman" w:eastAsia="Batang" w:hAnsi="Times New Roman" w:cs="Times New Roman"/>
          <w:sz w:val="24"/>
          <w:szCs w:val="24"/>
        </w:rPr>
        <w:t>§</w:t>
      </w:r>
      <w:r w:rsidRPr="007404FA">
        <w:rPr>
          <w:rFonts w:ascii="Times New Roman" w:eastAsia="Batang" w:hAnsi="Times New Roman" w:cs="Times New Roman"/>
          <w:sz w:val="24"/>
          <w:szCs w:val="24"/>
        </w:rPr>
        <w:t>1, букв</w:t>
      </w:r>
      <w:r w:rsidR="0069038C" w:rsidRPr="007404FA">
        <w:rPr>
          <w:rFonts w:ascii="Times New Roman" w:eastAsia="Batang" w:hAnsi="Times New Roman" w:cs="Times New Roman"/>
          <w:sz w:val="24"/>
          <w:szCs w:val="24"/>
        </w:rPr>
        <w:t>а д) от Регламент (ЕС) 2016/679.</w:t>
      </w:r>
    </w:p>
    <w:p w:rsidR="00E42714" w:rsidRPr="007404FA" w:rsidRDefault="00E42714" w:rsidP="00DB6B05">
      <w:pPr>
        <w:spacing w:line="360" w:lineRule="auto"/>
        <w:ind w:firstLine="709"/>
        <w:jc w:val="both"/>
        <w:rPr>
          <w:rFonts w:ascii="Times New Roman" w:eastAsia="Batang" w:hAnsi="Times New Roman" w:cs="Times New Roman"/>
          <w:sz w:val="24"/>
          <w:szCs w:val="24"/>
        </w:rPr>
      </w:pPr>
      <w:r w:rsidRPr="007404FA">
        <w:rPr>
          <w:rFonts w:ascii="Times New Roman" w:eastAsia="Batang" w:hAnsi="Times New Roman" w:cs="Times New Roman"/>
          <w:sz w:val="24"/>
          <w:szCs w:val="24"/>
        </w:rPr>
        <w:t>Запитването е отправено в рамките на спор между</w:t>
      </w:r>
      <w:r w:rsidR="00B127DA" w:rsidRPr="007404FA">
        <w:rPr>
          <w:rFonts w:ascii="Times New Roman" w:eastAsia="Batang" w:hAnsi="Times New Roman" w:cs="Times New Roman"/>
          <w:sz w:val="24"/>
          <w:szCs w:val="24"/>
        </w:rPr>
        <w:t xml:space="preserve"> КЗЛД и ЦИК</w:t>
      </w:r>
      <w:r w:rsidRPr="007404FA">
        <w:rPr>
          <w:rFonts w:ascii="Times New Roman" w:eastAsia="Batang" w:hAnsi="Times New Roman" w:cs="Times New Roman"/>
          <w:sz w:val="24"/>
          <w:szCs w:val="24"/>
        </w:rPr>
        <w:t xml:space="preserve">, от една страна, и Коалиция „Демократична България </w:t>
      </w:r>
      <w:r w:rsidR="00322E46" w:rsidRPr="007404FA">
        <w:rPr>
          <w:rFonts w:ascii="Times New Roman" w:eastAsia="Batang" w:hAnsi="Times New Roman" w:cs="Times New Roman"/>
          <w:sz w:val="24"/>
          <w:szCs w:val="24"/>
        </w:rPr>
        <w:sym w:font="Symbol" w:char="F02D"/>
      </w:r>
      <w:r w:rsidRPr="007404FA">
        <w:rPr>
          <w:rFonts w:ascii="Times New Roman" w:eastAsia="Batang" w:hAnsi="Times New Roman" w:cs="Times New Roman"/>
          <w:sz w:val="24"/>
          <w:szCs w:val="24"/>
        </w:rPr>
        <w:t xml:space="preserve"> Обединение“, коалиция на български политически партии, от друга страна, във връзка с Указания относно обработването и защитата на личните данни в изборния процес, приети съвместно от КЗЛД и ЦИК.</w:t>
      </w:r>
    </w:p>
    <w:p w:rsidR="00E42714" w:rsidRPr="007404FA" w:rsidRDefault="00E42714" w:rsidP="00DB6B05">
      <w:pPr>
        <w:widowControl w:val="0"/>
        <w:tabs>
          <w:tab w:val="left" w:pos="426"/>
          <w:tab w:val="left" w:pos="2081"/>
        </w:tabs>
        <w:spacing w:line="360" w:lineRule="auto"/>
        <w:ind w:firstLine="709"/>
        <w:jc w:val="both"/>
        <w:rPr>
          <w:rFonts w:ascii="Times New Roman" w:eastAsia="Arial" w:hAnsi="Times New Roman" w:cs="Times New Roman"/>
          <w:sz w:val="24"/>
          <w:szCs w:val="24"/>
        </w:rPr>
      </w:pPr>
      <w:r w:rsidRPr="007404FA">
        <w:rPr>
          <w:rFonts w:ascii="Times New Roman" w:eastAsia="Arial" w:hAnsi="Times New Roman" w:cs="Times New Roman"/>
          <w:sz w:val="24"/>
          <w:szCs w:val="24"/>
        </w:rPr>
        <w:t>Поставените от запитващата юрисдикция преюдициални въпроси са, както следва:</w:t>
      </w:r>
    </w:p>
    <w:p w:rsidR="00E42714" w:rsidRPr="007404FA" w:rsidRDefault="00E42714" w:rsidP="00DB6B05">
      <w:pPr>
        <w:widowControl w:val="0"/>
        <w:numPr>
          <w:ilvl w:val="0"/>
          <w:numId w:val="11"/>
        </w:numPr>
        <w:tabs>
          <w:tab w:val="left" w:pos="426"/>
          <w:tab w:val="left" w:pos="1134"/>
        </w:tabs>
        <w:spacing w:line="360" w:lineRule="auto"/>
        <w:ind w:firstLine="709"/>
        <w:jc w:val="both"/>
        <w:rPr>
          <w:rFonts w:ascii="Times New Roman" w:eastAsia="Arial" w:hAnsi="Times New Roman" w:cs="Times New Roman"/>
          <w:i/>
          <w:sz w:val="24"/>
          <w:szCs w:val="24"/>
        </w:rPr>
      </w:pPr>
      <w:r w:rsidRPr="007404FA">
        <w:rPr>
          <w:rFonts w:ascii="Times New Roman" w:eastAsia="Arial" w:hAnsi="Times New Roman" w:cs="Times New Roman"/>
          <w:i/>
          <w:sz w:val="24"/>
          <w:szCs w:val="24"/>
        </w:rPr>
        <w:t>Следва ли нормата на чл.</w:t>
      </w:r>
      <w:r w:rsidR="00D705A6">
        <w:rPr>
          <w:rFonts w:ascii="Times New Roman" w:eastAsia="Arial" w:hAnsi="Times New Roman" w:cs="Times New Roman"/>
          <w:i/>
          <w:sz w:val="24"/>
          <w:szCs w:val="24"/>
        </w:rPr>
        <w:t xml:space="preserve"> </w:t>
      </w:r>
      <w:r w:rsidRPr="007404FA">
        <w:rPr>
          <w:rFonts w:ascii="Times New Roman" w:eastAsia="Arial" w:hAnsi="Times New Roman" w:cs="Times New Roman"/>
          <w:i/>
          <w:sz w:val="24"/>
          <w:szCs w:val="24"/>
        </w:rPr>
        <w:t>2</w:t>
      </w:r>
      <w:r w:rsidR="00D705A6">
        <w:rPr>
          <w:rFonts w:ascii="Times New Roman" w:eastAsia="Arial" w:hAnsi="Times New Roman" w:cs="Times New Roman"/>
          <w:i/>
          <w:sz w:val="24"/>
          <w:szCs w:val="24"/>
        </w:rPr>
        <w:t>,</w:t>
      </w:r>
      <w:r w:rsidRPr="007404FA">
        <w:rPr>
          <w:rFonts w:ascii="Times New Roman" w:eastAsia="Arial" w:hAnsi="Times New Roman" w:cs="Times New Roman"/>
          <w:i/>
          <w:sz w:val="24"/>
          <w:szCs w:val="24"/>
        </w:rPr>
        <w:t xml:space="preserve"> </w:t>
      </w:r>
      <w:r w:rsidR="00D705A6">
        <w:rPr>
          <w:rFonts w:ascii="Times New Roman" w:eastAsia="Arial" w:hAnsi="Times New Roman" w:cs="Times New Roman"/>
          <w:i/>
          <w:sz w:val="24"/>
          <w:szCs w:val="24"/>
        </w:rPr>
        <w:t>§</w:t>
      </w:r>
      <w:r w:rsidRPr="007404FA">
        <w:rPr>
          <w:rFonts w:ascii="Times New Roman" w:eastAsia="Arial" w:hAnsi="Times New Roman" w:cs="Times New Roman"/>
          <w:i/>
          <w:sz w:val="24"/>
          <w:szCs w:val="24"/>
        </w:rPr>
        <w:t>2</w:t>
      </w:r>
      <w:r w:rsidR="00D705A6">
        <w:rPr>
          <w:rFonts w:ascii="Times New Roman" w:eastAsia="Arial" w:hAnsi="Times New Roman" w:cs="Times New Roman"/>
          <w:i/>
          <w:sz w:val="24"/>
          <w:szCs w:val="24"/>
        </w:rPr>
        <w:t>,</w:t>
      </w:r>
      <w:r w:rsidRPr="007404FA">
        <w:rPr>
          <w:rFonts w:ascii="Times New Roman" w:eastAsia="Arial" w:hAnsi="Times New Roman" w:cs="Times New Roman"/>
          <w:i/>
          <w:sz w:val="24"/>
          <w:szCs w:val="24"/>
        </w:rPr>
        <w:t xml:space="preserve"> б. „а“ от Общия </w:t>
      </w:r>
      <w:r w:rsidR="00D705A6">
        <w:rPr>
          <w:rFonts w:ascii="Times New Roman" w:eastAsia="Arial" w:hAnsi="Times New Roman" w:cs="Times New Roman"/>
          <w:i/>
          <w:sz w:val="24"/>
          <w:szCs w:val="24"/>
        </w:rPr>
        <w:t>р</w:t>
      </w:r>
      <w:r w:rsidRPr="007404FA">
        <w:rPr>
          <w:rFonts w:ascii="Times New Roman" w:eastAsia="Arial" w:hAnsi="Times New Roman" w:cs="Times New Roman"/>
          <w:i/>
          <w:sz w:val="24"/>
          <w:szCs w:val="24"/>
        </w:rPr>
        <w:t>егламент за защита на личните данни да се тълкува в смисъл, че не допуска приложението на Регламента спрямо една</w:t>
      </w:r>
      <w:r w:rsidR="00D705A6">
        <w:rPr>
          <w:rFonts w:ascii="Times New Roman" w:eastAsia="Arial" w:hAnsi="Times New Roman" w:cs="Times New Roman"/>
          <w:i/>
          <w:sz w:val="24"/>
          <w:szCs w:val="24"/>
        </w:rPr>
        <w:t xml:space="preserve"> наглед чисто вътрешна ситуация</w:t>
      </w:r>
      <w:r w:rsidRPr="007404FA">
        <w:rPr>
          <w:rFonts w:ascii="Times New Roman" w:eastAsia="Arial" w:hAnsi="Times New Roman" w:cs="Times New Roman"/>
          <w:i/>
          <w:sz w:val="24"/>
          <w:szCs w:val="24"/>
        </w:rPr>
        <w:t xml:space="preserve"> като провеждането на избори за </w:t>
      </w:r>
      <w:r w:rsidR="00D705A6">
        <w:rPr>
          <w:rFonts w:ascii="Times New Roman" w:eastAsia="Arial" w:hAnsi="Times New Roman" w:cs="Times New Roman"/>
          <w:i/>
          <w:sz w:val="24"/>
          <w:szCs w:val="24"/>
        </w:rPr>
        <w:t>Н</w:t>
      </w:r>
      <w:r w:rsidRPr="007404FA">
        <w:rPr>
          <w:rFonts w:ascii="Times New Roman" w:eastAsia="Arial" w:hAnsi="Times New Roman" w:cs="Times New Roman"/>
          <w:i/>
          <w:sz w:val="24"/>
          <w:szCs w:val="24"/>
        </w:rPr>
        <w:t>ародно събрание, когато обект на защита са личните данни на лица, граждани на Европейския съюз</w:t>
      </w:r>
      <w:r w:rsidR="00D705A6">
        <w:rPr>
          <w:rFonts w:ascii="Times New Roman" w:eastAsia="Arial" w:hAnsi="Times New Roman" w:cs="Times New Roman"/>
          <w:i/>
          <w:sz w:val="24"/>
          <w:szCs w:val="24"/>
        </w:rPr>
        <w:t>,</w:t>
      </w:r>
      <w:r w:rsidRPr="007404FA">
        <w:rPr>
          <w:rFonts w:ascii="Times New Roman" w:eastAsia="Arial" w:hAnsi="Times New Roman" w:cs="Times New Roman"/>
          <w:i/>
          <w:sz w:val="24"/>
          <w:szCs w:val="24"/>
        </w:rPr>
        <w:t xml:space="preserve"> и когато действията по обработка на данните не се изчерпва</w:t>
      </w:r>
      <w:r w:rsidR="00D705A6">
        <w:rPr>
          <w:rFonts w:ascii="Times New Roman" w:eastAsia="Arial" w:hAnsi="Times New Roman" w:cs="Times New Roman"/>
          <w:i/>
          <w:sz w:val="24"/>
          <w:szCs w:val="24"/>
        </w:rPr>
        <w:t>т</w:t>
      </w:r>
      <w:r w:rsidRPr="007404FA">
        <w:rPr>
          <w:rFonts w:ascii="Times New Roman" w:eastAsia="Arial" w:hAnsi="Times New Roman" w:cs="Times New Roman"/>
          <w:i/>
          <w:sz w:val="24"/>
          <w:szCs w:val="24"/>
        </w:rPr>
        <w:t xml:space="preserve"> единствено със събирането им в к</w:t>
      </w:r>
      <w:r w:rsidR="00D705A6">
        <w:rPr>
          <w:rFonts w:ascii="Times New Roman" w:eastAsia="Arial" w:hAnsi="Times New Roman" w:cs="Times New Roman"/>
          <w:i/>
          <w:sz w:val="24"/>
          <w:szCs w:val="24"/>
        </w:rPr>
        <w:t>онтекста на съответната дейност</w:t>
      </w:r>
      <w:r w:rsidRPr="007404FA">
        <w:rPr>
          <w:rFonts w:ascii="Times New Roman" w:eastAsia="Arial" w:hAnsi="Times New Roman" w:cs="Times New Roman"/>
          <w:i/>
          <w:sz w:val="24"/>
          <w:szCs w:val="24"/>
        </w:rPr>
        <w:t>?</w:t>
      </w:r>
    </w:p>
    <w:p w:rsidR="00E42714" w:rsidRPr="007404FA" w:rsidRDefault="00E42714" w:rsidP="00DB6B05">
      <w:pPr>
        <w:widowControl w:val="0"/>
        <w:tabs>
          <w:tab w:val="left" w:pos="426"/>
          <w:tab w:val="left" w:pos="1134"/>
        </w:tabs>
        <w:spacing w:line="360" w:lineRule="auto"/>
        <w:ind w:firstLine="709"/>
        <w:jc w:val="both"/>
        <w:rPr>
          <w:rFonts w:ascii="Times New Roman" w:eastAsia="Arial" w:hAnsi="Times New Roman" w:cs="Times New Roman"/>
          <w:sz w:val="24"/>
          <w:szCs w:val="24"/>
        </w:rPr>
      </w:pPr>
      <w:r w:rsidRPr="007404FA">
        <w:rPr>
          <w:rFonts w:ascii="Times New Roman" w:eastAsia="Arial" w:hAnsi="Times New Roman" w:cs="Times New Roman"/>
          <w:sz w:val="24"/>
          <w:szCs w:val="24"/>
        </w:rPr>
        <w:t>В своята позиция КЗЛД предлага отговорът на първия преюдициален въпрос да предвижда, че ОРЗД има пряко, както и косвено приложение при регулиране на обществените отношения, свързани със защитата на личните данни в контекста на изборния процес.</w:t>
      </w:r>
    </w:p>
    <w:p w:rsidR="00E42714" w:rsidRPr="007404FA" w:rsidRDefault="00E42714" w:rsidP="00DB6B05">
      <w:pPr>
        <w:widowControl w:val="0"/>
        <w:numPr>
          <w:ilvl w:val="0"/>
          <w:numId w:val="11"/>
        </w:numPr>
        <w:tabs>
          <w:tab w:val="left" w:pos="426"/>
          <w:tab w:val="left" w:pos="1134"/>
        </w:tabs>
        <w:spacing w:line="360" w:lineRule="auto"/>
        <w:ind w:firstLine="709"/>
        <w:jc w:val="both"/>
        <w:rPr>
          <w:rFonts w:ascii="Times New Roman" w:eastAsia="Arial" w:hAnsi="Times New Roman" w:cs="Times New Roman"/>
          <w:i/>
          <w:sz w:val="24"/>
          <w:szCs w:val="24"/>
        </w:rPr>
      </w:pPr>
      <w:r w:rsidRPr="007404FA">
        <w:rPr>
          <w:rFonts w:ascii="Times New Roman" w:eastAsia="Arial" w:hAnsi="Times New Roman" w:cs="Times New Roman"/>
          <w:i/>
          <w:sz w:val="24"/>
          <w:szCs w:val="24"/>
        </w:rPr>
        <w:t>При положителен отговор на първия въпрос</w:t>
      </w:r>
      <w:r w:rsidR="00E06D6E">
        <w:rPr>
          <w:rFonts w:ascii="Times New Roman" w:eastAsia="Arial" w:hAnsi="Times New Roman" w:cs="Times New Roman"/>
          <w:i/>
          <w:sz w:val="24"/>
          <w:szCs w:val="24"/>
        </w:rPr>
        <w:t xml:space="preserve"> – </w:t>
      </w:r>
      <w:r w:rsidRPr="007404FA">
        <w:rPr>
          <w:rFonts w:ascii="Times New Roman" w:eastAsia="Arial" w:hAnsi="Times New Roman" w:cs="Times New Roman"/>
          <w:i/>
          <w:sz w:val="24"/>
          <w:szCs w:val="24"/>
        </w:rPr>
        <w:t>приключването на дейнос</w:t>
      </w:r>
      <w:r w:rsidR="00D705A6">
        <w:rPr>
          <w:rFonts w:ascii="Times New Roman" w:eastAsia="Arial" w:hAnsi="Times New Roman" w:cs="Times New Roman"/>
          <w:i/>
          <w:sz w:val="24"/>
          <w:szCs w:val="24"/>
        </w:rPr>
        <w:t>тта по провеждане на избори за Н</w:t>
      </w:r>
      <w:r w:rsidRPr="007404FA">
        <w:rPr>
          <w:rFonts w:ascii="Times New Roman" w:eastAsia="Arial" w:hAnsi="Times New Roman" w:cs="Times New Roman"/>
          <w:i/>
          <w:sz w:val="24"/>
          <w:szCs w:val="24"/>
        </w:rPr>
        <w:t xml:space="preserve">ародно събрание </w:t>
      </w:r>
      <w:r w:rsidR="0081161D" w:rsidRPr="007404FA">
        <w:rPr>
          <w:rFonts w:ascii="Times New Roman" w:eastAsia="Arial" w:hAnsi="Times New Roman" w:cs="Times New Roman"/>
          <w:i/>
          <w:sz w:val="24"/>
          <w:szCs w:val="24"/>
        </w:rPr>
        <w:t>(</w:t>
      </w:r>
      <w:r w:rsidRPr="007404FA">
        <w:rPr>
          <w:rFonts w:ascii="Times New Roman" w:eastAsia="Arial" w:hAnsi="Times New Roman" w:cs="Times New Roman"/>
          <w:i/>
          <w:sz w:val="24"/>
          <w:szCs w:val="24"/>
        </w:rPr>
        <w:t>попадащи наглед извън обхвата на правото на ЕС</w:t>
      </w:r>
      <w:r w:rsidR="0081161D" w:rsidRPr="007404FA">
        <w:rPr>
          <w:rFonts w:ascii="Times New Roman" w:eastAsia="Arial" w:hAnsi="Times New Roman" w:cs="Times New Roman"/>
          <w:i/>
          <w:sz w:val="24"/>
          <w:szCs w:val="24"/>
        </w:rPr>
        <w:t>)</w:t>
      </w:r>
      <w:r w:rsidRPr="007404FA">
        <w:rPr>
          <w:rFonts w:ascii="Times New Roman" w:eastAsia="Arial" w:hAnsi="Times New Roman" w:cs="Times New Roman"/>
          <w:i/>
          <w:sz w:val="24"/>
          <w:szCs w:val="24"/>
        </w:rPr>
        <w:t xml:space="preserve"> освобождава ли администраторите, обработващите и съхр</w:t>
      </w:r>
      <w:r w:rsidR="007E6695" w:rsidRPr="007404FA">
        <w:rPr>
          <w:rFonts w:ascii="Times New Roman" w:eastAsia="Arial" w:hAnsi="Times New Roman" w:cs="Times New Roman"/>
          <w:i/>
          <w:sz w:val="24"/>
          <w:szCs w:val="24"/>
        </w:rPr>
        <w:t>а</w:t>
      </w:r>
      <w:r w:rsidRPr="007404FA">
        <w:rPr>
          <w:rFonts w:ascii="Times New Roman" w:eastAsia="Arial" w:hAnsi="Times New Roman" w:cs="Times New Roman"/>
          <w:i/>
          <w:sz w:val="24"/>
          <w:szCs w:val="24"/>
        </w:rPr>
        <w:t>няващите личните данни лица о</w:t>
      </w:r>
      <w:r w:rsidR="00D705A6">
        <w:rPr>
          <w:rFonts w:ascii="Times New Roman" w:eastAsia="Arial" w:hAnsi="Times New Roman" w:cs="Times New Roman"/>
          <w:i/>
          <w:sz w:val="24"/>
          <w:szCs w:val="24"/>
        </w:rPr>
        <w:t>т задълженията им по Регламента</w:t>
      </w:r>
      <w:r w:rsidRPr="007404FA">
        <w:rPr>
          <w:rFonts w:ascii="Times New Roman" w:eastAsia="Arial" w:hAnsi="Times New Roman" w:cs="Times New Roman"/>
          <w:i/>
          <w:sz w:val="24"/>
          <w:szCs w:val="24"/>
        </w:rPr>
        <w:t xml:space="preserve"> като единствен способ за защита на личните данни на гражданите на ЕС на ниво</w:t>
      </w:r>
      <w:r w:rsidR="00E06D6E">
        <w:rPr>
          <w:rFonts w:ascii="Times New Roman" w:eastAsia="Arial" w:hAnsi="Times New Roman" w:cs="Times New Roman"/>
          <w:i/>
          <w:sz w:val="24"/>
          <w:szCs w:val="24"/>
        </w:rPr>
        <w:t xml:space="preserve"> – </w:t>
      </w:r>
      <w:r w:rsidRPr="007404FA">
        <w:rPr>
          <w:rFonts w:ascii="Times New Roman" w:eastAsia="Arial" w:hAnsi="Times New Roman" w:cs="Times New Roman"/>
          <w:i/>
          <w:sz w:val="24"/>
          <w:szCs w:val="24"/>
        </w:rPr>
        <w:t>съюзна регламентация? Приложимостта на регламента обусл</w:t>
      </w:r>
      <w:r w:rsidR="00D705A6">
        <w:rPr>
          <w:rFonts w:ascii="Times New Roman" w:eastAsia="Arial" w:hAnsi="Times New Roman" w:cs="Times New Roman"/>
          <w:i/>
          <w:sz w:val="24"/>
          <w:szCs w:val="24"/>
        </w:rPr>
        <w:t>а</w:t>
      </w:r>
      <w:r w:rsidRPr="007404FA">
        <w:rPr>
          <w:rFonts w:ascii="Times New Roman" w:eastAsia="Arial" w:hAnsi="Times New Roman" w:cs="Times New Roman"/>
          <w:i/>
          <w:sz w:val="24"/>
          <w:szCs w:val="24"/>
        </w:rPr>
        <w:t xml:space="preserve">вя ли се единствено от </w:t>
      </w:r>
      <w:r w:rsidR="00D705A6" w:rsidRPr="007404FA">
        <w:rPr>
          <w:rFonts w:ascii="Times New Roman" w:eastAsia="Arial" w:hAnsi="Times New Roman" w:cs="Times New Roman"/>
          <w:i/>
          <w:sz w:val="24"/>
          <w:szCs w:val="24"/>
        </w:rPr>
        <w:t>дейността, за която</w:t>
      </w:r>
      <w:r w:rsidRPr="007404FA">
        <w:rPr>
          <w:rFonts w:ascii="Times New Roman" w:eastAsia="Arial" w:hAnsi="Times New Roman" w:cs="Times New Roman"/>
          <w:i/>
          <w:sz w:val="24"/>
          <w:szCs w:val="24"/>
        </w:rPr>
        <w:t xml:space="preserve"> са създадени, респ. събрани</w:t>
      </w:r>
      <w:r w:rsidR="00D705A6">
        <w:rPr>
          <w:rFonts w:ascii="Times New Roman" w:eastAsia="Arial" w:hAnsi="Times New Roman" w:cs="Times New Roman"/>
          <w:i/>
          <w:sz w:val="24"/>
          <w:szCs w:val="24"/>
        </w:rPr>
        <w:t>,</w:t>
      </w:r>
      <w:r w:rsidRPr="007404FA">
        <w:rPr>
          <w:rFonts w:ascii="Times New Roman" w:eastAsia="Arial" w:hAnsi="Times New Roman" w:cs="Times New Roman"/>
          <w:i/>
          <w:sz w:val="24"/>
          <w:szCs w:val="24"/>
        </w:rPr>
        <w:t xml:space="preserve"> личните данни, от което следва и извод</w:t>
      </w:r>
      <w:r w:rsidR="00D705A6">
        <w:rPr>
          <w:rFonts w:ascii="Times New Roman" w:eastAsia="Arial" w:hAnsi="Times New Roman" w:cs="Times New Roman"/>
          <w:i/>
          <w:sz w:val="24"/>
          <w:szCs w:val="24"/>
        </w:rPr>
        <w:t>ът</w:t>
      </w:r>
      <w:r w:rsidRPr="007404FA">
        <w:rPr>
          <w:rFonts w:ascii="Times New Roman" w:eastAsia="Arial" w:hAnsi="Times New Roman" w:cs="Times New Roman"/>
          <w:i/>
          <w:sz w:val="24"/>
          <w:szCs w:val="24"/>
        </w:rPr>
        <w:t xml:space="preserve"> за преклузия на последваща му приложимост?</w:t>
      </w:r>
    </w:p>
    <w:p w:rsidR="00E42714" w:rsidRPr="007404FA" w:rsidRDefault="00E42714" w:rsidP="00DB6B05">
      <w:pPr>
        <w:widowControl w:val="0"/>
        <w:tabs>
          <w:tab w:val="left" w:pos="426"/>
          <w:tab w:val="left" w:pos="1134"/>
        </w:tabs>
        <w:spacing w:line="360" w:lineRule="auto"/>
        <w:ind w:firstLine="709"/>
        <w:jc w:val="both"/>
        <w:rPr>
          <w:rFonts w:ascii="Times New Roman" w:eastAsia="Arial" w:hAnsi="Times New Roman" w:cs="Times New Roman"/>
          <w:sz w:val="24"/>
          <w:szCs w:val="24"/>
        </w:rPr>
      </w:pPr>
      <w:r w:rsidRPr="007404FA">
        <w:rPr>
          <w:rFonts w:ascii="Times New Roman" w:eastAsia="Arial" w:hAnsi="Times New Roman" w:cs="Times New Roman"/>
          <w:sz w:val="24"/>
          <w:szCs w:val="24"/>
        </w:rPr>
        <w:t>По този въпрос КЗЛД предлага отговорът да е в посока, че операциите по обработване на лични данни, per se, не могат да „преклудират“ задълженията на администраторите на лични данни, които са им вменени по закон, освен ако самият закон не предвижда това. В настоящия случай не е налице законова норма, ограничаваща правата на субектите на данни,</w:t>
      </w:r>
      <w:r w:rsidRPr="007404FA">
        <w:rPr>
          <w:rFonts w:ascii="Arial" w:eastAsia="Arial" w:hAnsi="Arial" w:cs="Arial"/>
          <w:sz w:val="26"/>
          <w:szCs w:val="26"/>
        </w:rPr>
        <w:t xml:space="preserve"> </w:t>
      </w:r>
      <w:r w:rsidRPr="007404FA">
        <w:rPr>
          <w:rFonts w:ascii="Times New Roman" w:eastAsia="Arial" w:hAnsi="Times New Roman" w:cs="Times New Roman"/>
          <w:sz w:val="24"/>
          <w:szCs w:val="24"/>
        </w:rPr>
        <w:t>респективно редуцираща обхвата на задължения на администраторите на лични данни. Нещо повече,</w:t>
      </w:r>
      <w:r w:rsidR="00F06583" w:rsidRPr="007404FA">
        <w:rPr>
          <w:rFonts w:ascii="Times New Roman" w:eastAsia="Arial" w:hAnsi="Times New Roman" w:cs="Times New Roman"/>
          <w:sz w:val="24"/>
          <w:szCs w:val="24"/>
        </w:rPr>
        <w:t xml:space="preserve"> чл. </w:t>
      </w:r>
      <w:r w:rsidRPr="007404FA">
        <w:rPr>
          <w:rFonts w:ascii="Times New Roman" w:eastAsia="Arial" w:hAnsi="Times New Roman" w:cs="Times New Roman"/>
          <w:sz w:val="24"/>
          <w:szCs w:val="24"/>
        </w:rPr>
        <w:t>23</w:t>
      </w:r>
      <w:r w:rsidR="007F015E" w:rsidRPr="007404FA">
        <w:rPr>
          <w:rFonts w:ascii="Times New Roman" w:eastAsia="Arial" w:hAnsi="Times New Roman" w:cs="Times New Roman"/>
          <w:sz w:val="24"/>
          <w:szCs w:val="24"/>
        </w:rPr>
        <w:t>,</w:t>
      </w:r>
      <w:r w:rsidRPr="007404FA">
        <w:rPr>
          <w:rFonts w:ascii="Times New Roman" w:eastAsia="Arial" w:hAnsi="Times New Roman" w:cs="Times New Roman"/>
          <w:sz w:val="24"/>
          <w:szCs w:val="24"/>
        </w:rPr>
        <w:t xml:space="preserve"> позволяващ такива дерогации</w:t>
      </w:r>
      <w:r w:rsidR="00D705A6">
        <w:rPr>
          <w:rFonts w:ascii="Times New Roman" w:eastAsia="Arial" w:hAnsi="Times New Roman" w:cs="Times New Roman"/>
          <w:sz w:val="24"/>
          <w:szCs w:val="24"/>
        </w:rPr>
        <w:t>,</w:t>
      </w:r>
      <w:r w:rsidRPr="007404FA">
        <w:rPr>
          <w:rFonts w:ascii="Times New Roman" w:eastAsia="Arial" w:hAnsi="Times New Roman" w:cs="Times New Roman"/>
          <w:sz w:val="24"/>
          <w:szCs w:val="24"/>
        </w:rPr>
        <w:t xml:space="preserve"> е неприложим по отношение на обработваните лични данни при произвеждане на избори от </w:t>
      </w:r>
      <w:r w:rsidR="00D705A6">
        <w:rPr>
          <w:rFonts w:ascii="Times New Roman" w:eastAsia="Arial" w:hAnsi="Times New Roman" w:cs="Times New Roman"/>
          <w:sz w:val="24"/>
          <w:szCs w:val="24"/>
        </w:rPr>
        <w:t xml:space="preserve">държава – </w:t>
      </w:r>
      <w:r w:rsidRPr="007404FA">
        <w:rPr>
          <w:rFonts w:ascii="Times New Roman" w:eastAsia="Arial" w:hAnsi="Times New Roman" w:cs="Times New Roman"/>
          <w:sz w:val="24"/>
          <w:szCs w:val="24"/>
        </w:rPr>
        <w:t xml:space="preserve">членка на ЕС. </w:t>
      </w:r>
    </w:p>
    <w:p w:rsidR="00E42714" w:rsidRPr="007404FA" w:rsidRDefault="00E42714" w:rsidP="00DB6B05">
      <w:pPr>
        <w:widowControl w:val="0"/>
        <w:numPr>
          <w:ilvl w:val="0"/>
          <w:numId w:val="11"/>
        </w:numPr>
        <w:tabs>
          <w:tab w:val="left" w:pos="426"/>
          <w:tab w:val="left" w:pos="1134"/>
        </w:tabs>
        <w:spacing w:line="360" w:lineRule="auto"/>
        <w:ind w:firstLine="709"/>
        <w:jc w:val="both"/>
        <w:rPr>
          <w:rFonts w:ascii="Times New Roman" w:eastAsia="Arial" w:hAnsi="Times New Roman" w:cs="Times New Roman"/>
          <w:sz w:val="24"/>
          <w:szCs w:val="24"/>
        </w:rPr>
      </w:pPr>
      <w:r w:rsidRPr="007404FA">
        <w:rPr>
          <w:rFonts w:ascii="Times New Roman" w:eastAsia="Arial" w:hAnsi="Times New Roman" w:cs="Times New Roman"/>
          <w:i/>
          <w:sz w:val="24"/>
          <w:szCs w:val="24"/>
        </w:rPr>
        <w:lastRenderedPageBreak/>
        <w:t>Пр</w:t>
      </w:r>
      <w:r w:rsidR="00D705A6">
        <w:rPr>
          <w:rFonts w:ascii="Times New Roman" w:eastAsia="Arial" w:hAnsi="Times New Roman" w:cs="Times New Roman"/>
          <w:i/>
          <w:sz w:val="24"/>
          <w:szCs w:val="24"/>
        </w:rPr>
        <w:t>и отрицателен отговор на първия</w:t>
      </w:r>
      <w:r w:rsidRPr="007404FA">
        <w:rPr>
          <w:rFonts w:ascii="Times New Roman" w:eastAsia="Arial" w:hAnsi="Times New Roman" w:cs="Times New Roman"/>
          <w:i/>
          <w:sz w:val="24"/>
          <w:szCs w:val="24"/>
        </w:rPr>
        <w:t xml:space="preserve"> въпрос</w:t>
      </w:r>
      <w:r w:rsidR="00E06D6E">
        <w:rPr>
          <w:rFonts w:ascii="Times New Roman" w:eastAsia="Arial" w:hAnsi="Times New Roman" w:cs="Times New Roman"/>
          <w:i/>
          <w:sz w:val="24"/>
          <w:szCs w:val="24"/>
        </w:rPr>
        <w:t xml:space="preserve"> – </w:t>
      </w:r>
      <w:r w:rsidRPr="007404FA">
        <w:rPr>
          <w:rFonts w:ascii="Times New Roman" w:eastAsia="Arial" w:hAnsi="Times New Roman" w:cs="Times New Roman"/>
          <w:i/>
          <w:sz w:val="24"/>
          <w:szCs w:val="24"/>
        </w:rPr>
        <w:t>допуска</w:t>
      </w:r>
      <w:r w:rsidR="00D705A6">
        <w:rPr>
          <w:rFonts w:ascii="Times New Roman" w:eastAsia="Arial" w:hAnsi="Times New Roman" w:cs="Times New Roman"/>
          <w:i/>
          <w:sz w:val="24"/>
          <w:szCs w:val="24"/>
        </w:rPr>
        <w:t>т</w:t>
      </w:r>
      <w:r w:rsidRPr="007404FA">
        <w:rPr>
          <w:rFonts w:ascii="Times New Roman" w:eastAsia="Arial" w:hAnsi="Times New Roman" w:cs="Times New Roman"/>
          <w:i/>
          <w:sz w:val="24"/>
          <w:szCs w:val="24"/>
        </w:rPr>
        <w:t xml:space="preserve"> ли нормата на</w:t>
      </w:r>
      <w:r w:rsidR="00F06583" w:rsidRPr="007404FA">
        <w:rPr>
          <w:rFonts w:ascii="Times New Roman" w:eastAsia="Arial" w:hAnsi="Times New Roman" w:cs="Times New Roman"/>
          <w:i/>
          <w:sz w:val="24"/>
          <w:szCs w:val="24"/>
        </w:rPr>
        <w:t xml:space="preserve"> чл. </w:t>
      </w:r>
      <w:r w:rsidRPr="007404FA">
        <w:rPr>
          <w:rFonts w:ascii="Times New Roman" w:eastAsia="Arial" w:hAnsi="Times New Roman" w:cs="Times New Roman"/>
          <w:i/>
          <w:sz w:val="24"/>
          <w:szCs w:val="24"/>
        </w:rPr>
        <w:t>6</w:t>
      </w:r>
      <w:r w:rsidR="00D705A6">
        <w:rPr>
          <w:rFonts w:ascii="Times New Roman" w:eastAsia="Arial" w:hAnsi="Times New Roman" w:cs="Times New Roman"/>
          <w:i/>
          <w:sz w:val="24"/>
          <w:szCs w:val="24"/>
        </w:rPr>
        <w:t>, б. „</w:t>
      </w:r>
      <w:r w:rsidRPr="007404FA">
        <w:rPr>
          <w:rFonts w:ascii="Times New Roman" w:eastAsia="Arial" w:hAnsi="Times New Roman" w:cs="Times New Roman"/>
          <w:i/>
          <w:sz w:val="24"/>
          <w:szCs w:val="24"/>
        </w:rPr>
        <w:t>д“ от Общия регламент за за</w:t>
      </w:r>
      <w:r w:rsidR="00D705A6">
        <w:rPr>
          <w:rFonts w:ascii="Times New Roman" w:eastAsia="Arial" w:hAnsi="Times New Roman" w:cs="Times New Roman"/>
          <w:i/>
          <w:sz w:val="24"/>
          <w:szCs w:val="24"/>
        </w:rPr>
        <w:t>щита на личните данни и принципът</w:t>
      </w:r>
      <w:r w:rsidRPr="007404FA">
        <w:rPr>
          <w:rFonts w:ascii="Times New Roman" w:eastAsia="Arial" w:hAnsi="Times New Roman" w:cs="Times New Roman"/>
          <w:i/>
          <w:sz w:val="24"/>
          <w:szCs w:val="24"/>
        </w:rPr>
        <w:t xml:space="preserve"> на пропорционалност</w:t>
      </w:r>
      <w:r w:rsidR="00D705A6">
        <w:rPr>
          <w:rFonts w:ascii="Times New Roman" w:eastAsia="Arial" w:hAnsi="Times New Roman" w:cs="Times New Roman"/>
          <w:i/>
          <w:sz w:val="24"/>
          <w:szCs w:val="24"/>
        </w:rPr>
        <w:t>,</w:t>
      </w:r>
      <w:r w:rsidRPr="007404FA">
        <w:rPr>
          <w:rFonts w:ascii="Times New Roman" w:eastAsia="Arial" w:hAnsi="Times New Roman" w:cs="Times New Roman"/>
          <w:i/>
          <w:sz w:val="24"/>
          <w:szCs w:val="24"/>
        </w:rPr>
        <w:t xml:space="preserve"> инкорпориран в съображения 4 и 129 от Общия </w:t>
      </w:r>
      <w:r w:rsidR="00D705A6">
        <w:rPr>
          <w:rFonts w:ascii="Times New Roman" w:eastAsia="Arial" w:hAnsi="Times New Roman" w:cs="Times New Roman"/>
          <w:i/>
          <w:sz w:val="24"/>
          <w:szCs w:val="24"/>
        </w:rPr>
        <w:t>р</w:t>
      </w:r>
      <w:r w:rsidRPr="007404FA">
        <w:rPr>
          <w:rFonts w:ascii="Times New Roman" w:eastAsia="Arial" w:hAnsi="Times New Roman" w:cs="Times New Roman"/>
          <w:i/>
          <w:sz w:val="24"/>
          <w:szCs w:val="24"/>
        </w:rPr>
        <w:t>егламент</w:t>
      </w:r>
      <w:r w:rsidR="00D705A6">
        <w:rPr>
          <w:rFonts w:ascii="Times New Roman" w:eastAsia="Arial" w:hAnsi="Times New Roman" w:cs="Times New Roman"/>
          <w:i/>
          <w:sz w:val="24"/>
          <w:szCs w:val="24"/>
        </w:rPr>
        <w:t>,</w:t>
      </w:r>
      <w:r w:rsidRPr="007404FA">
        <w:rPr>
          <w:rFonts w:ascii="Times New Roman" w:eastAsia="Arial" w:hAnsi="Times New Roman" w:cs="Times New Roman"/>
          <w:i/>
          <w:sz w:val="24"/>
          <w:szCs w:val="24"/>
        </w:rPr>
        <w:t xml:space="preserve"> една национална регулаторна мя</w:t>
      </w:r>
      <w:r w:rsidR="00D705A6">
        <w:rPr>
          <w:rFonts w:ascii="Times New Roman" w:eastAsia="Arial" w:hAnsi="Times New Roman" w:cs="Times New Roman"/>
          <w:i/>
          <w:sz w:val="24"/>
          <w:szCs w:val="24"/>
        </w:rPr>
        <w:t>рка по приложение на Регламента</w:t>
      </w:r>
      <w:r w:rsidRPr="007404FA">
        <w:rPr>
          <w:rFonts w:ascii="Times New Roman" w:eastAsia="Arial" w:hAnsi="Times New Roman" w:cs="Times New Roman"/>
          <w:i/>
          <w:sz w:val="24"/>
          <w:szCs w:val="24"/>
        </w:rPr>
        <w:t xml:space="preserve"> като процесната, която изначално забранява и ограничава възможността да бъде извършено каквото и да било видеозаснемане при преброяване на изборните резултати в изборните помещения, като не допуска диференциация и регламентация на отделни елементи от процеса по видеозаснемане и преклудира възможността за постигане целите на Регламента</w:t>
      </w:r>
      <w:r w:rsidR="00E06D6E">
        <w:rPr>
          <w:rFonts w:ascii="Times New Roman" w:eastAsia="Arial" w:hAnsi="Times New Roman" w:cs="Times New Roman"/>
          <w:i/>
          <w:sz w:val="24"/>
          <w:szCs w:val="24"/>
        </w:rPr>
        <w:t xml:space="preserve"> – </w:t>
      </w:r>
      <w:r w:rsidRPr="007404FA">
        <w:rPr>
          <w:rFonts w:ascii="Times New Roman" w:eastAsia="Arial" w:hAnsi="Times New Roman" w:cs="Times New Roman"/>
          <w:i/>
          <w:sz w:val="24"/>
          <w:szCs w:val="24"/>
        </w:rPr>
        <w:t>защита на личните данни на лицата, с други средства?</w:t>
      </w:r>
    </w:p>
    <w:p w:rsidR="00E42714" w:rsidRPr="007404FA" w:rsidRDefault="00E42714" w:rsidP="00DB6B05">
      <w:pPr>
        <w:widowControl w:val="0"/>
        <w:tabs>
          <w:tab w:val="left" w:pos="426"/>
          <w:tab w:val="left" w:pos="1134"/>
        </w:tabs>
        <w:spacing w:line="360" w:lineRule="auto"/>
        <w:ind w:firstLine="709"/>
        <w:jc w:val="both"/>
        <w:rPr>
          <w:rFonts w:ascii="Times New Roman" w:eastAsia="Arial" w:hAnsi="Times New Roman" w:cs="Times New Roman"/>
          <w:sz w:val="24"/>
          <w:szCs w:val="24"/>
        </w:rPr>
      </w:pPr>
      <w:r w:rsidRPr="007404FA">
        <w:rPr>
          <w:rFonts w:ascii="Times New Roman" w:eastAsia="Arial" w:hAnsi="Times New Roman" w:cs="Times New Roman"/>
          <w:sz w:val="24"/>
          <w:szCs w:val="24"/>
        </w:rPr>
        <w:t>По този въпрос КЗЛД отново подчертава абсолютната неприложимост на</w:t>
      </w:r>
      <w:r w:rsidR="00F06583" w:rsidRPr="007404FA">
        <w:rPr>
          <w:rFonts w:ascii="Times New Roman" w:eastAsia="Arial" w:hAnsi="Times New Roman" w:cs="Times New Roman"/>
          <w:sz w:val="24"/>
          <w:szCs w:val="24"/>
        </w:rPr>
        <w:t xml:space="preserve"> чл. </w:t>
      </w:r>
      <w:r w:rsidRPr="007404FA">
        <w:rPr>
          <w:rFonts w:ascii="Times New Roman" w:eastAsia="Arial" w:hAnsi="Times New Roman" w:cs="Times New Roman"/>
          <w:sz w:val="24"/>
          <w:szCs w:val="24"/>
        </w:rPr>
        <w:t xml:space="preserve">6, </w:t>
      </w:r>
      <w:r w:rsidR="00E06D6E">
        <w:rPr>
          <w:rFonts w:ascii="Times New Roman" w:eastAsia="Arial" w:hAnsi="Times New Roman" w:cs="Times New Roman"/>
          <w:sz w:val="24"/>
          <w:szCs w:val="24"/>
        </w:rPr>
        <w:t>§</w:t>
      </w:r>
      <w:r w:rsidRPr="007404FA">
        <w:rPr>
          <w:rFonts w:ascii="Times New Roman" w:eastAsia="Arial" w:hAnsi="Times New Roman" w:cs="Times New Roman"/>
          <w:sz w:val="24"/>
          <w:szCs w:val="24"/>
        </w:rPr>
        <w:t xml:space="preserve">1, б. „д“ от ОРЗД, както и че не са налице други средства (непосочени в закона) за постигане на целите на същия Регламент. </w:t>
      </w:r>
    </w:p>
    <w:p w:rsidR="00E42714" w:rsidRPr="007404FA" w:rsidRDefault="00E42714" w:rsidP="00DB6B05">
      <w:pPr>
        <w:widowControl w:val="0"/>
        <w:numPr>
          <w:ilvl w:val="0"/>
          <w:numId w:val="11"/>
        </w:numPr>
        <w:tabs>
          <w:tab w:val="left" w:pos="426"/>
          <w:tab w:val="left" w:pos="1134"/>
        </w:tabs>
        <w:spacing w:line="360" w:lineRule="auto"/>
        <w:ind w:firstLine="709"/>
        <w:jc w:val="both"/>
        <w:rPr>
          <w:rFonts w:ascii="Times New Roman" w:eastAsia="Arial" w:hAnsi="Times New Roman" w:cs="Times New Roman"/>
          <w:sz w:val="24"/>
          <w:szCs w:val="24"/>
        </w:rPr>
      </w:pPr>
      <w:r w:rsidRPr="007404FA">
        <w:rPr>
          <w:rFonts w:ascii="Times New Roman" w:eastAsia="Arial" w:hAnsi="Times New Roman" w:cs="Times New Roman"/>
          <w:i/>
          <w:sz w:val="24"/>
          <w:szCs w:val="24"/>
        </w:rPr>
        <w:t>Алтернативно и в контекста на приложното поле на правото на ЕС</w:t>
      </w:r>
      <w:r w:rsidR="00E06D6E">
        <w:rPr>
          <w:rFonts w:ascii="Times New Roman" w:eastAsia="Arial" w:hAnsi="Times New Roman" w:cs="Times New Roman"/>
          <w:i/>
          <w:sz w:val="24"/>
          <w:szCs w:val="24"/>
        </w:rPr>
        <w:t xml:space="preserve"> – </w:t>
      </w:r>
      <w:r w:rsidRPr="007404FA">
        <w:rPr>
          <w:rFonts w:ascii="Times New Roman" w:eastAsia="Arial" w:hAnsi="Times New Roman" w:cs="Times New Roman"/>
          <w:i/>
          <w:sz w:val="24"/>
          <w:szCs w:val="24"/>
        </w:rPr>
        <w:t>при провеждане на общински избори и избори за европейски парламент</w:t>
      </w:r>
      <w:r w:rsidR="00E06D6E">
        <w:rPr>
          <w:rFonts w:ascii="Times New Roman" w:eastAsia="Arial" w:hAnsi="Times New Roman" w:cs="Times New Roman"/>
          <w:i/>
          <w:sz w:val="24"/>
          <w:szCs w:val="24"/>
        </w:rPr>
        <w:t xml:space="preserve"> – </w:t>
      </w:r>
      <w:r w:rsidRPr="007404FA">
        <w:rPr>
          <w:rFonts w:ascii="Times New Roman" w:eastAsia="Arial" w:hAnsi="Times New Roman" w:cs="Times New Roman"/>
          <w:i/>
          <w:sz w:val="24"/>
          <w:szCs w:val="24"/>
        </w:rPr>
        <w:t>допуска</w:t>
      </w:r>
      <w:r w:rsidR="00D705A6">
        <w:rPr>
          <w:rFonts w:ascii="Times New Roman" w:eastAsia="Arial" w:hAnsi="Times New Roman" w:cs="Times New Roman"/>
          <w:i/>
          <w:sz w:val="24"/>
          <w:szCs w:val="24"/>
        </w:rPr>
        <w:t>т</w:t>
      </w:r>
      <w:r w:rsidRPr="007404FA">
        <w:rPr>
          <w:rFonts w:ascii="Times New Roman" w:eastAsia="Arial" w:hAnsi="Times New Roman" w:cs="Times New Roman"/>
          <w:i/>
          <w:sz w:val="24"/>
          <w:szCs w:val="24"/>
        </w:rPr>
        <w:t xml:space="preserve"> ли нормата на</w:t>
      </w:r>
      <w:r w:rsidR="00F06583" w:rsidRPr="007404FA">
        <w:rPr>
          <w:rFonts w:ascii="Times New Roman" w:eastAsia="Arial" w:hAnsi="Times New Roman" w:cs="Times New Roman"/>
          <w:i/>
          <w:sz w:val="24"/>
          <w:szCs w:val="24"/>
        </w:rPr>
        <w:t xml:space="preserve"> чл. </w:t>
      </w:r>
      <w:r w:rsidR="00D705A6">
        <w:rPr>
          <w:rFonts w:ascii="Times New Roman" w:eastAsia="Arial" w:hAnsi="Times New Roman" w:cs="Times New Roman"/>
          <w:i/>
          <w:sz w:val="24"/>
          <w:szCs w:val="24"/>
        </w:rPr>
        <w:t>6, б. „</w:t>
      </w:r>
      <w:r w:rsidRPr="007404FA">
        <w:rPr>
          <w:rFonts w:ascii="Times New Roman" w:eastAsia="Arial" w:hAnsi="Times New Roman" w:cs="Times New Roman"/>
          <w:i/>
          <w:sz w:val="24"/>
          <w:szCs w:val="24"/>
        </w:rPr>
        <w:t xml:space="preserve">д“ от </w:t>
      </w:r>
      <w:r w:rsidR="007E6695" w:rsidRPr="007404FA">
        <w:rPr>
          <w:rFonts w:ascii="Times New Roman" w:eastAsia="Arial" w:hAnsi="Times New Roman" w:cs="Times New Roman"/>
          <w:i/>
          <w:sz w:val="24"/>
          <w:szCs w:val="24"/>
        </w:rPr>
        <w:t>ОРЗД</w:t>
      </w:r>
      <w:r w:rsidR="00D705A6">
        <w:rPr>
          <w:rFonts w:ascii="Times New Roman" w:eastAsia="Arial" w:hAnsi="Times New Roman" w:cs="Times New Roman"/>
          <w:i/>
          <w:sz w:val="24"/>
          <w:szCs w:val="24"/>
        </w:rPr>
        <w:t xml:space="preserve"> и принципът</w:t>
      </w:r>
      <w:r w:rsidRPr="007404FA">
        <w:rPr>
          <w:rFonts w:ascii="Times New Roman" w:eastAsia="Arial" w:hAnsi="Times New Roman" w:cs="Times New Roman"/>
          <w:i/>
          <w:sz w:val="24"/>
          <w:szCs w:val="24"/>
        </w:rPr>
        <w:t xml:space="preserve"> на пропорционалност</w:t>
      </w:r>
      <w:r w:rsidR="00D705A6">
        <w:rPr>
          <w:rFonts w:ascii="Times New Roman" w:eastAsia="Arial" w:hAnsi="Times New Roman" w:cs="Times New Roman"/>
          <w:i/>
          <w:sz w:val="24"/>
          <w:szCs w:val="24"/>
        </w:rPr>
        <w:t>,</w:t>
      </w:r>
      <w:r w:rsidRPr="007404FA">
        <w:rPr>
          <w:rFonts w:ascii="Times New Roman" w:eastAsia="Arial" w:hAnsi="Times New Roman" w:cs="Times New Roman"/>
          <w:i/>
          <w:sz w:val="24"/>
          <w:szCs w:val="24"/>
        </w:rPr>
        <w:t xml:space="preserve"> инкорпориран в съображения 4 и 129 от </w:t>
      </w:r>
      <w:r w:rsidR="007E6695" w:rsidRPr="007404FA">
        <w:rPr>
          <w:rFonts w:ascii="Times New Roman" w:eastAsia="Arial" w:hAnsi="Times New Roman" w:cs="Times New Roman"/>
          <w:i/>
          <w:sz w:val="24"/>
          <w:szCs w:val="24"/>
        </w:rPr>
        <w:t>ОРЗД</w:t>
      </w:r>
      <w:r w:rsidR="00D705A6">
        <w:rPr>
          <w:rFonts w:ascii="Times New Roman" w:eastAsia="Arial" w:hAnsi="Times New Roman" w:cs="Times New Roman"/>
          <w:i/>
          <w:sz w:val="24"/>
          <w:szCs w:val="24"/>
        </w:rPr>
        <w:t>,</w:t>
      </w:r>
      <w:r w:rsidRPr="007404FA">
        <w:rPr>
          <w:rFonts w:ascii="Times New Roman" w:eastAsia="Arial" w:hAnsi="Times New Roman" w:cs="Times New Roman"/>
          <w:i/>
          <w:sz w:val="24"/>
          <w:szCs w:val="24"/>
        </w:rPr>
        <w:t xml:space="preserve"> една национална регулаторна мя</w:t>
      </w:r>
      <w:r w:rsidR="00D705A6">
        <w:rPr>
          <w:rFonts w:ascii="Times New Roman" w:eastAsia="Arial" w:hAnsi="Times New Roman" w:cs="Times New Roman"/>
          <w:i/>
          <w:sz w:val="24"/>
          <w:szCs w:val="24"/>
        </w:rPr>
        <w:t>рка по приложение на Регламента</w:t>
      </w:r>
      <w:r w:rsidRPr="007404FA">
        <w:rPr>
          <w:rFonts w:ascii="Times New Roman" w:eastAsia="Arial" w:hAnsi="Times New Roman" w:cs="Times New Roman"/>
          <w:i/>
          <w:sz w:val="24"/>
          <w:szCs w:val="24"/>
        </w:rPr>
        <w:t xml:space="preserve"> като процесната, която изначално забранява и ограничава възможността да бъде извършено каквото и да било видеозаснемане при преброяване на изборните резултати в изборните помещения, като не прави, нито дори допуска диференциация и регламентация на отделни елементи от процеса по видеозаснемане и преклудира възможността за постигане целите на Регламента</w:t>
      </w:r>
      <w:r w:rsidR="00E06D6E">
        <w:rPr>
          <w:rFonts w:ascii="Times New Roman" w:eastAsia="Arial" w:hAnsi="Times New Roman" w:cs="Times New Roman"/>
          <w:i/>
          <w:sz w:val="24"/>
          <w:szCs w:val="24"/>
        </w:rPr>
        <w:t xml:space="preserve"> – </w:t>
      </w:r>
      <w:r w:rsidRPr="007404FA">
        <w:rPr>
          <w:rFonts w:ascii="Times New Roman" w:eastAsia="Arial" w:hAnsi="Times New Roman" w:cs="Times New Roman"/>
          <w:i/>
          <w:sz w:val="24"/>
          <w:szCs w:val="24"/>
        </w:rPr>
        <w:t>защита на личните данни на лицата с други средства?</w:t>
      </w:r>
    </w:p>
    <w:p w:rsidR="00E42714" w:rsidRPr="007404FA" w:rsidRDefault="00E42714" w:rsidP="00DB6B05">
      <w:pPr>
        <w:widowControl w:val="0"/>
        <w:tabs>
          <w:tab w:val="left" w:pos="426"/>
          <w:tab w:val="left" w:pos="2081"/>
        </w:tabs>
        <w:spacing w:line="360" w:lineRule="auto"/>
        <w:ind w:firstLine="709"/>
        <w:jc w:val="both"/>
        <w:rPr>
          <w:rFonts w:ascii="Times New Roman" w:eastAsia="Arial" w:hAnsi="Times New Roman" w:cs="Times New Roman"/>
          <w:sz w:val="24"/>
          <w:szCs w:val="24"/>
        </w:rPr>
      </w:pPr>
      <w:r w:rsidRPr="007404FA">
        <w:rPr>
          <w:rFonts w:ascii="Times New Roman" w:eastAsia="Arial" w:hAnsi="Times New Roman" w:cs="Times New Roman"/>
          <w:sz w:val="24"/>
          <w:szCs w:val="24"/>
        </w:rPr>
        <w:t xml:space="preserve">Становището на КЗЛД по четвърти въпрос е, че следва да се отрази в отговора, че Указанията нямат правния характер на регулаторна мярка, а на акт по единно прилагане на ОРЗД и ЗЗЛД, както и че не те, а законодателството изначално забранява и ограничава правото на обработване на лични данни чрез видеозаснемане до изменението на </w:t>
      </w:r>
      <w:r w:rsidR="005E22DE" w:rsidRPr="007404FA">
        <w:rPr>
          <w:rFonts w:ascii="Times New Roman" w:eastAsia="Arial" w:hAnsi="Times New Roman" w:cs="Times New Roman"/>
          <w:sz w:val="24"/>
          <w:szCs w:val="24"/>
        </w:rPr>
        <w:t>Изборния кодекс</w:t>
      </w:r>
      <w:r w:rsidRPr="007404FA">
        <w:rPr>
          <w:rFonts w:ascii="Times New Roman" w:eastAsia="Arial" w:hAnsi="Times New Roman" w:cs="Times New Roman"/>
          <w:sz w:val="24"/>
          <w:szCs w:val="24"/>
        </w:rPr>
        <w:t xml:space="preserve"> в</w:t>
      </w:r>
      <w:r w:rsidR="00F06583" w:rsidRPr="007404FA">
        <w:rPr>
          <w:rFonts w:ascii="Times New Roman" w:eastAsia="Arial" w:hAnsi="Times New Roman" w:cs="Times New Roman"/>
          <w:sz w:val="24"/>
          <w:szCs w:val="24"/>
        </w:rPr>
        <w:t xml:space="preserve"> чл. </w:t>
      </w:r>
      <w:r w:rsidRPr="007404FA">
        <w:rPr>
          <w:rFonts w:ascii="Times New Roman" w:eastAsia="Arial" w:hAnsi="Times New Roman" w:cs="Times New Roman"/>
          <w:sz w:val="24"/>
          <w:szCs w:val="24"/>
        </w:rPr>
        <w:t>272. Считаме, че не може и не следва да се търси способ за защита на лични данни на лицата, в чиято лична сфера се навлиза с „други средства“, доколкото нито европейския</w:t>
      </w:r>
      <w:r w:rsidR="00D705A6">
        <w:rPr>
          <w:rFonts w:ascii="Times New Roman" w:eastAsia="Arial" w:hAnsi="Times New Roman" w:cs="Times New Roman"/>
          <w:sz w:val="24"/>
          <w:szCs w:val="24"/>
        </w:rPr>
        <w:t>т</w:t>
      </w:r>
      <w:r w:rsidRPr="007404FA">
        <w:rPr>
          <w:rFonts w:ascii="Times New Roman" w:eastAsia="Arial" w:hAnsi="Times New Roman" w:cs="Times New Roman"/>
          <w:sz w:val="24"/>
          <w:szCs w:val="24"/>
        </w:rPr>
        <w:t>, нито националния</w:t>
      </w:r>
      <w:r w:rsidR="00D705A6">
        <w:rPr>
          <w:rFonts w:ascii="Times New Roman" w:eastAsia="Arial" w:hAnsi="Times New Roman" w:cs="Times New Roman"/>
          <w:sz w:val="24"/>
          <w:szCs w:val="24"/>
        </w:rPr>
        <w:t>т</w:t>
      </w:r>
      <w:r w:rsidRPr="007404FA">
        <w:rPr>
          <w:rFonts w:ascii="Times New Roman" w:eastAsia="Arial" w:hAnsi="Times New Roman" w:cs="Times New Roman"/>
          <w:sz w:val="24"/>
          <w:szCs w:val="24"/>
        </w:rPr>
        <w:t xml:space="preserve"> законодател са предвидили такива или са дали правна възможност за предвиждане на такива с подзаконов акт.</w:t>
      </w:r>
    </w:p>
    <w:p w:rsidR="00E42714" w:rsidRPr="007404FA" w:rsidRDefault="00E42714" w:rsidP="00DB6B05">
      <w:pPr>
        <w:widowControl w:val="0"/>
        <w:numPr>
          <w:ilvl w:val="0"/>
          <w:numId w:val="11"/>
        </w:numPr>
        <w:tabs>
          <w:tab w:val="left" w:pos="426"/>
          <w:tab w:val="left" w:pos="2081"/>
        </w:tabs>
        <w:spacing w:line="360" w:lineRule="auto"/>
        <w:ind w:firstLine="709"/>
        <w:jc w:val="both"/>
        <w:rPr>
          <w:rFonts w:ascii="Times New Roman" w:eastAsia="Arial" w:hAnsi="Times New Roman" w:cs="Times New Roman"/>
          <w:i/>
          <w:sz w:val="24"/>
          <w:szCs w:val="24"/>
        </w:rPr>
      </w:pPr>
      <w:r w:rsidRPr="007404FA">
        <w:rPr>
          <w:rFonts w:ascii="Times New Roman" w:eastAsia="Arial" w:hAnsi="Times New Roman" w:cs="Times New Roman"/>
          <w:i/>
          <w:sz w:val="24"/>
          <w:szCs w:val="24"/>
        </w:rPr>
        <w:t>Допуска ли нормата на чл.</w:t>
      </w:r>
      <w:r w:rsidR="00D705A6">
        <w:rPr>
          <w:rFonts w:ascii="Times New Roman" w:eastAsia="Arial" w:hAnsi="Times New Roman" w:cs="Times New Roman"/>
          <w:i/>
          <w:sz w:val="24"/>
          <w:szCs w:val="24"/>
        </w:rPr>
        <w:t xml:space="preserve"> </w:t>
      </w:r>
      <w:r w:rsidRPr="007404FA">
        <w:rPr>
          <w:rFonts w:ascii="Times New Roman" w:eastAsia="Arial" w:hAnsi="Times New Roman" w:cs="Times New Roman"/>
          <w:i/>
          <w:sz w:val="24"/>
          <w:szCs w:val="24"/>
        </w:rPr>
        <w:t>6</w:t>
      </w:r>
      <w:r w:rsidR="00D705A6">
        <w:rPr>
          <w:rFonts w:ascii="Times New Roman" w:eastAsia="Arial" w:hAnsi="Times New Roman" w:cs="Times New Roman"/>
          <w:i/>
          <w:sz w:val="24"/>
          <w:szCs w:val="24"/>
        </w:rPr>
        <w:t>,</w:t>
      </w:r>
      <w:r w:rsidRPr="007404FA">
        <w:rPr>
          <w:rFonts w:ascii="Times New Roman" w:eastAsia="Arial" w:hAnsi="Times New Roman" w:cs="Times New Roman"/>
          <w:i/>
          <w:sz w:val="24"/>
          <w:szCs w:val="24"/>
        </w:rPr>
        <w:t xml:space="preserve"> </w:t>
      </w:r>
      <w:r w:rsidR="00D705A6">
        <w:rPr>
          <w:rFonts w:ascii="Times New Roman" w:eastAsia="Arial" w:hAnsi="Times New Roman" w:cs="Times New Roman"/>
          <w:i/>
          <w:sz w:val="24"/>
          <w:szCs w:val="24"/>
        </w:rPr>
        <w:t>§</w:t>
      </w:r>
      <w:r w:rsidRPr="007404FA">
        <w:rPr>
          <w:rFonts w:ascii="Times New Roman" w:eastAsia="Arial" w:hAnsi="Times New Roman" w:cs="Times New Roman"/>
          <w:i/>
          <w:sz w:val="24"/>
          <w:szCs w:val="24"/>
        </w:rPr>
        <w:t>1</w:t>
      </w:r>
      <w:r w:rsidR="00D705A6">
        <w:rPr>
          <w:rFonts w:ascii="Times New Roman" w:eastAsia="Arial" w:hAnsi="Times New Roman" w:cs="Times New Roman"/>
          <w:i/>
          <w:sz w:val="24"/>
          <w:szCs w:val="24"/>
        </w:rPr>
        <w:t>, б. „</w:t>
      </w:r>
      <w:r w:rsidRPr="007404FA">
        <w:rPr>
          <w:rFonts w:ascii="Times New Roman" w:eastAsia="Arial" w:hAnsi="Times New Roman" w:cs="Times New Roman"/>
          <w:i/>
          <w:sz w:val="24"/>
          <w:szCs w:val="24"/>
        </w:rPr>
        <w:t xml:space="preserve">д“ от </w:t>
      </w:r>
      <w:r w:rsidR="005E22DE" w:rsidRPr="007404FA">
        <w:rPr>
          <w:rFonts w:ascii="Times New Roman" w:eastAsia="Arial" w:hAnsi="Times New Roman" w:cs="Times New Roman"/>
          <w:i/>
          <w:sz w:val="24"/>
          <w:szCs w:val="24"/>
        </w:rPr>
        <w:t>ОРЗД</w:t>
      </w:r>
      <w:r w:rsidRPr="007404FA">
        <w:rPr>
          <w:rFonts w:ascii="Times New Roman" w:eastAsia="Arial" w:hAnsi="Times New Roman" w:cs="Times New Roman"/>
          <w:i/>
          <w:sz w:val="24"/>
          <w:szCs w:val="24"/>
        </w:rPr>
        <w:t xml:space="preserve"> квалифицирането на действията по установяване законосъобразното протичане и преброяване на резултатите от проведени избори като задача от обществен интерес, оправдаваща определена, подчинена на изискването за пропорционалност, намеса по отношение на личните данни на присъстващите в изборните помещения лица, когато същите изпълняват официална, публична, </w:t>
      </w:r>
      <w:r w:rsidR="00D705A6">
        <w:rPr>
          <w:rFonts w:ascii="Times New Roman" w:eastAsia="Arial" w:hAnsi="Times New Roman" w:cs="Times New Roman"/>
          <w:i/>
          <w:sz w:val="24"/>
          <w:szCs w:val="24"/>
        </w:rPr>
        <w:t>законово регламентирана функция</w:t>
      </w:r>
      <w:r w:rsidRPr="007404FA">
        <w:rPr>
          <w:rFonts w:ascii="Times New Roman" w:eastAsia="Arial" w:hAnsi="Times New Roman" w:cs="Times New Roman"/>
          <w:i/>
          <w:sz w:val="24"/>
          <w:szCs w:val="24"/>
        </w:rPr>
        <w:t>?</w:t>
      </w:r>
    </w:p>
    <w:p w:rsidR="00E42714" w:rsidRPr="007404FA" w:rsidRDefault="00E42714" w:rsidP="00DB6B05">
      <w:pPr>
        <w:widowControl w:val="0"/>
        <w:tabs>
          <w:tab w:val="left" w:pos="426"/>
          <w:tab w:val="left" w:pos="2081"/>
        </w:tabs>
        <w:spacing w:line="360" w:lineRule="auto"/>
        <w:ind w:firstLine="709"/>
        <w:jc w:val="both"/>
        <w:rPr>
          <w:rFonts w:ascii="Times New Roman" w:eastAsia="Arial" w:hAnsi="Times New Roman" w:cs="Times New Roman"/>
          <w:sz w:val="24"/>
          <w:szCs w:val="24"/>
        </w:rPr>
      </w:pPr>
      <w:r w:rsidRPr="007404FA">
        <w:rPr>
          <w:rFonts w:ascii="Times New Roman" w:eastAsia="Arial" w:hAnsi="Times New Roman" w:cs="Times New Roman"/>
          <w:sz w:val="24"/>
          <w:szCs w:val="24"/>
        </w:rPr>
        <w:lastRenderedPageBreak/>
        <w:t>По този въпрос КЗЛД намира за подходящо в отговора да се подчертае, че нормата на</w:t>
      </w:r>
      <w:r w:rsidR="00F06583" w:rsidRPr="007404FA">
        <w:rPr>
          <w:rFonts w:ascii="Times New Roman" w:eastAsia="Arial" w:hAnsi="Times New Roman" w:cs="Times New Roman"/>
          <w:sz w:val="24"/>
          <w:szCs w:val="24"/>
        </w:rPr>
        <w:t xml:space="preserve"> чл. </w:t>
      </w:r>
      <w:r w:rsidRPr="007404FA">
        <w:rPr>
          <w:rFonts w:ascii="Times New Roman" w:eastAsia="Arial" w:hAnsi="Times New Roman" w:cs="Times New Roman"/>
          <w:sz w:val="24"/>
          <w:szCs w:val="24"/>
        </w:rPr>
        <w:t xml:space="preserve">6, </w:t>
      </w:r>
      <w:r w:rsidR="00E06D6E">
        <w:rPr>
          <w:rFonts w:ascii="Times New Roman" w:eastAsia="Arial" w:hAnsi="Times New Roman" w:cs="Times New Roman"/>
          <w:sz w:val="24"/>
          <w:szCs w:val="24"/>
        </w:rPr>
        <w:t>§</w:t>
      </w:r>
      <w:r w:rsidRPr="007404FA">
        <w:rPr>
          <w:rFonts w:ascii="Times New Roman" w:eastAsia="Arial" w:hAnsi="Times New Roman" w:cs="Times New Roman"/>
          <w:sz w:val="24"/>
          <w:szCs w:val="24"/>
        </w:rPr>
        <w:t>1, б. „д“</w:t>
      </w:r>
      <w:r w:rsidRPr="007404FA">
        <w:rPr>
          <w:rFonts w:ascii="Times New Roman" w:eastAsia="Arial" w:hAnsi="Times New Roman" w:cs="Times New Roman"/>
          <w:b/>
          <w:i/>
          <w:sz w:val="24"/>
          <w:szCs w:val="24"/>
        </w:rPr>
        <w:t xml:space="preserve"> </w:t>
      </w:r>
      <w:r w:rsidRPr="007404FA">
        <w:rPr>
          <w:rFonts w:ascii="Times New Roman" w:eastAsia="Arial" w:hAnsi="Times New Roman" w:cs="Times New Roman"/>
          <w:sz w:val="24"/>
          <w:szCs w:val="24"/>
        </w:rPr>
        <w:t xml:space="preserve">допуска установяване </w:t>
      </w:r>
      <w:r w:rsidR="00D705A6">
        <w:rPr>
          <w:rFonts w:ascii="Times New Roman" w:eastAsia="Arial" w:hAnsi="Times New Roman" w:cs="Times New Roman"/>
          <w:sz w:val="24"/>
          <w:szCs w:val="24"/>
        </w:rPr>
        <w:t xml:space="preserve">на </w:t>
      </w:r>
      <w:r w:rsidRPr="007404FA">
        <w:rPr>
          <w:rFonts w:ascii="Times New Roman" w:eastAsia="Arial" w:hAnsi="Times New Roman" w:cs="Times New Roman"/>
          <w:sz w:val="24"/>
          <w:szCs w:val="24"/>
        </w:rPr>
        <w:t xml:space="preserve">законосъобразното протичане и преброяване на резултатите от проведени избори като задача от обществен интерес, оправдаваща определена, подчинена на </w:t>
      </w:r>
      <w:r w:rsidR="00D705A6">
        <w:rPr>
          <w:rFonts w:ascii="Times New Roman" w:eastAsia="Arial" w:hAnsi="Times New Roman" w:cs="Times New Roman"/>
          <w:sz w:val="24"/>
          <w:szCs w:val="24"/>
        </w:rPr>
        <w:t>изискването за пропорционалност</w:t>
      </w:r>
      <w:r w:rsidRPr="007404FA">
        <w:rPr>
          <w:rFonts w:ascii="Times New Roman" w:eastAsia="Arial" w:hAnsi="Times New Roman" w:cs="Times New Roman"/>
          <w:sz w:val="24"/>
          <w:szCs w:val="24"/>
        </w:rPr>
        <w:t xml:space="preserve"> намеса по отношение на личните данни на присъстващите в изборните помещения лица, когато същите изпълняват официална, публична, законово регламент</w:t>
      </w:r>
      <w:r w:rsidR="00D705A6">
        <w:rPr>
          <w:rFonts w:ascii="Times New Roman" w:eastAsia="Arial" w:hAnsi="Times New Roman" w:cs="Times New Roman"/>
          <w:sz w:val="24"/>
          <w:szCs w:val="24"/>
        </w:rPr>
        <w:t>ирана функция</w:t>
      </w:r>
      <w:r w:rsidRPr="007404FA">
        <w:rPr>
          <w:rFonts w:ascii="Times New Roman" w:eastAsia="Arial" w:hAnsi="Times New Roman" w:cs="Times New Roman"/>
          <w:sz w:val="24"/>
          <w:szCs w:val="24"/>
        </w:rPr>
        <w:t xml:space="preserve"> именно когато тази функция е публично регламентирана. До приемане на измененията в</w:t>
      </w:r>
      <w:r w:rsidR="00F06583" w:rsidRPr="007404FA">
        <w:rPr>
          <w:rFonts w:ascii="Times New Roman" w:eastAsia="Arial" w:hAnsi="Times New Roman" w:cs="Times New Roman"/>
          <w:sz w:val="24"/>
          <w:szCs w:val="24"/>
        </w:rPr>
        <w:t xml:space="preserve"> чл. </w:t>
      </w:r>
      <w:r w:rsidRPr="007404FA">
        <w:rPr>
          <w:rFonts w:ascii="Times New Roman" w:eastAsia="Arial" w:hAnsi="Times New Roman" w:cs="Times New Roman"/>
          <w:sz w:val="24"/>
          <w:szCs w:val="24"/>
        </w:rPr>
        <w:t xml:space="preserve">272 националният законодател не </w:t>
      </w:r>
      <w:r w:rsidR="00D705A6">
        <w:rPr>
          <w:rFonts w:ascii="Times New Roman" w:eastAsia="Arial" w:hAnsi="Times New Roman" w:cs="Times New Roman"/>
          <w:sz w:val="24"/>
          <w:szCs w:val="24"/>
        </w:rPr>
        <w:t>е</w:t>
      </w:r>
      <w:r w:rsidRPr="007404FA">
        <w:rPr>
          <w:rFonts w:ascii="Times New Roman" w:eastAsia="Arial" w:hAnsi="Times New Roman" w:cs="Times New Roman"/>
          <w:sz w:val="24"/>
          <w:szCs w:val="24"/>
        </w:rPr>
        <w:t xml:space="preserve"> предвидил такава регламентирана функция, като дори и към настоящия момент </w:t>
      </w:r>
      <w:r w:rsidR="00DD381D" w:rsidRPr="007404FA">
        <w:rPr>
          <w:rFonts w:ascii="Times New Roman" w:eastAsia="Arial" w:hAnsi="Times New Roman" w:cs="Times New Roman"/>
          <w:sz w:val="24"/>
          <w:szCs w:val="24"/>
        </w:rPr>
        <w:t xml:space="preserve">Комисията </w:t>
      </w:r>
      <w:r w:rsidRPr="007404FA">
        <w:rPr>
          <w:rFonts w:ascii="Times New Roman" w:eastAsia="Arial" w:hAnsi="Times New Roman" w:cs="Times New Roman"/>
          <w:sz w:val="24"/>
          <w:szCs w:val="24"/>
        </w:rPr>
        <w:t>продължава да твърди, че лицата, които имат възможност да осъществяват обработване на лични данни чрез видеозаснемане</w:t>
      </w:r>
      <w:r w:rsidR="00D705A6">
        <w:rPr>
          <w:rFonts w:ascii="Times New Roman" w:eastAsia="Arial" w:hAnsi="Times New Roman" w:cs="Times New Roman"/>
          <w:sz w:val="24"/>
          <w:szCs w:val="24"/>
        </w:rPr>
        <w:t>,</w:t>
      </w:r>
      <w:r w:rsidRPr="007404FA">
        <w:rPr>
          <w:rFonts w:ascii="Times New Roman" w:eastAsia="Arial" w:hAnsi="Times New Roman" w:cs="Times New Roman"/>
          <w:sz w:val="24"/>
          <w:szCs w:val="24"/>
        </w:rPr>
        <w:t xml:space="preserve"> в този контекст не изпълняват публична функция, а за членовете на СИК, ОИК и РИК е създадена правна фикция, която ги приравнява на публични лица само относно отговорността, която те носят при произвеждане на изборите, съотнесено с високите обществени очаквания за прозрачно и обективно провеждане (тезата е доразвита в отговор на въпрос 6)</w:t>
      </w:r>
      <w:r w:rsidRPr="007404FA">
        <w:rPr>
          <w:rFonts w:ascii="Times New Roman" w:eastAsia="Arial" w:hAnsi="Times New Roman" w:cs="Times New Roman"/>
          <w:b/>
          <w:sz w:val="24"/>
          <w:szCs w:val="24"/>
        </w:rPr>
        <w:t xml:space="preserve">. </w:t>
      </w:r>
      <w:r w:rsidRPr="007404FA">
        <w:rPr>
          <w:rFonts w:ascii="Times New Roman" w:eastAsia="Arial" w:hAnsi="Times New Roman" w:cs="Times New Roman"/>
          <w:sz w:val="24"/>
          <w:szCs w:val="24"/>
        </w:rPr>
        <w:t>В допълнение е подчертано, че самият</w:t>
      </w:r>
      <w:r w:rsidR="00F06583" w:rsidRPr="007404FA">
        <w:rPr>
          <w:rFonts w:ascii="Times New Roman" w:eastAsia="Arial" w:hAnsi="Times New Roman" w:cs="Times New Roman"/>
          <w:sz w:val="24"/>
          <w:szCs w:val="24"/>
        </w:rPr>
        <w:t xml:space="preserve"> чл. </w:t>
      </w:r>
      <w:r w:rsidRPr="007404FA">
        <w:rPr>
          <w:rFonts w:ascii="Times New Roman" w:eastAsia="Arial" w:hAnsi="Times New Roman" w:cs="Times New Roman"/>
          <w:sz w:val="24"/>
          <w:szCs w:val="24"/>
        </w:rPr>
        <w:t xml:space="preserve">272 в новата му редакция има характера на диспозитивна </w:t>
      </w:r>
      <w:r w:rsidR="005B4387" w:rsidRPr="007404FA">
        <w:rPr>
          <w:rFonts w:ascii="Times New Roman" w:eastAsia="Arial" w:hAnsi="Times New Roman" w:cs="Times New Roman"/>
          <w:sz w:val="24"/>
          <w:szCs w:val="24"/>
        </w:rPr>
        <w:t xml:space="preserve">норма </w:t>
      </w:r>
      <w:r w:rsidRPr="007404FA">
        <w:rPr>
          <w:rFonts w:ascii="Times New Roman" w:eastAsia="Arial" w:hAnsi="Times New Roman" w:cs="Times New Roman"/>
          <w:sz w:val="24"/>
          <w:szCs w:val="24"/>
        </w:rPr>
        <w:t>и разясняването на неговото единно прилагане се следва чрез актуализиране на оспорените в главното производство съвместни Указания на ЦИК и КЗЛД.</w:t>
      </w:r>
    </w:p>
    <w:p w:rsidR="00E42714" w:rsidRPr="007404FA" w:rsidRDefault="00E42714" w:rsidP="00DB6B05">
      <w:pPr>
        <w:widowControl w:val="0"/>
        <w:numPr>
          <w:ilvl w:val="0"/>
          <w:numId w:val="11"/>
        </w:numPr>
        <w:tabs>
          <w:tab w:val="left" w:pos="426"/>
          <w:tab w:val="left" w:pos="1134"/>
        </w:tabs>
        <w:spacing w:line="360" w:lineRule="auto"/>
        <w:ind w:firstLine="709"/>
        <w:jc w:val="both"/>
        <w:rPr>
          <w:rFonts w:ascii="Times New Roman" w:eastAsia="Arial" w:hAnsi="Times New Roman" w:cs="Times New Roman"/>
          <w:i/>
          <w:sz w:val="24"/>
          <w:szCs w:val="24"/>
        </w:rPr>
      </w:pPr>
      <w:r w:rsidRPr="007404FA">
        <w:rPr>
          <w:rFonts w:ascii="Times New Roman" w:eastAsia="Arial" w:hAnsi="Times New Roman" w:cs="Times New Roman"/>
          <w:i/>
          <w:sz w:val="24"/>
          <w:szCs w:val="24"/>
        </w:rPr>
        <w:t>При утв</w:t>
      </w:r>
      <w:r w:rsidR="00D705A6">
        <w:rPr>
          <w:rFonts w:ascii="Times New Roman" w:eastAsia="Arial" w:hAnsi="Times New Roman" w:cs="Times New Roman"/>
          <w:i/>
          <w:sz w:val="24"/>
          <w:szCs w:val="24"/>
        </w:rPr>
        <w:t>ърдителен отговор на предходния</w:t>
      </w:r>
      <w:r w:rsidRPr="007404FA">
        <w:rPr>
          <w:rFonts w:ascii="Times New Roman" w:eastAsia="Arial" w:hAnsi="Times New Roman" w:cs="Times New Roman"/>
          <w:i/>
          <w:sz w:val="24"/>
          <w:szCs w:val="24"/>
        </w:rPr>
        <w:t xml:space="preserve"> въпрос</w:t>
      </w:r>
      <w:r w:rsidR="00D705A6">
        <w:rPr>
          <w:rFonts w:ascii="Times New Roman" w:eastAsia="Arial" w:hAnsi="Times New Roman" w:cs="Times New Roman"/>
          <w:i/>
          <w:sz w:val="24"/>
          <w:szCs w:val="24"/>
        </w:rPr>
        <w:t xml:space="preserve"> допуска ли защитата на лич</w:t>
      </w:r>
      <w:r w:rsidRPr="007404FA">
        <w:rPr>
          <w:rFonts w:ascii="Times New Roman" w:eastAsia="Arial" w:hAnsi="Times New Roman" w:cs="Times New Roman"/>
          <w:i/>
          <w:sz w:val="24"/>
          <w:szCs w:val="24"/>
        </w:rPr>
        <w:t>ните данни въвеждането на национална регулаторна забрана за събиране и обработване на лични данни, ограничаваща възможността да се извършват съпътстващи дейности по в</w:t>
      </w:r>
      <w:r w:rsidR="004A0A39" w:rsidRPr="007404FA">
        <w:rPr>
          <w:rFonts w:ascii="Times New Roman" w:eastAsia="Arial" w:hAnsi="Times New Roman" w:cs="Times New Roman"/>
          <w:i/>
          <w:sz w:val="24"/>
          <w:szCs w:val="24"/>
        </w:rPr>
        <w:t>идео</w:t>
      </w:r>
      <w:r w:rsidRPr="007404FA">
        <w:rPr>
          <w:rFonts w:ascii="Times New Roman" w:eastAsia="Arial" w:hAnsi="Times New Roman" w:cs="Times New Roman"/>
          <w:i/>
          <w:sz w:val="24"/>
          <w:szCs w:val="24"/>
        </w:rPr>
        <w:t>заснемане на материали, обекти и предмети, които не съдържат лични данни, когато е налице потенциална възможност в процеса по в</w:t>
      </w:r>
      <w:r w:rsidR="00B55545" w:rsidRPr="007404FA">
        <w:rPr>
          <w:rFonts w:ascii="Times New Roman" w:eastAsia="Arial" w:hAnsi="Times New Roman" w:cs="Times New Roman"/>
          <w:i/>
          <w:sz w:val="24"/>
          <w:szCs w:val="24"/>
        </w:rPr>
        <w:t>иде</w:t>
      </w:r>
      <w:r w:rsidRPr="007404FA">
        <w:rPr>
          <w:rFonts w:ascii="Times New Roman" w:eastAsia="Arial" w:hAnsi="Times New Roman" w:cs="Times New Roman"/>
          <w:i/>
          <w:sz w:val="24"/>
          <w:szCs w:val="24"/>
        </w:rPr>
        <w:t>озаснемане</w:t>
      </w:r>
      <w:r w:rsidR="00D705A6">
        <w:rPr>
          <w:rFonts w:ascii="Times New Roman" w:eastAsia="Arial" w:hAnsi="Times New Roman" w:cs="Times New Roman"/>
          <w:i/>
          <w:sz w:val="24"/>
          <w:szCs w:val="24"/>
        </w:rPr>
        <w:t xml:space="preserve"> да бъдат събрани и лични данни</w:t>
      </w:r>
      <w:r w:rsidRPr="007404FA">
        <w:rPr>
          <w:rFonts w:ascii="Times New Roman" w:eastAsia="Arial" w:hAnsi="Times New Roman" w:cs="Times New Roman"/>
          <w:i/>
          <w:sz w:val="24"/>
          <w:szCs w:val="24"/>
        </w:rPr>
        <w:t xml:space="preserve"> чрез видеозаснемане на присъстващи в помещението лица, изпълняващи дейност в обществен интерес в съответният момент?</w:t>
      </w:r>
    </w:p>
    <w:p w:rsidR="006831DD" w:rsidRPr="007404FA" w:rsidRDefault="00E42714" w:rsidP="00DB6B05">
      <w:pPr>
        <w:widowControl w:val="0"/>
        <w:tabs>
          <w:tab w:val="left" w:pos="426"/>
          <w:tab w:val="left" w:pos="2081"/>
        </w:tabs>
        <w:spacing w:line="360" w:lineRule="auto"/>
        <w:ind w:firstLine="709"/>
        <w:jc w:val="both"/>
        <w:rPr>
          <w:rFonts w:ascii="Times New Roman" w:eastAsia="Arial" w:hAnsi="Times New Roman" w:cs="Times New Roman"/>
          <w:sz w:val="24"/>
          <w:szCs w:val="24"/>
        </w:rPr>
      </w:pPr>
      <w:r w:rsidRPr="007404FA">
        <w:rPr>
          <w:rFonts w:ascii="Times New Roman" w:eastAsia="Arial" w:hAnsi="Times New Roman" w:cs="Times New Roman"/>
          <w:sz w:val="24"/>
          <w:szCs w:val="24"/>
        </w:rPr>
        <w:t>Становището на КЗЛД е, че в отговор на въпрос 6 следва да се отбележи, че лицата, изпълняващи задачи от обществен интерес</w:t>
      </w:r>
      <w:r w:rsidR="00D705A6">
        <w:rPr>
          <w:rFonts w:ascii="Times New Roman" w:eastAsia="Arial" w:hAnsi="Times New Roman" w:cs="Times New Roman"/>
          <w:sz w:val="24"/>
          <w:szCs w:val="24"/>
        </w:rPr>
        <w:t>,</w:t>
      </w:r>
      <w:r w:rsidRPr="007404FA">
        <w:rPr>
          <w:rFonts w:ascii="Times New Roman" w:eastAsia="Arial" w:hAnsi="Times New Roman" w:cs="Times New Roman"/>
          <w:sz w:val="24"/>
          <w:szCs w:val="24"/>
        </w:rPr>
        <w:t xml:space="preserve"> не са тези визирани в националното производство</w:t>
      </w:r>
      <w:r w:rsidR="00D705A6">
        <w:rPr>
          <w:rFonts w:ascii="Times New Roman" w:eastAsia="Arial" w:hAnsi="Times New Roman" w:cs="Times New Roman"/>
          <w:sz w:val="24"/>
          <w:szCs w:val="24"/>
        </w:rPr>
        <w:t>,</w:t>
      </w:r>
      <w:r w:rsidRPr="007404FA">
        <w:rPr>
          <w:rFonts w:ascii="Times New Roman" w:eastAsia="Arial" w:hAnsi="Times New Roman" w:cs="Times New Roman"/>
          <w:sz w:val="24"/>
          <w:szCs w:val="24"/>
        </w:rPr>
        <w:t xml:space="preserve"> довело до запитването</w:t>
      </w:r>
      <w:r w:rsidR="00D705A6">
        <w:rPr>
          <w:rFonts w:ascii="Times New Roman" w:eastAsia="Arial" w:hAnsi="Times New Roman" w:cs="Times New Roman"/>
          <w:sz w:val="24"/>
          <w:szCs w:val="24"/>
        </w:rPr>
        <w:t>,</w:t>
      </w:r>
      <w:r w:rsidRPr="007404FA">
        <w:rPr>
          <w:rFonts w:ascii="Times New Roman" w:eastAsia="Arial" w:hAnsi="Times New Roman" w:cs="Times New Roman"/>
          <w:sz w:val="24"/>
          <w:szCs w:val="24"/>
        </w:rPr>
        <w:t xml:space="preserve"> и не Указанията, а самото законодателство не е предвидило и следователно имплицитно е забранило събирането на лични данни чрез видеозаснемане. За навлизането на държавата, пряко или посредством частни представители, в личната сфера на избирателите или участниците в изборния процес се дължи изрична и конкретна законова регламентация, която не само да гарантира баланс на личния и обществения интерес, но и да предвижда нужните ефективни, ясни и приложими вътрешноправни средства за защита, гарантиращи справедливо обезщетение при всяко потенциално нарушение на права. Същото не може да бъде постигнато чрез приемане на процедурни правила за видеонаблюдение</w:t>
      </w:r>
      <w:r w:rsidR="005A704F">
        <w:rPr>
          <w:rFonts w:ascii="Times New Roman" w:eastAsia="Arial" w:hAnsi="Times New Roman" w:cs="Times New Roman"/>
          <w:sz w:val="24"/>
          <w:szCs w:val="24"/>
        </w:rPr>
        <w:t>,</w:t>
      </w:r>
      <w:r w:rsidRPr="007404FA">
        <w:rPr>
          <w:rFonts w:ascii="Times New Roman" w:eastAsia="Arial" w:hAnsi="Times New Roman" w:cs="Times New Roman"/>
          <w:sz w:val="24"/>
          <w:szCs w:val="24"/>
        </w:rPr>
        <w:t xml:space="preserve"> без в законод</w:t>
      </w:r>
      <w:r w:rsidR="005A704F">
        <w:rPr>
          <w:rFonts w:ascii="Times New Roman" w:eastAsia="Arial" w:hAnsi="Times New Roman" w:cs="Times New Roman"/>
          <w:sz w:val="24"/>
          <w:szCs w:val="24"/>
        </w:rPr>
        <w:t xml:space="preserve">ателството да са предвидени видът, </w:t>
      </w:r>
      <w:r w:rsidR="005A704F">
        <w:rPr>
          <w:rFonts w:ascii="Times New Roman" w:eastAsia="Arial" w:hAnsi="Times New Roman" w:cs="Times New Roman"/>
          <w:sz w:val="24"/>
          <w:szCs w:val="24"/>
        </w:rPr>
        <w:lastRenderedPageBreak/>
        <w:t>обемът</w:t>
      </w:r>
      <w:r w:rsidRPr="007404FA">
        <w:rPr>
          <w:rFonts w:ascii="Times New Roman" w:eastAsia="Arial" w:hAnsi="Times New Roman" w:cs="Times New Roman"/>
          <w:sz w:val="24"/>
          <w:szCs w:val="24"/>
        </w:rPr>
        <w:t xml:space="preserve"> лични данни, подлежащи на обработване чрез видеонаблюдение и разпространение, категориите субекти на лични данни, способите за упражняване на техните права, сроковете за съхранение и правните възможности за административна и съдебна защита.</w:t>
      </w:r>
    </w:p>
    <w:p w:rsidR="00E42714" w:rsidRPr="007404FA" w:rsidRDefault="00E42714" w:rsidP="00DB6B05">
      <w:pPr>
        <w:widowControl w:val="0"/>
        <w:tabs>
          <w:tab w:val="left" w:pos="426"/>
          <w:tab w:val="left" w:pos="2081"/>
        </w:tabs>
        <w:spacing w:line="360" w:lineRule="auto"/>
        <w:ind w:firstLine="709"/>
        <w:jc w:val="both"/>
        <w:rPr>
          <w:rFonts w:ascii="Times New Roman" w:eastAsia="Arial" w:hAnsi="Times New Roman" w:cs="Times New Roman"/>
          <w:sz w:val="24"/>
          <w:szCs w:val="24"/>
        </w:rPr>
      </w:pPr>
      <w:r w:rsidRPr="007404FA">
        <w:rPr>
          <w:rFonts w:ascii="Times New Roman" w:eastAsia="Arial" w:hAnsi="Times New Roman" w:cs="Times New Roman"/>
          <w:sz w:val="24"/>
          <w:szCs w:val="24"/>
        </w:rPr>
        <w:t xml:space="preserve">В своето </w:t>
      </w:r>
      <w:r w:rsidRPr="007404FA">
        <w:rPr>
          <w:rFonts w:ascii="Times New Roman" w:eastAsia="Arial" w:hAnsi="Times New Roman" w:cs="Times New Roman"/>
          <w:b/>
          <w:sz w:val="24"/>
          <w:szCs w:val="24"/>
        </w:rPr>
        <w:t>Решение от 20.10.2022</w:t>
      </w:r>
      <w:r w:rsidR="00F06583" w:rsidRPr="007404FA">
        <w:rPr>
          <w:rFonts w:ascii="Times New Roman" w:eastAsia="Arial" w:hAnsi="Times New Roman" w:cs="Times New Roman"/>
          <w:sz w:val="24"/>
          <w:szCs w:val="24"/>
        </w:rPr>
        <w:t> г.</w:t>
      </w:r>
      <w:r w:rsidRPr="007404FA">
        <w:rPr>
          <w:rFonts w:ascii="Times New Roman" w:eastAsia="Arial" w:hAnsi="Times New Roman" w:cs="Times New Roman"/>
          <w:sz w:val="24"/>
          <w:szCs w:val="24"/>
        </w:rPr>
        <w:t xml:space="preserve"> Съдът на ЕС подчертава, че: „Както Комисията правилно отбелязва в писменото си становище, спорните указания, приети от компетентните български надзорни органи, явно не представляват такова правно основание. Напротив, те, изглежда, представляват мярка за защита на личните данни на лицата, които присъстват в изборните помещения, като ограничават по отношение на представителите на средствата за масово осведомяване</w:t>
      </w:r>
      <w:r w:rsidR="00157B49">
        <w:rPr>
          <w:rFonts w:ascii="Times New Roman" w:eastAsia="Arial" w:hAnsi="Times New Roman" w:cs="Times New Roman"/>
          <w:sz w:val="24"/>
          <w:szCs w:val="24"/>
        </w:rPr>
        <w:t xml:space="preserve"> </w:t>
      </w:r>
      <w:r w:rsidRPr="007404FA">
        <w:rPr>
          <w:rFonts w:ascii="Times New Roman" w:eastAsia="Arial" w:hAnsi="Times New Roman" w:cs="Times New Roman"/>
          <w:sz w:val="24"/>
          <w:szCs w:val="24"/>
        </w:rPr>
        <w:t>и като забраняват по отношение на останалите лица, които присъстват в изборните помещения, обработването на такива данни чрез видеозаснемане по време на конкретен етап от изборния процес, а именно при преброяване на изборните резултати“</w:t>
      </w:r>
      <w:r w:rsidR="005A704F">
        <w:rPr>
          <w:rFonts w:ascii="Times New Roman" w:eastAsia="Arial" w:hAnsi="Times New Roman" w:cs="Times New Roman"/>
          <w:sz w:val="24"/>
          <w:szCs w:val="24"/>
        </w:rPr>
        <w:t>.</w:t>
      </w:r>
    </w:p>
    <w:p w:rsidR="00E42714" w:rsidRPr="007404FA" w:rsidRDefault="00E42714" w:rsidP="00DB6B05">
      <w:pPr>
        <w:widowControl w:val="0"/>
        <w:tabs>
          <w:tab w:val="left" w:pos="426"/>
          <w:tab w:val="left" w:pos="2081"/>
        </w:tabs>
        <w:spacing w:line="360" w:lineRule="auto"/>
        <w:ind w:firstLine="709"/>
        <w:jc w:val="both"/>
        <w:rPr>
          <w:rFonts w:ascii="Times New Roman" w:eastAsia="Arial" w:hAnsi="Times New Roman" w:cs="Times New Roman"/>
          <w:b/>
          <w:sz w:val="24"/>
          <w:szCs w:val="24"/>
        </w:rPr>
      </w:pPr>
      <w:r w:rsidRPr="007404FA">
        <w:rPr>
          <w:rFonts w:ascii="Times New Roman" w:eastAsia="Arial" w:hAnsi="Times New Roman" w:cs="Times New Roman"/>
          <w:sz w:val="24"/>
          <w:szCs w:val="24"/>
        </w:rPr>
        <w:t xml:space="preserve">По подробно изложени съображения СЕС приема, че в съответствие с посочения в член 5, </w:t>
      </w:r>
      <w:r w:rsidR="005A704F">
        <w:rPr>
          <w:rFonts w:ascii="Times New Roman" w:eastAsia="Arial" w:hAnsi="Times New Roman" w:cs="Times New Roman"/>
          <w:sz w:val="24"/>
          <w:szCs w:val="24"/>
        </w:rPr>
        <w:t>§</w:t>
      </w:r>
      <w:r w:rsidRPr="007404FA">
        <w:rPr>
          <w:rFonts w:ascii="Times New Roman" w:eastAsia="Arial" w:hAnsi="Times New Roman" w:cs="Times New Roman"/>
          <w:sz w:val="24"/>
          <w:szCs w:val="24"/>
        </w:rPr>
        <w:t xml:space="preserve">1, буква </w:t>
      </w:r>
      <w:r w:rsidR="005A704F">
        <w:rPr>
          <w:rFonts w:ascii="Times New Roman" w:eastAsia="Arial" w:hAnsi="Times New Roman" w:cs="Times New Roman"/>
          <w:sz w:val="24"/>
          <w:szCs w:val="24"/>
        </w:rPr>
        <w:t>„</w:t>
      </w:r>
      <w:r w:rsidRPr="007404FA">
        <w:rPr>
          <w:rFonts w:ascii="Times New Roman" w:eastAsia="Arial" w:hAnsi="Times New Roman" w:cs="Times New Roman"/>
          <w:sz w:val="24"/>
          <w:szCs w:val="24"/>
        </w:rPr>
        <w:t>в</w:t>
      </w:r>
      <w:r w:rsidR="005A704F">
        <w:rPr>
          <w:rFonts w:ascii="Times New Roman" w:eastAsia="Arial" w:hAnsi="Times New Roman" w:cs="Times New Roman"/>
          <w:sz w:val="24"/>
          <w:szCs w:val="24"/>
        </w:rPr>
        <w:t>“</w:t>
      </w:r>
      <w:r w:rsidRPr="007404FA">
        <w:rPr>
          <w:rFonts w:ascii="Times New Roman" w:eastAsia="Arial" w:hAnsi="Times New Roman" w:cs="Times New Roman"/>
          <w:sz w:val="24"/>
          <w:szCs w:val="24"/>
        </w:rPr>
        <w:t xml:space="preserve"> от ОРЗД принцип на свеждане на данните до минимум, предназначението на спорните указания е да сведат до минимум пречката пред правото на защита на личните данни, която се поражда от видеозаснемането на изборния процес. Съдът подчертава, че е важно също така да се припомни, че държавите членки могат да предвиждат изключения и дерогации от определени разпоредби от ОРЗД, за да съгласуват правото на защита на личните данни със свободата на изразя</w:t>
      </w:r>
      <w:r w:rsidR="001A27A8">
        <w:rPr>
          <w:rFonts w:ascii="Times New Roman" w:eastAsia="Arial" w:hAnsi="Times New Roman" w:cs="Times New Roman"/>
          <w:sz w:val="24"/>
          <w:szCs w:val="24"/>
        </w:rPr>
        <w:t>ване и информация. В заключение</w:t>
      </w:r>
      <w:r w:rsidRPr="007404FA">
        <w:rPr>
          <w:rFonts w:ascii="Times New Roman" w:eastAsia="Arial" w:hAnsi="Times New Roman" w:cs="Times New Roman"/>
          <w:sz w:val="24"/>
          <w:szCs w:val="24"/>
        </w:rPr>
        <w:t xml:space="preserve"> Съдът приема, че на въпроси от трети до шести следва да се отговори, че член 6, </w:t>
      </w:r>
      <w:r w:rsidR="001A27A8">
        <w:rPr>
          <w:rFonts w:ascii="Times New Roman" w:eastAsia="Arial" w:hAnsi="Times New Roman" w:cs="Times New Roman"/>
          <w:sz w:val="24"/>
          <w:szCs w:val="24"/>
        </w:rPr>
        <w:t>§</w:t>
      </w:r>
      <w:r w:rsidRPr="007404FA">
        <w:rPr>
          <w:rFonts w:ascii="Times New Roman" w:eastAsia="Arial" w:hAnsi="Times New Roman" w:cs="Times New Roman"/>
          <w:sz w:val="24"/>
          <w:szCs w:val="24"/>
        </w:rPr>
        <w:t xml:space="preserve">1, буква </w:t>
      </w:r>
      <w:r w:rsidR="001A27A8">
        <w:rPr>
          <w:rFonts w:ascii="Times New Roman" w:eastAsia="Arial" w:hAnsi="Times New Roman" w:cs="Times New Roman"/>
          <w:sz w:val="24"/>
          <w:szCs w:val="24"/>
        </w:rPr>
        <w:t>„</w:t>
      </w:r>
      <w:r w:rsidRPr="007404FA">
        <w:rPr>
          <w:rFonts w:ascii="Times New Roman" w:eastAsia="Arial" w:hAnsi="Times New Roman" w:cs="Times New Roman"/>
          <w:sz w:val="24"/>
          <w:szCs w:val="24"/>
        </w:rPr>
        <w:t>д</w:t>
      </w:r>
      <w:r w:rsidR="001A27A8">
        <w:rPr>
          <w:rFonts w:ascii="Times New Roman" w:eastAsia="Arial" w:hAnsi="Times New Roman" w:cs="Times New Roman"/>
          <w:sz w:val="24"/>
          <w:szCs w:val="24"/>
        </w:rPr>
        <w:t>“</w:t>
      </w:r>
      <w:r w:rsidRPr="007404FA">
        <w:rPr>
          <w:rFonts w:ascii="Times New Roman" w:eastAsia="Arial" w:hAnsi="Times New Roman" w:cs="Times New Roman"/>
          <w:sz w:val="24"/>
          <w:szCs w:val="24"/>
        </w:rPr>
        <w:t xml:space="preserve"> и член 58 от ОРЗД трябва да се тълкуват в смисъл, че </w:t>
      </w:r>
      <w:r w:rsidRPr="007404FA">
        <w:rPr>
          <w:rFonts w:ascii="Times New Roman" w:eastAsia="Arial" w:hAnsi="Times New Roman" w:cs="Times New Roman"/>
          <w:b/>
          <w:sz w:val="24"/>
          <w:szCs w:val="24"/>
        </w:rPr>
        <w:t>допускат компетентните органи на дадена държава членка да приемат административен акт с общо приложение, с който се ограничава или евентуално се забранява видеозаснемането при преброяване на изборните резултати в изборните помещения по време на избори в тази държава членка.</w:t>
      </w:r>
    </w:p>
    <w:p w:rsidR="0025257E" w:rsidRPr="007404FA" w:rsidRDefault="0025257E" w:rsidP="00DB6B05">
      <w:pPr>
        <w:widowControl w:val="0"/>
        <w:tabs>
          <w:tab w:val="left" w:pos="426"/>
          <w:tab w:val="left" w:pos="2081"/>
        </w:tabs>
        <w:spacing w:line="360" w:lineRule="auto"/>
        <w:ind w:firstLine="709"/>
        <w:jc w:val="both"/>
        <w:rPr>
          <w:rFonts w:ascii="Times New Roman" w:eastAsia="Arial" w:hAnsi="Times New Roman" w:cs="Times New Roman"/>
          <w:sz w:val="24"/>
          <w:szCs w:val="24"/>
        </w:rPr>
      </w:pPr>
    </w:p>
    <w:p w:rsidR="0025257E" w:rsidRPr="007404FA" w:rsidRDefault="003C3BB0" w:rsidP="00DB6B05">
      <w:pPr>
        <w:widowControl w:val="0"/>
        <w:tabs>
          <w:tab w:val="left" w:pos="426"/>
          <w:tab w:val="left" w:pos="2081"/>
        </w:tabs>
        <w:spacing w:line="360" w:lineRule="auto"/>
        <w:ind w:firstLine="709"/>
        <w:jc w:val="both"/>
        <w:rPr>
          <w:rFonts w:ascii="Times New Roman" w:eastAsia="Arial" w:hAnsi="Times New Roman" w:cs="Times New Roman"/>
          <w:b/>
          <w:sz w:val="24"/>
          <w:szCs w:val="24"/>
        </w:rPr>
      </w:pPr>
      <w:r w:rsidRPr="007404FA">
        <w:rPr>
          <w:rFonts w:ascii="Times New Roman" w:eastAsia="Arial" w:hAnsi="Times New Roman" w:cs="Times New Roman"/>
          <w:b/>
          <w:sz w:val="24"/>
          <w:szCs w:val="24"/>
        </w:rPr>
        <w:t xml:space="preserve">1.2. </w:t>
      </w:r>
      <w:r w:rsidR="00710EAE" w:rsidRPr="007404FA">
        <w:rPr>
          <w:rFonts w:ascii="Times New Roman" w:eastAsia="Arial" w:hAnsi="Times New Roman" w:cs="Times New Roman"/>
          <w:b/>
          <w:sz w:val="24"/>
          <w:szCs w:val="24"/>
        </w:rPr>
        <w:t xml:space="preserve">Изразени </w:t>
      </w:r>
      <w:r w:rsidR="00DF35FF" w:rsidRPr="007404FA">
        <w:rPr>
          <w:rFonts w:ascii="Times New Roman" w:eastAsia="Arial" w:hAnsi="Times New Roman" w:cs="Times New Roman"/>
          <w:b/>
          <w:sz w:val="24"/>
          <w:szCs w:val="24"/>
        </w:rPr>
        <w:t>с</w:t>
      </w:r>
      <w:r w:rsidR="00710EAE" w:rsidRPr="007404FA">
        <w:rPr>
          <w:rFonts w:ascii="Times New Roman" w:eastAsia="Arial" w:hAnsi="Times New Roman" w:cs="Times New Roman"/>
          <w:b/>
          <w:sz w:val="24"/>
          <w:szCs w:val="24"/>
        </w:rPr>
        <w:t>тановища</w:t>
      </w:r>
      <w:r w:rsidR="001A27A8">
        <w:rPr>
          <w:rFonts w:ascii="Times New Roman" w:eastAsia="Arial" w:hAnsi="Times New Roman" w:cs="Times New Roman"/>
          <w:b/>
          <w:sz w:val="24"/>
          <w:szCs w:val="24"/>
        </w:rPr>
        <w:t>.</w:t>
      </w:r>
    </w:p>
    <w:p w:rsidR="00E42714" w:rsidRPr="007404FA" w:rsidRDefault="00E42714"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 xml:space="preserve">През 2022 </w:t>
      </w:r>
      <w:r w:rsidR="001A27A8">
        <w:rPr>
          <w:rFonts w:ascii="Times New Roman" w:eastAsia="Times New Roman" w:hAnsi="Times New Roman" w:cs="Times New Roman"/>
          <w:sz w:val="24"/>
          <w:szCs w:val="24"/>
        </w:rPr>
        <w:t>г.</w:t>
      </w:r>
      <w:r w:rsidRPr="007404FA">
        <w:rPr>
          <w:rFonts w:ascii="Times New Roman" w:eastAsia="Times New Roman" w:hAnsi="Times New Roman" w:cs="Times New Roman"/>
          <w:sz w:val="24"/>
          <w:szCs w:val="24"/>
        </w:rPr>
        <w:t xml:space="preserve"> КЗЛД изразява и 2</w:t>
      </w:r>
      <w:r w:rsidR="00ED2722" w:rsidRPr="007404FA">
        <w:rPr>
          <w:rFonts w:ascii="Times New Roman" w:eastAsia="Times New Roman" w:hAnsi="Times New Roman" w:cs="Times New Roman"/>
          <w:sz w:val="24"/>
          <w:szCs w:val="24"/>
        </w:rPr>
        <w:t>2</w:t>
      </w:r>
      <w:r w:rsidRPr="007404FA">
        <w:rPr>
          <w:rFonts w:ascii="Times New Roman" w:eastAsia="Times New Roman" w:hAnsi="Times New Roman" w:cs="Times New Roman"/>
          <w:sz w:val="24"/>
          <w:szCs w:val="24"/>
        </w:rPr>
        <w:t xml:space="preserve"> становища по различни казуси, поставени за разглеждане както от публични органи, така и от физически и юридически лица. Наред с това </w:t>
      </w:r>
      <w:r w:rsidR="002A594A" w:rsidRPr="007404FA">
        <w:rPr>
          <w:rFonts w:ascii="Times New Roman" w:eastAsia="Times New Roman" w:hAnsi="Times New Roman" w:cs="Times New Roman"/>
          <w:sz w:val="24"/>
          <w:szCs w:val="24"/>
        </w:rPr>
        <w:t>са</w:t>
      </w:r>
      <w:r w:rsidRPr="007404FA">
        <w:rPr>
          <w:rFonts w:ascii="Times New Roman" w:eastAsia="Times New Roman" w:hAnsi="Times New Roman" w:cs="Times New Roman"/>
          <w:sz w:val="24"/>
          <w:szCs w:val="24"/>
        </w:rPr>
        <w:t xml:space="preserve"> изразени 4 становища по съгласувателни процедури по реда на Устройствения правилник на Министерския съвет и неговата администрация и 6 становища по законопроекти, предложени за разглеждане в Народното събрание.</w:t>
      </w:r>
    </w:p>
    <w:p w:rsidR="00E42714" w:rsidRPr="007404FA" w:rsidRDefault="00E42714"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 xml:space="preserve">По-малкият брой искания през годината се свързва с повишаване на осведомеността, както и с постепенното отпадане на предизвикателствата, свързани с обработването на специални категории данни в контекста на пандемията от COVID-19. От друга страна, </w:t>
      </w:r>
      <w:r w:rsidR="00F816C1" w:rsidRPr="007404FA">
        <w:rPr>
          <w:rFonts w:ascii="Times New Roman" w:eastAsia="Times New Roman" w:hAnsi="Times New Roman" w:cs="Times New Roman"/>
          <w:sz w:val="24"/>
          <w:szCs w:val="24"/>
        </w:rPr>
        <w:lastRenderedPageBreak/>
        <w:t xml:space="preserve">следва да се има предвид, че </w:t>
      </w:r>
      <w:r w:rsidRPr="007404FA">
        <w:rPr>
          <w:rFonts w:ascii="Times New Roman" w:eastAsia="Times New Roman" w:hAnsi="Times New Roman" w:cs="Times New Roman"/>
          <w:sz w:val="24"/>
          <w:szCs w:val="24"/>
        </w:rPr>
        <w:t>постъпилите казуси са с по-голяма фактическа и правна сложност.</w:t>
      </w:r>
    </w:p>
    <w:p w:rsidR="00E42714" w:rsidRPr="007404FA" w:rsidRDefault="00015E9F"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През 2022</w:t>
      </w:r>
      <w:r w:rsidR="00F06583" w:rsidRPr="007404FA">
        <w:rPr>
          <w:rFonts w:ascii="Times New Roman" w:eastAsia="Times New Roman" w:hAnsi="Times New Roman" w:cs="Times New Roman"/>
          <w:sz w:val="24"/>
          <w:szCs w:val="24"/>
        </w:rPr>
        <w:t> г.</w:t>
      </w:r>
      <w:r w:rsidRPr="007404FA">
        <w:rPr>
          <w:rFonts w:ascii="Times New Roman" w:eastAsia="Times New Roman" w:hAnsi="Times New Roman" w:cs="Times New Roman"/>
          <w:sz w:val="24"/>
          <w:szCs w:val="24"/>
        </w:rPr>
        <w:t xml:space="preserve"> </w:t>
      </w:r>
      <w:r w:rsidR="00E42714" w:rsidRPr="007404FA">
        <w:rPr>
          <w:rFonts w:ascii="Times New Roman" w:eastAsia="Times New Roman" w:hAnsi="Times New Roman" w:cs="Times New Roman"/>
          <w:sz w:val="24"/>
          <w:szCs w:val="24"/>
        </w:rPr>
        <w:t xml:space="preserve">Комисията за защита на личните данни </w:t>
      </w:r>
      <w:r w:rsidRPr="007404FA">
        <w:rPr>
          <w:rFonts w:ascii="Times New Roman" w:eastAsia="Times New Roman" w:hAnsi="Times New Roman" w:cs="Times New Roman"/>
          <w:sz w:val="24"/>
          <w:szCs w:val="24"/>
        </w:rPr>
        <w:t>се произнася по</w:t>
      </w:r>
      <w:r w:rsidR="00E42714" w:rsidRPr="007404FA">
        <w:rPr>
          <w:rFonts w:ascii="Times New Roman" w:eastAsia="Times New Roman" w:hAnsi="Times New Roman" w:cs="Times New Roman"/>
          <w:sz w:val="24"/>
          <w:szCs w:val="24"/>
        </w:rPr>
        <w:t xml:space="preserve"> искане от председателя на Комисията за защита на потребителите (КЗП), съдържащо молба за изразяване на становище и указания по въпроси, свързани със защитата на личните данни на физическите лица при извършване на видеонаблюдение. При извършване на вътреш</w:t>
      </w:r>
      <w:r w:rsidR="001A27A8">
        <w:rPr>
          <w:rFonts w:ascii="Times New Roman" w:eastAsia="Times New Roman" w:hAnsi="Times New Roman" w:cs="Times New Roman"/>
          <w:sz w:val="24"/>
          <w:szCs w:val="24"/>
        </w:rPr>
        <w:t>но</w:t>
      </w:r>
      <w:r w:rsidR="00E42714" w:rsidRPr="007404FA">
        <w:rPr>
          <w:rFonts w:ascii="Times New Roman" w:eastAsia="Times New Roman" w:hAnsi="Times New Roman" w:cs="Times New Roman"/>
          <w:sz w:val="24"/>
          <w:szCs w:val="24"/>
        </w:rPr>
        <w:t>ведомствена проверка по негова заповед в работни помещения на КЗП Районна дирекция</w:t>
      </w:r>
      <w:r w:rsidR="00553661" w:rsidRPr="007404FA">
        <w:rPr>
          <w:rFonts w:ascii="Times New Roman" w:eastAsia="Times New Roman" w:hAnsi="Times New Roman" w:cs="Times New Roman"/>
          <w:sz w:val="24"/>
          <w:szCs w:val="24"/>
        </w:rPr>
        <w:t xml:space="preserve"> – </w:t>
      </w:r>
      <w:r w:rsidR="00E42714" w:rsidRPr="007404FA">
        <w:rPr>
          <w:rFonts w:ascii="Times New Roman" w:eastAsia="Times New Roman" w:hAnsi="Times New Roman" w:cs="Times New Roman"/>
          <w:sz w:val="24"/>
          <w:szCs w:val="24"/>
        </w:rPr>
        <w:t>Русе</w:t>
      </w:r>
      <w:r w:rsidR="001A27A8">
        <w:rPr>
          <w:rFonts w:ascii="Times New Roman" w:eastAsia="Times New Roman" w:hAnsi="Times New Roman" w:cs="Times New Roman"/>
          <w:sz w:val="24"/>
          <w:szCs w:val="24"/>
        </w:rPr>
        <w:t>,</w:t>
      </w:r>
      <w:r w:rsidR="00E42714" w:rsidRPr="007404FA">
        <w:rPr>
          <w:rFonts w:ascii="Times New Roman" w:eastAsia="Times New Roman" w:hAnsi="Times New Roman" w:cs="Times New Roman"/>
          <w:sz w:val="24"/>
          <w:szCs w:val="24"/>
        </w:rPr>
        <w:t xml:space="preserve"> </w:t>
      </w:r>
      <w:r w:rsidR="001A27A8">
        <w:rPr>
          <w:rFonts w:ascii="Times New Roman" w:eastAsia="Times New Roman" w:hAnsi="Times New Roman" w:cs="Times New Roman"/>
          <w:sz w:val="24"/>
          <w:szCs w:val="24"/>
        </w:rPr>
        <w:t>е открита</w:t>
      </w:r>
      <w:r w:rsidR="00E42714" w:rsidRPr="007404FA">
        <w:rPr>
          <w:rFonts w:ascii="Times New Roman" w:eastAsia="Times New Roman" w:hAnsi="Times New Roman" w:cs="Times New Roman"/>
          <w:sz w:val="24"/>
          <w:szCs w:val="24"/>
        </w:rPr>
        <w:t xml:space="preserve"> работ</w:t>
      </w:r>
      <w:r w:rsidR="001A27A8">
        <w:rPr>
          <w:rFonts w:ascii="Times New Roman" w:eastAsia="Times New Roman" w:hAnsi="Times New Roman" w:cs="Times New Roman"/>
          <w:sz w:val="24"/>
          <w:szCs w:val="24"/>
        </w:rPr>
        <w:t>еща Wi-Fi камера, както и видео</w:t>
      </w:r>
      <w:r w:rsidR="00E42714" w:rsidRPr="007404FA">
        <w:rPr>
          <w:rFonts w:ascii="Times New Roman" w:eastAsia="Times New Roman" w:hAnsi="Times New Roman" w:cs="Times New Roman"/>
          <w:sz w:val="24"/>
          <w:szCs w:val="24"/>
        </w:rPr>
        <w:t>рекордер DVR, към който са свързани 5 камери и още 2 устройства, наподобяващи устройство за запис на звук и датчик за отчитане на движение. Към DVR-а е включен кабел към мрежово устройство за връзка с интернет. Видеонаблюдение е налично и в стаята на регионалния директор. В искането се твърди, че намерените устройства не са закупени и заведени в инвентарната книга като вещи на КЗП, не са собственост на КЗП; не са инсталирани по разпореждане на ръководството на КЗП за видеонаблюдение по смисъла на вътрешните правила, не е искано разрешение, нито ръководството е било уведомено преди монтирането им; няма документи, удостоверяващи кога и как са инсталирани устройствата, откога работят, има ли записи, как се съхраняват тези записи и колко време се пазят; на КЗП не е известно какви лични данни са събирани, за какъв период от време, как са съхранявани, как са обработвани, каква е целта на събирането им; не е</w:t>
      </w:r>
      <w:r w:rsidR="00157B49">
        <w:rPr>
          <w:rFonts w:ascii="Times New Roman" w:eastAsia="Times New Roman" w:hAnsi="Times New Roman" w:cs="Times New Roman"/>
          <w:sz w:val="24"/>
          <w:szCs w:val="24"/>
        </w:rPr>
        <w:t xml:space="preserve"> </w:t>
      </w:r>
      <w:r w:rsidR="00E42714" w:rsidRPr="007404FA">
        <w:rPr>
          <w:rFonts w:ascii="Times New Roman" w:eastAsia="Times New Roman" w:hAnsi="Times New Roman" w:cs="Times New Roman"/>
          <w:sz w:val="24"/>
          <w:szCs w:val="24"/>
        </w:rPr>
        <w:t>установено да е разпореждано и възлагано на служител в РД</w:t>
      </w:r>
      <w:r w:rsidR="001A27A8">
        <w:rPr>
          <w:rFonts w:ascii="Times New Roman" w:eastAsia="Times New Roman" w:hAnsi="Times New Roman" w:cs="Times New Roman"/>
          <w:sz w:val="24"/>
          <w:szCs w:val="24"/>
        </w:rPr>
        <w:t xml:space="preserve"> – </w:t>
      </w:r>
      <w:r w:rsidR="00E42714" w:rsidRPr="007404FA">
        <w:rPr>
          <w:rFonts w:ascii="Times New Roman" w:eastAsia="Times New Roman" w:hAnsi="Times New Roman" w:cs="Times New Roman"/>
          <w:sz w:val="24"/>
          <w:szCs w:val="24"/>
        </w:rPr>
        <w:t>Русе</w:t>
      </w:r>
      <w:r w:rsidR="001A27A8">
        <w:rPr>
          <w:rFonts w:ascii="Times New Roman" w:eastAsia="Times New Roman" w:hAnsi="Times New Roman" w:cs="Times New Roman"/>
          <w:sz w:val="24"/>
          <w:szCs w:val="24"/>
        </w:rPr>
        <w:t>,</w:t>
      </w:r>
      <w:r w:rsidR="00E42714" w:rsidRPr="007404FA">
        <w:rPr>
          <w:rFonts w:ascii="Times New Roman" w:eastAsia="Times New Roman" w:hAnsi="Times New Roman" w:cs="Times New Roman"/>
          <w:sz w:val="24"/>
          <w:szCs w:val="24"/>
        </w:rPr>
        <w:t xml:space="preserve"> да обработва записите от виде</w:t>
      </w:r>
      <w:r w:rsidR="001A27A8">
        <w:rPr>
          <w:rFonts w:ascii="Times New Roman" w:eastAsia="Times New Roman" w:hAnsi="Times New Roman" w:cs="Times New Roman"/>
          <w:sz w:val="24"/>
          <w:szCs w:val="24"/>
        </w:rPr>
        <w:t>о</w:t>
      </w:r>
      <w:r w:rsidR="00E42714" w:rsidRPr="007404FA">
        <w:rPr>
          <w:rFonts w:ascii="Times New Roman" w:eastAsia="Times New Roman" w:hAnsi="Times New Roman" w:cs="Times New Roman"/>
          <w:sz w:val="24"/>
          <w:szCs w:val="24"/>
        </w:rPr>
        <w:t>наблюдение.</w:t>
      </w:r>
    </w:p>
    <w:p w:rsidR="00E42714" w:rsidRPr="007404FA" w:rsidRDefault="00E42714"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 xml:space="preserve">С мотивите на изразеното от КЗЛД становище подробно се изясняват приложимите правила при извършване на видеонаблюдение, </w:t>
      </w:r>
      <w:r w:rsidR="001A27A8">
        <w:rPr>
          <w:rFonts w:ascii="Times New Roman" w:eastAsia="Times New Roman" w:hAnsi="Times New Roman" w:cs="Times New Roman"/>
          <w:sz w:val="24"/>
          <w:szCs w:val="24"/>
        </w:rPr>
        <w:t>включително в трудово</w:t>
      </w:r>
      <w:r w:rsidRPr="007404FA">
        <w:rPr>
          <w:rFonts w:ascii="Times New Roman" w:eastAsia="Times New Roman" w:hAnsi="Times New Roman" w:cs="Times New Roman"/>
          <w:sz w:val="24"/>
          <w:szCs w:val="24"/>
        </w:rPr>
        <w:t>правен контекст</w:t>
      </w:r>
      <w:r w:rsidR="001A27A8">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xml:space="preserve"> и в диспозитива КЗЛД указва на КЗП, че извършваното в офисите на РД</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Русе</w:t>
      </w:r>
      <w:r w:rsidR="001A27A8">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xml:space="preserve"> на КЗП е незаконосъобразно, като администраторът на лични данни</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КЗП, следва да предприеме мерки за извършване на вътрешно разследване с цел установяване чия е отговорността за неспазване на въведените правила относно видеонаблюдението в помещенията, които ползва. Мерките са част от действията по управление на държавния орган. Относно откритата техника в офисите на РД</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Русе</w:t>
      </w:r>
      <w:r w:rsidR="001A27A8">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xml:space="preserve"> на КЗП</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видеокамери</w:t>
      </w:r>
      <w:r w:rsidR="001A27A8">
        <w:rPr>
          <w:rFonts w:ascii="Times New Roman" w:eastAsia="Times New Roman" w:hAnsi="Times New Roman" w:cs="Times New Roman"/>
          <w:sz w:val="24"/>
          <w:szCs w:val="24"/>
        </w:rPr>
        <w:t>, видео</w:t>
      </w:r>
      <w:r w:rsidRPr="007404FA">
        <w:rPr>
          <w:rFonts w:ascii="Times New Roman" w:eastAsia="Times New Roman" w:hAnsi="Times New Roman" w:cs="Times New Roman"/>
          <w:sz w:val="24"/>
          <w:szCs w:val="24"/>
        </w:rPr>
        <w:t>рекордер DVR, устройства за запис на звук, същите следва да бъдат деинсталирани, а евентуално направените записи да бъдат изтрити на основание</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17 от Регламент (ЕС) 2016/679.</w:t>
      </w:r>
      <w:r w:rsidR="00157B49">
        <w:rPr>
          <w:rFonts w:ascii="Times New Roman" w:eastAsia="Times New Roman" w:hAnsi="Times New Roman" w:cs="Times New Roman"/>
          <w:sz w:val="24"/>
          <w:szCs w:val="24"/>
        </w:rPr>
        <w:t xml:space="preserve"> </w:t>
      </w:r>
    </w:p>
    <w:p w:rsidR="00E42714" w:rsidRPr="007404FA" w:rsidRDefault="00E42714"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 xml:space="preserve">През </w:t>
      </w:r>
      <w:r w:rsidR="007C395D" w:rsidRPr="007404FA">
        <w:rPr>
          <w:rFonts w:ascii="Times New Roman" w:eastAsia="Times New Roman" w:hAnsi="Times New Roman" w:cs="Times New Roman"/>
          <w:sz w:val="24"/>
          <w:szCs w:val="24"/>
        </w:rPr>
        <w:t>отчетния период</w:t>
      </w:r>
      <w:r w:rsidRPr="007404FA">
        <w:rPr>
          <w:rFonts w:ascii="Times New Roman" w:eastAsia="Times New Roman" w:hAnsi="Times New Roman" w:cs="Times New Roman"/>
          <w:sz w:val="24"/>
          <w:szCs w:val="24"/>
        </w:rPr>
        <w:t xml:space="preserve"> КЗЛД </w:t>
      </w:r>
      <w:r w:rsidR="007C395D" w:rsidRPr="007404FA">
        <w:rPr>
          <w:rFonts w:ascii="Times New Roman" w:eastAsia="Times New Roman" w:hAnsi="Times New Roman" w:cs="Times New Roman"/>
          <w:sz w:val="24"/>
          <w:szCs w:val="24"/>
        </w:rPr>
        <w:t xml:space="preserve">е разгледала </w:t>
      </w:r>
      <w:r w:rsidRPr="007404FA">
        <w:rPr>
          <w:rFonts w:ascii="Times New Roman" w:eastAsia="Times New Roman" w:hAnsi="Times New Roman" w:cs="Times New Roman"/>
          <w:sz w:val="24"/>
          <w:szCs w:val="24"/>
        </w:rPr>
        <w:t xml:space="preserve">и искане на кмета на </w:t>
      </w:r>
      <w:r w:rsidR="001A27A8">
        <w:rPr>
          <w:rFonts w:ascii="Times New Roman" w:eastAsia="Times New Roman" w:hAnsi="Times New Roman" w:cs="Times New Roman"/>
          <w:sz w:val="24"/>
          <w:szCs w:val="24"/>
        </w:rPr>
        <w:t>о</w:t>
      </w:r>
      <w:r w:rsidRPr="007404FA">
        <w:rPr>
          <w:rFonts w:ascii="Times New Roman" w:eastAsia="Times New Roman" w:hAnsi="Times New Roman" w:cs="Times New Roman"/>
          <w:sz w:val="24"/>
          <w:szCs w:val="24"/>
        </w:rPr>
        <w:t xml:space="preserve">бщина Смолян, с което се отправя молба за изразяване на становище по допустимостта на искане от органите на МВР за предоставяне на постоянен достъп до изградената и поддържана от </w:t>
      </w:r>
      <w:r w:rsidR="001A27A8">
        <w:rPr>
          <w:rFonts w:ascii="Times New Roman" w:eastAsia="Times New Roman" w:hAnsi="Times New Roman" w:cs="Times New Roman"/>
          <w:sz w:val="24"/>
          <w:szCs w:val="24"/>
        </w:rPr>
        <w:t>о</w:t>
      </w:r>
      <w:r w:rsidRPr="007404FA">
        <w:rPr>
          <w:rFonts w:ascii="Times New Roman" w:eastAsia="Times New Roman" w:hAnsi="Times New Roman" w:cs="Times New Roman"/>
          <w:sz w:val="24"/>
          <w:szCs w:val="24"/>
        </w:rPr>
        <w:t>бщината система за видеонаблюдение.</w:t>
      </w:r>
    </w:p>
    <w:p w:rsidR="00E42714" w:rsidRPr="007404FA" w:rsidRDefault="00E42714"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lastRenderedPageBreak/>
        <w:t xml:space="preserve">Поводът на искането е постъпило в </w:t>
      </w:r>
      <w:r w:rsidR="001A27A8">
        <w:rPr>
          <w:rFonts w:ascii="Times New Roman" w:eastAsia="Times New Roman" w:hAnsi="Times New Roman" w:cs="Times New Roman"/>
          <w:sz w:val="24"/>
          <w:szCs w:val="24"/>
        </w:rPr>
        <w:t>о</w:t>
      </w:r>
      <w:r w:rsidRPr="007404FA">
        <w:rPr>
          <w:rFonts w:ascii="Times New Roman" w:eastAsia="Times New Roman" w:hAnsi="Times New Roman" w:cs="Times New Roman"/>
          <w:sz w:val="24"/>
          <w:szCs w:val="24"/>
        </w:rPr>
        <w:t>бщината писмо от началника на РУ</w:t>
      </w:r>
      <w:r w:rsidR="00E06D6E">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Смолян</w:t>
      </w:r>
      <w:r w:rsidR="001A27A8">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xml:space="preserve"> към ОДМВР</w:t>
      </w:r>
      <w:r w:rsidR="00E06D6E">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 xml:space="preserve">Смолян, с което се иска да осигури достъп за преглед на записи от системата за видеонаблюдение на </w:t>
      </w:r>
      <w:r w:rsidR="001A27A8">
        <w:rPr>
          <w:rFonts w:ascii="Times New Roman" w:eastAsia="Times New Roman" w:hAnsi="Times New Roman" w:cs="Times New Roman"/>
          <w:sz w:val="24"/>
          <w:szCs w:val="24"/>
        </w:rPr>
        <w:t>о</w:t>
      </w:r>
      <w:r w:rsidRPr="007404FA">
        <w:rPr>
          <w:rFonts w:ascii="Times New Roman" w:eastAsia="Times New Roman" w:hAnsi="Times New Roman" w:cs="Times New Roman"/>
          <w:sz w:val="24"/>
          <w:szCs w:val="24"/>
        </w:rPr>
        <w:t>бщина Смолян във връзка с осъществяване на основната дейн</w:t>
      </w:r>
      <w:r w:rsidR="001A27A8">
        <w:rPr>
          <w:rFonts w:ascii="Times New Roman" w:eastAsia="Times New Roman" w:hAnsi="Times New Roman" w:cs="Times New Roman"/>
          <w:sz w:val="24"/>
          <w:szCs w:val="24"/>
        </w:rPr>
        <w:t>ост на МВР, а именно оперативно</w:t>
      </w:r>
      <w:r w:rsidRPr="007404FA">
        <w:rPr>
          <w:rFonts w:ascii="Times New Roman" w:eastAsia="Times New Roman" w:hAnsi="Times New Roman" w:cs="Times New Roman"/>
          <w:sz w:val="24"/>
          <w:szCs w:val="24"/>
        </w:rPr>
        <w:t>издирвателна, охранителна, разследване на престъпления, контролна и превантивна, както и ефективно опазване на обществения ред и противодействие на конвенционалната престъпност. В искането се посочва, че до настоящия момент на РУ</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Смолян</w:t>
      </w:r>
      <w:r w:rsidR="001A27A8">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xml:space="preserve"> многократно е предоставян достъп до записите и са предавани такива по негово искане за разследване на конкретно извършени престъпления/съмнение за престъпления. Уведомява се още, че предоставянето на записи, съдържащи лични данни от видеонаблюдението на </w:t>
      </w:r>
      <w:r w:rsidR="001A27A8">
        <w:rPr>
          <w:rFonts w:ascii="Times New Roman" w:eastAsia="Times New Roman" w:hAnsi="Times New Roman" w:cs="Times New Roman"/>
          <w:sz w:val="24"/>
          <w:szCs w:val="24"/>
        </w:rPr>
        <w:t>о</w:t>
      </w:r>
      <w:r w:rsidRPr="007404FA">
        <w:rPr>
          <w:rFonts w:ascii="Times New Roman" w:eastAsia="Times New Roman" w:hAnsi="Times New Roman" w:cs="Times New Roman"/>
          <w:sz w:val="24"/>
          <w:szCs w:val="24"/>
        </w:rPr>
        <w:t xml:space="preserve">бщината, се осъществява по реда и условията, регламентирани във Вътрешните правила за видеонаблюдение на </w:t>
      </w:r>
      <w:r w:rsidR="001A27A8">
        <w:rPr>
          <w:rFonts w:ascii="Times New Roman" w:eastAsia="Times New Roman" w:hAnsi="Times New Roman" w:cs="Times New Roman"/>
          <w:sz w:val="24"/>
          <w:szCs w:val="24"/>
        </w:rPr>
        <w:t>о</w:t>
      </w:r>
      <w:r w:rsidRPr="007404FA">
        <w:rPr>
          <w:rFonts w:ascii="Times New Roman" w:eastAsia="Times New Roman" w:hAnsi="Times New Roman" w:cs="Times New Roman"/>
          <w:sz w:val="24"/>
          <w:szCs w:val="24"/>
        </w:rPr>
        <w:t xml:space="preserve">бщина Смолян и в нарочна заповед на кмета ѝ. </w:t>
      </w:r>
    </w:p>
    <w:p w:rsidR="00E42714" w:rsidRPr="007404FA" w:rsidRDefault="00E42714"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След извършения анализ на фактическата и прав</w:t>
      </w:r>
      <w:r w:rsidR="00883313" w:rsidRPr="007404FA">
        <w:rPr>
          <w:rFonts w:ascii="Times New Roman" w:eastAsia="Times New Roman" w:hAnsi="Times New Roman" w:cs="Times New Roman"/>
          <w:sz w:val="24"/>
          <w:szCs w:val="24"/>
        </w:rPr>
        <w:t>на</w:t>
      </w:r>
      <w:r w:rsidR="001A27A8">
        <w:rPr>
          <w:rFonts w:ascii="Times New Roman" w:eastAsia="Times New Roman" w:hAnsi="Times New Roman" w:cs="Times New Roman"/>
          <w:sz w:val="24"/>
          <w:szCs w:val="24"/>
        </w:rPr>
        <w:t>та страна по казуса</w:t>
      </w:r>
      <w:r w:rsidR="00883313" w:rsidRPr="007404FA">
        <w:rPr>
          <w:rFonts w:ascii="Times New Roman" w:eastAsia="Times New Roman" w:hAnsi="Times New Roman" w:cs="Times New Roman"/>
          <w:sz w:val="24"/>
          <w:szCs w:val="24"/>
        </w:rPr>
        <w:t xml:space="preserve"> КЗЛД изразява</w:t>
      </w:r>
      <w:r w:rsidRPr="007404FA">
        <w:rPr>
          <w:rFonts w:ascii="Times New Roman" w:eastAsia="Times New Roman" w:hAnsi="Times New Roman" w:cs="Times New Roman"/>
          <w:sz w:val="24"/>
          <w:szCs w:val="24"/>
        </w:rPr>
        <w:t xml:space="preserve"> становище, че прегледът</w:t>
      </w:r>
      <w:r w:rsidR="001A27A8">
        <w:rPr>
          <w:rFonts w:ascii="Times New Roman" w:eastAsia="Times New Roman" w:hAnsi="Times New Roman" w:cs="Times New Roman"/>
          <w:sz w:val="24"/>
          <w:szCs w:val="24"/>
        </w:rPr>
        <w:t xml:space="preserve"> на относимото законодателство</w:t>
      </w:r>
      <w:r w:rsidRPr="007404FA">
        <w:rPr>
          <w:rFonts w:ascii="Times New Roman" w:eastAsia="Times New Roman" w:hAnsi="Times New Roman" w:cs="Times New Roman"/>
          <w:sz w:val="24"/>
          <w:szCs w:val="24"/>
        </w:rPr>
        <w:t xml:space="preserve"> (НПК, </w:t>
      </w:r>
      <w:r w:rsidR="004035C6" w:rsidRPr="007404FA">
        <w:rPr>
          <w:rFonts w:ascii="Times New Roman" w:eastAsia="Times New Roman" w:hAnsi="Times New Roman" w:cs="Times New Roman"/>
          <w:sz w:val="24"/>
          <w:szCs w:val="24"/>
        </w:rPr>
        <w:t>Закона за МВР</w:t>
      </w:r>
      <w:r w:rsidRPr="007404FA">
        <w:rPr>
          <w:rFonts w:ascii="Times New Roman" w:eastAsia="Times New Roman" w:hAnsi="Times New Roman" w:cs="Times New Roman"/>
          <w:sz w:val="24"/>
          <w:szCs w:val="24"/>
        </w:rPr>
        <w:t xml:space="preserve"> и </w:t>
      </w:r>
      <w:r w:rsidR="004035C6" w:rsidRPr="007404FA">
        <w:rPr>
          <w:rFonts w:ascii="Times New Roman" w:eastAsia="Times New Roman" w:hAnsi="Times New Roman" w:cs="Times New Roman"/>
          <w:sz w:val="24"/>
          <w:szCs w:val="24"/>
        </w:rPr>
        <w:t>Закона за местното самоуправление и местната администрация</w:t>
      </w:r>
      <w:r w:rsidRPr="007404FA">
        <w:rPr>
          <w:rFonts w:ascii="Times New Roman" w:eastAsia="Times New Roman" w:hAnsi="Times New Roman" w:cs="Times New Roman"/>
          <w:sz w:val="24"/>
          <w:szCs w:val="24"/>
        </w:rPr>
        <w:t>) показва, че към настоящия момент не е налице правно основание за предоставяне на искания от РУ</w:t>
      </w:r>
      <w:r w:rsidR="00E06D6E">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Смолян</w:t>
      </w:r>
      <w:r w:rsidR="001A27A8">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xml:space="preserve"> постоянен и неограничен достъп до системата за видеонаблюдение на </w:t>
      </w:r>
      <w:r w:rsidR="001A27A8">
        <w:rPr>
          <w:rFonts w:ascii="Times New Roman" w:eastAsia="Times New Roman" w:hAnsi="Times New Roman" w:cs="Times New Roman"/>
          <w:sz w:val="24"/>
          <w:szCs w:val="24"/>
        </w:rPr>
        <w:t>о</w:t>
      </w:r>
      <w:r w:rsidRPr="007404FA">
        <w:rPr>
          <w:rFonts w:ascii="Times New Roman" w:eastAsia="Times New Roman" w:hAnsi="Times New Roman" w:cs="Times New Roman"/>
          <w:sz w:val="24"/>
          <w:szCs w:val="24"/>
        </w:rPr>
        <w:t>бщина Смолян. От друга страна, действащата нормативна уредба допуска предоставянето само на конкретни записи или на ограничен във времето достъп, свързан с осъществяване единствено на полицейските правомощия, вкл. при условия на неотложност, както и изискан по надлежния ред, като същият се реализира съгласно критерии като напр. дата, час, местоположение и пр. Тези критерии способстват за гарантиране на принципите за ограничение на целите и свеждане на данните до минимум по</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5 от Регламент (ЕС) 2016/679, както и отговарят на изискванията за разкри</w:t>
      </w:r>
      <w:r w:rsidR="00B94DD0" w:rsidRPr="007404FA">
        <w:rPr>
          <w:rFonts w:ascii="Times New Roman" w:eastAsia="Times New Roman" w:hAnsi="Times New Roman" w:cs="Times New Roman"/>
          <w:sz w:val="24"/>
          <w:szCs w:val="24"/>
        </w:rPr>
        <w:t>ване на данни, заложени в съображение</w:t>
      </w:r>
      <w:r w:rsidRPr="007404FA">
        <w:rPr>
          <w:rFonts w:ascii="Times New Roman" w:eastAsia="Times New Roman" w:hAnsi="Times New Roman" w:cs="Times New Roman"/>
          <w:sz w:val="24"/>
          <w:szCs w:val="24"/>
        </w:rPr>
        <w:t xml:space="preserve"> 22 на Директива (ЕС) 2016/680. Видеонаблюдението, извършвано от </w:t>
      </w:r>
      <w:r w:rsidR="001A27A8">
        <w:rPr>
          <w:rFonts w:ascii="Times New Roman" w:eastAsia="Times New Roman" w:hAnsi="Times New Roman" w:cs="Times New Roman"/>
          <w:sz w:val="24"/>
          <w:szCs w:val="24"/>
        </w:rPr>
        <w:t>о</w:t>
      </w:r>
      <w:r w:rsidRPr="007404FA">
        <w:rPr>
          <w:rFonts w:ascii="Times New Roman" w:eastAsia="Times New Roman" w:hAnsi="Times New Roman" w:cs="Times New Roman"/>
          <w:sz w:val="24"/>
          <w:szCs w:val="24"/>
        </w:rPr>
        <w:t>бщина Смолян, попада в обхвата на Регламент (ЕС) 2016/679, докато обработването н</w:t>
      </w:r>
      <w:r w:rsidR="001A27A8">
        <w:rPr>
          <w:rFonts w:ascii="Times New Roman" w:eastAsia="Times New Roman" w:hAnsi="Times New Roman" w:cs="Times New Roman"/>
          <w:sz w:val="24"/>
          <w:szCs w:val="24"/>
        </w:rPr>
        <w:t>а получените от органите на МВР</w:t>
      </w:r>
      <w:r w:rsidRPr="007404FA">
        <w:rPr>
          <w:rFonts w:ascii="Times New Roman" w:eastAsia="Times New Roman" w:hAnsi="Times New Roman" w:cs="Times New Roman"/>
          <w:sz w:val="24"/>
          <w:szCs w:val="24"/>
        </w:rPr>
        <w:t xml:space="preserve"> в качеството им на компетентен орган по смисъла на</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42,</w:t>
      </w:r>
      <w:r w:rsidR="00F06583" w:rsidRPr="007404FA">
        <w:rPr>
          <w:rFonts w:ascii="Times New Roman" w:eastAsia="Times New Roman" w:hAnsi="Times New Roman" w:cs="Times New Roman"/>
          <w:sz w:val="24"/>
          <w:szCs w:val="24"/>
        </w:rPr>
        <w:t xml:space="preserve"> ал. </w:t>
      </w:r>
      <w:r w:rsidRPr="007404FA">
        <w:rPr>
          <w:rFonts w:ascii="Times New Roman" w:eastAsia="Times New Roman" w:hAnsi="Times New Roman" w:cs="Times New Roman"/>
          <w:sz w:val="24"/>
          <w:szCs w:val="24"/>
        </w:rPr>
        <w:t>4 от Закона за защита на л</w:t>
      </w:r>
      <w:r w:rsidR="001A27A8">
        <w:rPr>
          <w:rFonts w:ascii="Times New Roman" w:eastAsia="Times New Roman" w:hAnsi="Times New Roman" w:cs="Times New Roman"/>
          <w:sz w:val="24"/>
          <w:szCs w:val="24"/>
        </w:rPr>
        <w:t>ичните данни (ЗЗЛД) видеозаписи</w:t>
      </w:r>
      <w:r w:rsidRPr="007404FA">
        <w:rPr>
          <w:rFonts w:ascii="Times New Roman" w:eastAsia="Times New Roman" w:hAnsi="Times New Roman" w:cs="Times New Roman"/>
          <w:sz w:val="24"/>
          <w:szCs w:val="24"/>
        </w:rPr>
        <w:t xml:space="preserve"> попада в приложното поле на Глава VIII от ЗЗЛД, с която са въведени изискванията на Директива (ЕС) 2016/680 в националното ни право. Следователно </w:t>
      </w:r>
      <w:r w:rsidR="001A27A8">
        <w:rPr>
          <w:rFonts w:ascii="Times New Roman" w:eastAsia="Times New Roman" w:hAnsi="Times New Roman" w:cs="Times New Roman"/>
          <w:sz w:val="24"/>
          <w:szCs w:val="24"/>
        </w:rPr>
        <w:t>о</w:t>
      </w:r>
      <w:r w:rsidRPr="007404FA">
        <w:rPr>
          <w:rFonts w:ascii="Times New Roman" w:eastAsia="Times New Roman" w:hAnsi="Times New Roman" w:cs="Times New Roman"/>
          <w:sz w:val="24"/>
          <w:szCs w:val="24"/>
        </w:rPr>
        <w:t>бщина Смолян и органите на МВР обработват видеозаписите за различни цели и на различни правни основания, което обуславя и ролите им на самостоятелни администратори. Правоотношението „администратор</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 xml:space="preserve">обработващ лични данни“ в тази хипотеза е неприложимо, тъй като органите на МВР не обработват данните от видеозаписите по възлагане и от името на </w:t>
      </w:r>
      <w:r w:rsidR="001A27A8">
        <w:rPr>
          <w:rFonts w:ascii="Times New Roman" w:eastAsia="Times New Roman" w:hAnsi="Times New Roman" w:cs="Times New Roman"/>
          <w:sz w:val="24"/>
          <w:szCs w:val="24"/>
        </w:rPr>
        <w:t>о</w:t>
      </w:r>
      <w:r w:rsidRPr="007404FA">
        <w:rPr>
          <w:rFonts w:ascii="Times New Roman" w:eastAsia="Times New Roman" w:hAnsi="Times New Roman" w:cs="Times New Roman"/>
          <w:sz w:val="24"/>
          <w:szCs w:val="24"/>
        </w:rPr>
        <w:t>бщина Смолян, а ги обработват за нуждите на упражняване на своите правомощия, предоставени им със закон.</w:t>
      </w:r>
    </w:p>
    <w:p w:rsidR="00E42714" w:rsidRPr="007404FA" w:rsidRDefault="00E42714"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lastRenderedPageBreak/>
        <w:t>В началото на 2022</w:t>
      </w:r>
      <w:r w:rsidR="00F06583" w:rsidRPr="007404FA">
        <w:rPr>
          <w:rFonts w:ascii="Times New Roman" w:eastAsia="Times New Roman" w:hAnsi="Times New Roman" w:cs="Times New Roman"/>
          <w:sz w:val="24"/>
          <w:szCs w:val="24"/>
        </w:rPr>
        <w:t> г.</w:t>
      </w:r>
      <w:r w:rsidRPr="007404FA">
        <w:rPr>
          <w:rFonts w:ascii="Times New Roman" w:eastAsia="Times New Roman" w:hAnsi="Times New Roman" w:cs="Times New Roman"/>
          <w:sz w:val="24"/>
          <w:szCs w:val="24"/>
        </w:rPr>
        <w:t xml:space="preserve"> КЗЛД е сезирана и с казус (в същия контекст), касаещ разпореждане на органите на МВР към частноправен субект (аптека) за монтиране на камери за видеонаблюдение, обхващащи външния периметър на обекта. Искането е от управител на аптека, който е получил разпореждане от органите на МВР същата да постави камери за видеонаблюдение, обхващащи външния периметър около стопанисвания от нея обект, т.е. изисква се да бъде извършвано видеонаблюдение на един от най-централните и оживени булеварди в Пловдив. Целта на ра</w:t>
      </w:r>
      <w:r w:rsidR="001A27A8">
        <w:rPr>
          <w:rFonts w:ascii="Times New Roman" w:eastAsia="Times New Roman" w:hAnsi="Times New Roman" w:cs="Times New Roman"/>
          <w:sz w:val="24"/>
          <w:szCs w:val="24"/>
        </w:rPr>
        <w:t>зпореждането на органите на МВР според писмото</w:t>
      </w:r>
      <w:r w:rsidRPr="007404FA">
        <w:rPr>
          <w:rFonts w:ascii="Times New Roman" w:eastAsia="Times New Roman" w:hAnsi="Times New Roman" w:cs="Times New Roman"/>
          <w:sz w:val="24"/>
          <w:szCs w:val="24"/>
        </w:rPr>
        <w:t xml:space="preserve"> е „пресичане на бъдещи тежки криминални престъпления“, а като основание е посочена нормата на</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66,</w:t>
      </w:r>
      <w:r w:rsidR="00F06583" w:rsidRPr="007404FA">
        <w:rPr>
          <w:rFonts w:ascii="Times New Roman" w:eastAsia="Times New Roman" w:hAnsi="Times New Roman" w:cs="Times New Roman"/>
          <w:sz w:val="24"/>
          <w:szCs w:val="24"/>
        </w:rPr>
        <w:t xml:space="preserve"> ал. </w:t>
      </w:r>
      <w:r w:rsidRPr="007404FA">
        <w:rPr>
          <w:rFonts w:ascii="Times New Roman" w:eastAsia="Times New Roman" w:hAnsi="Times New Roman" w:cs="Times New Roman"/>
          <w:sz w:val="24"/>
          <w:szCs w:val="24"/>
        </w:rPr>
        <w:t>3 от Закона за Мини</w:t>
      </w:r>
      <w:r w:rsidR="00B574D2" w:rsidRPr="007404FA">
        <w:rPr>
          <w:rFonts w:ascii="Times New Roman" w:eastAsia="Times New Roman" w:hAnsi="Times New Roman" w:cs="Times New Roman"/>
          <w:sz w:val="24"/>
          <w:szCs w:val="24"/>
        </w:rPr>
        <w:t>стерството на вътрешните работи</w:t>
      </w:r>
      <w:r w:rsidRPr="007404FA">
        <w:rPr>
          <w:rFonts w:ascii="Times New Roman" w:eastAsia="Times New Roman" w:hAnsi="Times New Roman" w:cs="Times New Roman"/>
          <w:sz w:val="24"/>
          <w:szCs w:val="24"/>
        </w:rPr>
        <w:t xml:space="preserve">. КЗЛД е категорична в изразеното </w:t>
      </w:r>
      <w:r w:rsidR="00801194" w:rsidRPr="007404FA">
        <w:rPr>
          <w:rFonts w:ascii="Times New Roman" w:eastAsia="Times New Roman" w:hAnsi="Times New Roman" w:cs="Times New Roman"/>
          <w:sz w:val="24"/>
          <w:szCs w:val="24"/>
        </w:rPr>
        <w:t xml:space="preserve">от нея </w:t>
      </w:r>
      <w:r w:rsidRPr="007404FA">
        <w:rPr>
          <w:rFonts w:ascii="Times New Roman" w:eastAsia="Times New Roman" w:hAnsi="Times New Roman" w:cs="Times New Roman"/>
          <w:sz w:val="24"/>
          <w:szCs w:val="24"/>
        </w:rPr>
        <w:t>становище, че видеонаблюдението на публични зони, извършвано от аптека (като администратор на лични данни)</w:t>
      </w:r>
      <w:r w:rsidR="001A27A8">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xml:space="preserve"> за целите на предотвратяването, разследването, разкриването и наказателното преследване на престъпления или изпълнението на наказателни санкции, включително предпазването от заплахи за обществената сигурност и тяхното предотвратяване, е недопустимо, като същото не може да се разпорежда от компетентните органи (МВР) на частноправни субекти.</w:t>
      </w:r>
    </w:p>
    <w:p w:rsidR="00E42714" w:rsidRPr="007404FA" w:rsidRDefault="00E42714"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През</w:t>
      </w:r>
      <w:r w:rsidR="00773590" w:rsidRPr="007404FA">
        <w:rPr>
          <w:rFonts w:ascii="Times New Roman" w:eastAsia="Times New Roman" w:hAnsi="Times New Roman" w:cs="Times New Roman"/>
          <w:sz w:val="24"/>
          <w:szCs w:val="24"/>
        </w:rPr>
        <w:t xml:space="preserve"> отчетния период в КЗЛД са постъпили</w:t>
      </w:r>
      <w:r w:rsidRPr="007404FA">
        <w:rPr>
          <w:rFonts w:ascii="Times New Roman" w:eastAsia="Times New Roman" w:hAnsi="Times New Roman" w:cs="Times New Roman"/>
          <w:sz w:val="24"/>
          <w:szCs w:val="24"/>
        </w:rPr>
        <w:t xml:space="preserve"> две искания от </w:t>
      </w:r>
      <w:r w:rsidR="00CE71EA" w:rsidRPr="007404FA">
        <w:rPr>
          <w:rFonts w:ascii="Times New Roman" w:eastAsia="Times New Roman" w:hAnsi="Times New Roman" w:cs="Times New Roman"/>
          <w:sz w:val="24"/>
          <w:szCs w:val="24"/>
        </w:rPr>
        <w:t>Министерство</w:t>
      </w:r>
      <w:r w:rsidR="001A27A8">
        <w:rPr>
          <w:rFonts w:ascii="Times New Roman" w:eastAsia="Times New Roman" w:hAnsi="Times New Roman" w:cs="Times New Roman"/>
          <w:sz w:val="24"/>
          <w:szCs w:val="24"/>
        </w:rPr>
        <w:t>то</w:t>
      </w:r>
      <w:r w:rsidR="00CE71EA" w:rsidRPr="007404FA">
        <w:rPr>
          <w:rFonts w:ascii="Times New Roman" w:eastAsia="Times New Roman" w:hAnsi="Times New Roman" w:cs="Times New Roman"/>
          <w:sz w:val="24"/>
          <w:szCs w:val="24"/>
        </w:rPr>
        <w:t xml:space="preserve"> на образованието и науката (</w:t>
      </w:r>
      <w:r w:rsidRPr="007404FA">
        <w:rPr>
          <w:rFonts w:ascii="Times New Roman" w:eastAsia="Times New Roman" w:hAnsi="Times New Roman" w:cs="Times New Roman"/>
          <w:sz w:val="24"/>
          <w:szCs w:val="24"/>
        </w:rPr>
        <w:t>МОН</w:t>
      </w:r>
      <w:r w:rsidR="00CE71EA" w:rsidRPr="007404FA">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xml:space="preserve"> и </w:t>
      </w:r>
      <w:r w:rsidR="00CE71EA" w:rsidRPr="007404FA">
        <w:rPr>
          <w:rFonts w:ascii="Times New Roman" w:eastAsia="Times New Roman" w:hAnsi="Times New Roman" w:cs="Times New Roman"/>
          <w:sz w:val="24"/>
          <w:szCs w:val="24"/>
        </w:rPr>
        <w:t>Агенцията за социално подпомагане (</w:t>
      </w:r>
      <w:r w:rsidRPr="007404FA">
        <w:rPr>
          <w:rFonts w:ascii="Times New Roman" w:eastAsia="Times New Roman" w:hAnsi="Times New Roman" w:cs="Times New Roman"/>
          <w:sz w:val="24"/>
          <w:szCs w:val="24"/>
        </w:rPr>
        <w:t>АСП</w:t>
      </w:r>
      <w:r w:rsidR="00CE71EA" w:rsidRPr="007404FA">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xml:space="preserve"> с идентичен предмет, а именно: предоставянето на данни за децата и учениците в системата на предучилищното и училищното образование на </w:t>
      </w:r>
      <w:r w:rsidR="00C057DB" w:rsidRPr="007404FA">
        <w:rPr>
          <w:rFonts w:ascii="Times New Roman" w:eastAsia="Times New Roman" w:hAnsi="Times New Roman" w:cs="Times New Roman"/>
          <w:sz w:val="24"/>
          <w:szCs w:val="24"/>
        </w:rPr>
        <w:t xml:space="preserve">АСП </w:t>
      </w:r>
      <w:r w:rsidRPr="007404FA">
        <w:rPr>
          <w:rFonts w:ascii="Times New Roman" w:eastAsia="Times New Roman" w:hAnsi="Times New Roman" w:cs="Times New Roman"/>
          <w:sz w:val="24"/>
          <w:szCs w:val="24"/>
        </w:rPr>
        <w:t xml:space="preserve">за нуждите на предоставянето на социални помощи по Закона за социалното подпомагане (ЗСоцП) и Закона за семейни помощи за деца (ЗСПД), както и правилниците за тяхното прилагане. </w:t>
      </w:r>
      <w:r w:rsidR="00A90182" w:rsidRPr="007404FA">
        <w:rPr>
          <w:rFonts w:ascii="Times New Roman" w:eastAsia="Times New Roman" w:hAnsi="Times New Roman" w:cs="Times New Roman"/>
          <w:sz w:val="24"/>
          <w:szCs w:val="24"/>
        </w:rPr>
        <w:t xml:space="preserve">За да изрази позиция, </w:t>
      </w:r>
      <w:r w:rsidRPr="007404FA">
        <w:rPr>
          <w:rFonts w:ascii="Times New Roman" w:eastAsia="Times New Roman" w:hAnsi="Times New Roman" w:cs="Times New Roman"/>
          <w:sz w:val="24"/>
          <w:szCs w:val="24"/>
        </w:rPr>
        <w:t xml:space="preserve">КЗЛД </w:t>
      </w:r>
      <w:r w:rsidR="00A90182" w:rsidRPr="007404FA">
        <w:rPr>
          <w:rFonts w:ascii="Times New Roman" w:eastAsia="Times New Roman" w:hAnsi="Times New Roman" w:cs="Times New Roman"/>
          <w:sz w:val="24"/>
          <w:szCs w:val="24"/>
        </w:rPr>
        <w:t xml:space="preserve">е </w:t>
      </w:r>
      <w:r w:rsidRPr="007404FA">
        <w:rPr>
          <w:rFonts w:ascii="Times New Roman" w:eastAsia="Times New Roman" w:hAnsi="Times New Roman" w:cs="Times New Roman"/>
          <w:sz w:val="24"/>
          <w:szCs w:val="24"/>
        </w:rPr>
        <w:t>направи</w:t>
      </w:r>
      <w:r w:rsidR="00A90182" w:rsidRPr="007404FA">
        <w:rPr>
          <w:rFonts w:ascii="Times New Roman" w:eastAsia="Times New Roman" w:hAnsi="Times New Roman" w:cs="Times New Roman"/>
          <w:sz w:val="24"/>
          <w:szCs w:val="24"/>
        </w:rPr>
        <w:t>ла</w:t>
      </w:r>
      <w:r w:rsidRPr="007404FA">
        <w:rPr>
          <w:rFonts w:ascii="Times New Roman" w:eastAsia="Times New Roman" w:hAnsi="Times New Roman" w:cs="Times New Roman"/>
          <w:sz w:val="24"/>
          <w:szCs w:val="24"/>
        </w:rPr>
        <w:t xml:space="preserve"> преглед на приложимите актове в областта на образованието и социалното подпомагане, като ги </w:t>
      </w:r>
      <w:r w:rsidR="00A90182" w:rsidRPr="007404FA">
        <w:rPr>
          <w:rFonts w:ascii="Times New Roman" w:eastAsia="Times New Roman" w:hAnsi="Times New Roman" w:cs="Times New Roman"/>
          <w:sz w:val="24"/>
          <w:szCs w:val="24"/>
        </w:rPr>
        <w:t xml:space="preserve">е </w:t>
      </w:r>
      <w:r w:rsidRPr="007404FA">
        <w:rPr>
          <w:rFonts w:ascii="Times New Roman" w:eastAsia="Times New Roman" w:hAnsi="Times New Roman" w:cs="Times New Roman"/>
          <w:sz w:val="24"/>
          <w:szCs w:val="24"/>
        </w:rPr>
        <w:t>съпостави</w:t>
      </w:r>
      <w:r w:rsidR="00A90182" w:rsidRPr="007404FA">
        <w:rPr>
          <w:rFonts w:ascii="Times New Roman" w:eastAsia="Times New Roman" w:hAnsi="Times New Roman" w:cs="Times New Roman"/>
          <w:sz w:val="24"/>
          <w:szCs w:val="24"/>
        </w:rPr>
        <w:t>ла</w:t>
      </w:r>
      <w:r w:rsidRPr="007404FA">
        <w:rPr>
          <w:rFonts w:ascii="Times New Roman" w:eastAsia="Times New Roman" w:hAnsi="Times New Roman" w:cs="Times New Roman"/>
          <w:sz w:val="24"/>
          <w:szCs w:val="24"/>
        </w:rPr>
        <w:t xml:space="preserve"> и с правилата за защита на личните данни.</w:t>
      </w:r>
      <w:r w:rsidR="001A27A8">
        <w:rPr>
          <w:rFonts w:ascii="Times New Roman" w:eastAsia="Times New Roman" w:hAnsi="Times New Roman" w:cs="Times New Roman"/>
          <w:sz w:val="24"/>
          <w:szCs w:val="24"/>
        </w:rPr>
        <w:t xml:space="preserve"> С оглед на изводите от анализа</w:t>
      </w:r>
      <w:r w:rsidRPr="007404FA">
        <w:rPr>
          <w:rFonts w:ascii="Times New Roman" w:eastAsia="Times New Roman" w:hAnsi="Times New Roman" w:cs="Times New Roman"/>
          <w:sz w:val="24"/>
          <w:szCs w:val="24"/>
        </w:rPr>
        <w:t xml:space="preserve"> </w:t>
      </w:r>
      <w:r w:rsidR="00B23CF1" w:rsidRPr="007404FA">
        <w:rPr>
          <w:rFonts w:ascii="Times New Roman" w:eastAsia="Times New Roman" w:hAnsi="Times New Roman" w:cs="Times New Roman"/>
          <w:sz w:val="24"/>
          <w:szCs w:val="24"/>
        </w:rPr>
        <w:t xml:space="preserve">Комисията е </w:t>
      </w:r>
      <w:r w:rsidRPr="007404FA">
        <w:rPr>
          <w:rFonts w:ascii="Times New Roman" w:eastAsia="Times New Roman" w:hAnsi="Times New Roman" w:cs="Times New Roman"/>
          <w:sz w:val="24"/>
          <w:szCs w:val="24"/>
        </w:rPr>
        <w:t>изрази</w:t>
      </w:r>
      <w:r w:rsidR="00B23CF1" w:rsidRPr="007404FA">
        <w:rPr>
          <w:rFonts w:ascii="Times New Roman" w:eastAsia="Times New Roman" w:hAnsi="Times New Roman" w:cs="Times New Roman"/>
          <w:sz w:val="24"/>
          <w:szCs w:val="24"/>
        </w:rPr>
        <w:t>ла</w:t>
      </w:r>
      <w:r w:rsidRPr="007404FA">
        <w:rPr>
          <w:rFonts w:ascii="Times New Roman" w:eastAsia="Times New Roman" w:hAnsi="Times New Roman" w:cs="Times New Roman"/>
          <w:sz w:val="24"/>
          <w:szCs w:val="24"/>
        </w:rPr>
        <w:t xml:space="preserve"> становище, че Агенцият</w:t>
      </w:r>
      <w:r w:rsidR="001A27A8">
        <w:rPr>
          <w:rFonts w:ascii="Times New Roman" w:eastAsia="Times New Roman" w:hAnsi="Times New Roman" w:cs="Times New Roman"/>
          <w:sz w:val="24"/>
          <w:szCs w:val="24"/>
        </w:rPr>
        <w:t>а за социално подпомагане (АСП)</w:t>
      </w:r>
      <w:r w:rsidRPr="007404FA">
        <w:rPr>
          <w:rFonts w:ascii="Times New Roman" w:eastAsia="Times New Roman" w:hAnsi="Times New Roman" w:cs="Times New Roman"/>
          <w:sz w:val="24"/>
          <w:szCs w:val="24"/>
        </w:rPr>
        <w:t xml:space="preserve"> в качеството си на администратор на лични данни следва да обработва лични данни на деца, получени от Националната електронна информационна система на предучилищното и училищното образование (НЕИСПУО), поддържана от Министерството на образованието и науката</w:t>
      </w:r>
      <w:r w:rsidR="000177EB" w:rsidRPr="007404FA">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 xml:space="preserve">МОН, само за подалите заявление-декларация за упражняване правото на социални или семейни помощи и при спазване на определените в специалното законодателство срокове за тяхното съхранение. Събирането и съхранението на данни за лица, неподали заявление-декларация, </w:t>
      </w:r>
      <w:r w:rsidR="001A27A8">
        <w:rPr>
          <w:rFonts w:ascii="Times New Roman" w:eastAsia="Times New Roman" w:hAnsi="Times New Roman" w:cs="Times New Roman"/>
          <w:sz w:val="24"/>
          <w:szCs w:val="24"/>
        </w:rPr>
        <w:t>са</w:t>
      </w:r>
      <w:r w:rsidRPr="007404FA">
        <w:rPr>
          <w:rFonts w:ascii="Times New Roman" w:eastAsia="Times New Roman" w:hAnsi="Times New Roman" w:cs="Times New Roman"/>
          <w:sz w:val="24"/>
          <w:szCs w:val="24"/>
        </w:rPr>
        <w:t xml:space="preserve"> недопустим</w:t>
      </w:r>
      <w:r w:rsidR="001A27A8">
        <w:rPr>
          <w:rFonts w:ascii="Times New Roman" w:eastAsia="Times New Roman" w:hAnsi="Times New Roman" w:cs="Times New Roman"/>
          <w:sz w:val="24"/>
          <w:szCs w:val="24"/>
        </w:rPr>
        <w:t>и</w:t>
      </w:r>
      <w:r w:rsidRPr="007404FA">
        <w:rPr>
          <w:rFonts w:ascii="Times New Roman" w:eastAsia="Times New Roman" w:hAnsi="Times New Roman" w:cs="Times New Roman"/>
          <w:sz w:val="24"/>
          <w:szCs w:val="24"/>
        </w:rPr>
        <w:t xml:space="preserve">, тъй като </w:t>
      </w:r>
      <w:r w:rsidR="001A27A8">
        <w:rPr>
          <w:rFonts w:ascii="Times New Roman" w:eastAsia="Times New Roman" w:hAnsi="Times New Roman" w:cs="Times New Roman"/>
          <w:sz w:val="24"/>
          <w:szCs w:val="24"/>
        </w:rPr>
        <w:t>са</w:t>
      </w:r>
      <w:r w:rsidRPr="007404FA">
        <w:rPr>
          <w:rFonts w:ascii="Times New Roman" w:eastAsia="Times New Roman" w:hAnsi="Times New Roman" w:cs="Times New Roman"/>
          <w:sz w:val="24"/>
          <w:szCs w:val="24"/>
        </w:rPr>
        <w:t xml:space="preserve"> в противоречие с основните принципи за обработването на лични данни, прогласени в</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5 от Регламент (ЕС) 2016/679. За целите на упражняването на правомощията, произтичащи от ЗСоцП и ЗСПД, АСП обработва предоставените от МОН лични данни като самостоятелен администратор.</w:t>
      </w:r>
    </w:p>
    <w:p w:rsidR="00E42714" w:rsidRPr="007404FA" w:rsidRDefault="00E42714"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lastRenderedPageBreak/>
        <w:t xml:space="preserve">КЗЛД </w:t>
      </w:r>
      <w:r w:rsidR="00531A8B" w:rsidRPr="007404FA">
        <w:rPr>
          <w:rFonts w:ascii="Times New Roman" w:eastAsia="Times New Roman" w:hAnsi="Times New Roman" w:cs="Times New Roman"/>
          <w:sz w:val="24"/>
          <w:szCs w:val="24"/>
        </w:rPr>
        <w:t>е имала възможност през 2022</w:t>
      </w:r>
      <w:r w:rsidR="00F06583" w:rsidRPr="007404FA">
        <w:rPr>
          <w:rFonts w:ascii="Times New Roman" w:eastAsia="Times New Roman" w:hAnsi="Times New Roman" w:cs="Times New Roman"/>
          <w:sz w:val="24"/>
          <w:szCs w:val="24"/>
        </w:rPr>
        <w:t> г.</w:t>
      </w:r>
      <w:r w:rsidR="00531A8B" w:rsidRPr="007404FA">
        <w:rPr>
          <w:rFonts w:ascii="Times New Roman" w:eastAsia="Times New Roman" w:hAnsi="Times New Roman" w:cs="Times New Roman"/>
          <w:sz w:val="24"/>
          <w:szCs w:val="24"/>
        </w:rPr>
        <w:t xml:space="preserve"> да </w:t>
      </w:r>
      <w:r w:rsidRPr="007404FA">
        <w:rPr>
          <w:rFonts w:ascii="Times New Roman" w:eastAsia="Times New Roman" w:hAnsi="Times New Roman" w:cs="Times New Roman"/>
          <w:sz w:val="24"/>
          <w:szCs w:val="24"/>
        </w:rPr>
        <w:t>изрази становище и по проект на решение на Комисията за регулиране на съобщенията</w:t>
      </w:r>
      <w:r w:rsidR="00AF1D30" w:rsidRPr="007404FA">
        <w:rPr>
          <w:rFonts w:ascii="Times New Roman" w:eastAsia="Times New Roman" w:hAnsi="Times New Roman" w:cs="Times New Roman"/>
          <w:sz w:val="24"/>
          <w:szCs w:val="24"/>
        </w:rPr>
        <w:t xml:space="preserve"> (КРС)</w:t>
      </w:r>
      <w:r w:rsidRPr="007404FA">
        <w:rPr>
          <w:rFonts w:ascii="Times New Roman" w:eastAsia="Times New Roman" w:hAnsi="Times New Roman" w:cs="Times New Roman"/>
          <w:sz w:val="24"/>
          <w:szCs w:val="24"/>
        </w:rPr>
        <w:t xml:space="preserve"> за одобрение на Механизъм за измерване и наблюдение на качеството на</w:t>
      </w:r>
      <w:r w:rsidR="001A27A8">
        <w:rPr>
          <w:rFonts w:ascii="Times New Roman" w:eastAsia="Times New Roman" w:hAnsi="Times New Roman" w:cs="Times New Roman"/>
          <w:sz w:val="24"/>
          <w:szCs w:val="24"/>
        </w:rPr>
        <w:t xml:space="preserve"> услугата за достъп до интернет</w:t>
      </w:r>
      <w:r w:rsidRPr="007404FA">
        <w:rPr>
          <w:rFonts w:ascii="Times New Roman" w:eastAsia="Times New Roman" w:hAnsi="Times New Roman" w:cs="Times New Roman"/>
          <w:sz w:val="24"/>
          <w:szCs w:val="24"/>
        </w:rPr>
        <w:t xml:space="preserve"> предвид обстоятелството, че чрез визирания механизъм могат да се събират определени категории лични данни от потребителите и с оглед гарантиране спазването на законодателството в обл</w:t>
      </w:r>
      <w:r w:rsidR="000E6D62" w:rsidRPr="007404FA">
        <w:rPr>
          <w:rFonts w:ascii="Times New Roman" w:eastAsia="Times New Roman" w:hAnsi="Times New Roman" w:cs="Times New Roman"/>
          <w:sz w:val="24"/>
          <w:szCs w:val="24"/>
        </w:rPr>
        <w:t>астта на личните данни. Установено е</w:t>
      </w:r>
      <w:r w:rsidRPr="007404FA">
        <w:rPr>
          <w:rFonts w:ascii="Times New Roman" w:eastAsia="Times New Roman" w:hAnsi="Times New Roman" w:cs="Times New Roman"/>
          <w:sz w:val="24"/>
          <w:szCs w:val="24"/>
        </w:rPr>
        <w:t>, че п</w:t>
      </w:r>
      <w:r w:rsidRPr="007404FA">
        <w:rPr>
          <w:rFonts w:ascii="Times New Roman" w:eastAsia="Times New Roman" w:hAnsi="Times New Roman" w:cs="Times New Roman"/>
          <w:bCs/>
          <w:sz w:val="24"/>
          <w:szCs w:val="24"/>
          <w:lang w:bidi="bg-BG"/>
        </w:rPr>
        <w:t xml:space="preserve">роектът на решение на </w:t>
      </w:r>
      <w:r w:rsidR="00AF1D30" w:rsidRPr="007404FA">
        <w:rPr>
          <w:rFonts w:ascii="Times New Roman" w:eastAsia="Times New Roman" w:hAnsi="Times New Roman" w:cs="Times New Roman"/>
          <w:bCs/>
          <w:sz w:val="24"/>
          <w:szCs w:val="24"/>
          <w:lang w:bidi="bg-BG"/>
        </w:rPr>
        <w:t>КРС</w:t>
      </w:r>
      <w:r w:rsidRPr="007404FA">
        <w:rPr>
          <w:rFonts w:ascii="Times New Roman" w:eastAsia="Times New Roman" w:hAnsi="Times New Roman" w:cs="Times New Roman"/>
          <w:bCs/>
          <w:sz w:val="24"/>
          <w:szCs w:val="24"/>
          <w:lang w:bidi="bg-BG"/>
        </w:rPr>
        <w:t xml:space="preserve"> за одобрение на Механизъм за измерване и наблюдение на качеството на услугата за достъп до интернет съответства на изискванията на Регламент (ЕС) 2016/679 и Закона за защита на личните данни. С оглед постигане на </w:t>
      </w:r>
      <w:r w:rsidR="0047685B">
        <w:rPr>
          <w:rFonts w:ascii="Times New Roman" w:eastAsia="Times New Roman" w:hAnsi="Times New Roman" w:cs="Times New Roman"/>
          <w:bCs/>
          <w:sz w:val="24"/>
          <w:szCs w:val="24"/>
          <w:lang w:bidi="bg-BG"/>
        </w:rPr>
        <w:t>по-висока степен на прозрачност</w:t>
      </w:r>
      <w:r w:rsidRPr="007404FA">
        <w:rPr>
          <w:rFonts w:ascii="Times New Roman" w:eastAsia="Times New Roman" w:hAnsi="Times New Roman" w:cs="Times New Roman"/>
          <w:bCs/>
          <w:sz w:val="24"/>
          <w:szCs w:val="24"/>
          <w:lang w:bidi="bg-BG"/>
        </w:rPr>
        <w:t xml:space="preserve"> </w:t>
      </w:r>
      <w:r w:rsidR="0005064D" w:rsidRPr="007404FA">
        <w:rPr>
          <w:rFonts w:ascii="Times New Roman" w:eastAsia="Times New Roman" w:hAnsi="Times New Roman" w:cs="Times New Roman"/>
          <w:bCs/>
          <w:sz w:val="24"/>
          <w:szCs w:val="24"/>
          <w:lang w:bidi="bg-BG"/>
        </w:rPr>
        <w:t>Комисията</w:t>
      </w:r>
      <w:r w:rsidRPr="007404FA">
        <w:rPr>
          <w:rFonts w:ascii="Times New Roman" w:eastAsia="Times New Roman" w:hAnsi="Times New Roman" w:cs="Times New Roman"/>
          <w:bCs/>
          <w:sz w:val="24"/>
          <w:szCs w:val="24"/>
          <w:lang w:bidi="bg-BG"/>
        </w:rPr>
        <w:t xml:space="preserve"> препоръча в политиката за поверителност да се посочи изрично, че събираните лични данни няма да се обработват за други цели, вкл. за профилиране на крайните ползватели</w:t>
      </w:r>
      <w:r w:rsidR="0005064D" w:rsidRPr="007404FA">
        <w:rPr>
          <w:rFonts w:ascii="Times New Roman" w:eastAsia="Times New Roman" w:hAnsi="Times New Roman" w:cs="Times New Roman"/>
          <w:bCs/>
          <w:sz w:val="24"/>
          <w:szCs w:val="24"/>
          <w:lang w:bidi="bg-BG"/>
        </w:rPr>
        <w:t>.</w:t>
      </w:r>
    </w:p>
    <w:p w:rsidR="00E42714" w:rsidRPr="007404FA" w:rsidRDefault="00E42714"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През изтеклата година КЗЛД работи и по казус, поставен за разглеждане от Държавно предприятие „Ръководство на въздушното движение“ (ДП РВД) (</w:t>
      </w:r>
      <w:r w:rsidR="0047685B">
        <w:rPr>
          <w:rFonts w:ascii="Times New Roman" w:eastAsia="Times New Roman" w:hAnsi="Times New Roman" w:cs="Times New Roman"/>
          <w:sz w:val="24"/>
          <w:szCs w:val="24"/>
        </w:rPr>
        <w:t>искане с рег. №</w:t>
      </w:r>
      <w:r w:rsidRPr="007404FA">
        <w:rPr>
          <w:rFonts w:ascii="Times New Roman" w:eastAsia="Times New Roman" w:hAnsi="Times New Roman" w:cs="Times New Roman"/>
          <w:sz w:val="24"/>
          <w:szCs w:val="24"/>
        </w:rPr>
        <w:t>ПНМД-01-93/31.10.2022</w:t>
      </w:r>
      <w:r w:rsidR="00F06583" w:rsidRPr="007404FA">
        <w:rPr>
          <w:rFonts w:ascii="Times New Roman" w:eastAsia="Times New Roman" w:hAnsi="Times New Roman" w:cs="Times New Roman"/>
          <w:sz w:val="24"/>
          <w:szCs w:val="24"/>
        </w:rPr>
        <w:t> г.</w:t>
      </w:r>
      <w:r w:rsidRPr="007404FA">
        <w:rPr>
          <w:rFonts w:ascii="Times New Roman" w:eastAsia="Times New Roman" w:hAnsi="Times New Roman" w:cs="Times New Roman"/>
          <w:sz w:val="24"/>
          <w:szCs w:val="24"/>
        </w:rPr>
        <w:t xml:space="preserve">) относно реализирането на проект за модернизиране на техническите системи за сигурност на предприятието и изграждане на система за физически контрол на достъпа чрез биометрични данни. В искането изчерпателно са посочени предвидените технически и организационни мерки за защита правата и свободите на субектите на данни. </w:t>
      </w:r>
    </w:p>
    <w:p w:rsidR="00E42714" w:rsidRPr="007404FA" w:rsidRDefault="00E42714"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 xml:space="preserve">Със становището си КЗЛД изчерпателно излага мотиви във връзка с приложимостта на производството по предварителна консултация, изискванията за неговото провеждане, както и хипотезите за задължителното провеждане на такъв вид консултация. При разглеждането и анализа на казуса по преписката </w:t>
      </w:r>
      <w:r w:rsidR="006B6531" w:rsidRPr="007404FA">
        <w:rPr>
          <w:rFonts w:ascii="Times New Roman" w:eastAsia="Times New Roman" w:hAnsi="Times New Roman" w:cs="Times New Roman"/>
          <w:sz w:val="24"/>
          <w:szCs w:val="24"/>
        </w:rPr>
        <w:t>е установено</w:t>
      </w:r>
      <w:r w:rsidRPr="007404FA">
        <w:rPr>
          <w:rFonts w:ascii="Times New Roman" w:eastAsia="Times New Roman" w:hAnsi="Times New Roman" w:cs="Times New Roman"/>
          <w:sz w:val="24"/>
          <w:szCs w:val="24"/>
        </w:rPr>
        <w:t>, че от ДП РВД е извършило оценка на риска, което е етап от извършването на оценката на въздействието върху защитата на личните данни (арг.</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 xml:space="preserve">35, </w:t>
      </w:r>
      <w:r w:rsidR="0047685B">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xml:space="preserve">7, б. </w:t>
      </w:r>
      <w:r w:rsidR="0047685B">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в</w:t>
      </w:r>
      <w:r w:rsidR="0047685B">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от Регламент (ЕС) 2016/679), като във връзка с това е и изразеното становище от КЗЛД.</w:t>
      </w:r>
    </w:p>
    <w:p w:rsidR="00E42714" w:rsidRPr="007404FA" w:rsidRDefault="00E42714"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В мотивите на становището са разгледани и въпросите относно приложимостта и законосъобразността на въвеждането на система за достъп, основана на обработването на биометрични данни. Особеният статут на ДП РВД, като стратегически обект от значение за националната сиг</w:t>
      </w:r>
      <w:r w:rsidR="00FB0A09">
        <w:rPr>
          <w:rFonts w:ascii="Times New Roman" w:eastAsia="Times New Roman" w:hAnsi="Times New Roman" w:cs="Times New Roman"/>
          <w:sz w:val="24"/>
          <w:szCs w:val="24"/>
        </w:rPr>
        <w:t>урност съгласно Постановление №</w:t>
      </w:r>
      <w:r w:rsidRPr="007404FA">
        <w:rPr>
          <w:rFonts w:ascii="Times New Roman" w:eastAsia="Times New Roman" w:hAnsi="Times New Roman" w:cs="Times New Roman"/>
          <w:sz w:val="24"/>
          <w:szCs w:val="24"/>
        </w:rPr>
        <w:t xml:space="preserve">181 на МС от 20.07.2009 </w:t>
      </w:r>
      <w:r w:rsidR="00FB0A09">
        <w:rPr>
          <w:rFonts w:ascii="Times New Roman" w:eastAsia="Times New Roman" w:hAnsi="Times New Roman" w:cs="Times New Roman"/>
          <w:sz w:val="24"/>
          <w:szCs w:val="24"/>
        </w:rPr>
        <w:t xml:space="preserve">г. </w:t>
      </w:r>
      <w:r w:rsidRPr="007404FA">
        <w:rPr>
          <w:rFonts w:ascii="Times New Roman" w:eastAsia="Times New Roman" w:hAnsi="Times New Roman" w:cs="Times New Roman"/>
          <w:sz w:val="24"/>
          <w:szCs w:val="24"/>
        </w:rPr>
        <w:t>за определяне на стратегическите обекти и дейности, които са от значение за националната сигурност, както и определянето му като част от критич</w:t>
      </w:r>
      <w:r w:rsidR="00FB0A09">
        <w:rPr>
          <w:rFonts w:ascii="Times New Roman" w:eastAsia="Times New Roman" w:hAnsi="Times New Roman" w:cs="Times New Roman"/>
          <w:sz w:val="24"/>
          <w:szCs w:val="24"/>
        </w:rPr>
        <w:t>ната инфраструктура на страната</w:t>
      </w:r>
      <w:r w:rsidRPr="007404FA">
        <w:rPr>
          <w:rFonts w:ascii="Times New Roman" w:eastAsia="Times New Roman" w:hAnsi="Times New Roman" w:cs="Times New Roman"/>
          <w:sz w:val="24"/>
          <w:szCs w:val="24"/>
        </w:rPr>
        <w:t xml:space="preserve"> позволяват въвеждането на системи за завишен контрол на достъпа в изпълнение на</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41 от Правилника за прилагане на Закона за Държавна агенция „Национална сигурност“.</w:t>
      </w:r>
    </w:p>
    <w:p w:rsidR="00E42714" w:rsidRPr="007404FA" w:rsidRDefault="00E42714"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 xml:space="preserve">Доколкото контролът на организацията на физическата защита и достъпа до стратегическите обекти изисква чрез тях да се осъществи противодействие на заплахи от </w:t>
      </w:r>
      <w:r w:rsidRPr="007404FA">
        <w:rPr>
          <w:rFonts w:ascii="Times New Roman" w:eastAsia="Times New Roman" w:hAnsi="Times New Roman" w:cs="Times New Roman"/>
          <w:sz w:val="24"/>
          <w:szCs w:val="24"/>
        </w:rPr>
        <w:lastRenderedPageBreak/>
        <w:t>терористичен характер, обработването на биометрични данни в случая може да се обоснове с хипотезата на</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 xml:space="preserve">9, </w:t>
      </w:r>
      <w:r w:rsidR="00FB0A09">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xml:space="preserve">2, б. </w:t>
      </w:r>
      <w:r w:rsidR="00FB0A09">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ж</w:t>
      </w:r>
      <w:r w:rsidR="00FB0A09">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от Регламент (ЕС) 2016/679</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когато обработването е необходимо по причини от важен обществен интерес на основание правото на Съюза или правото на държава членка, което е пропорционално на преследваната цел, зачита същността на правото на защита на данните и предвижда подходящи и конкретни мерки за защита на основните права и интересите на субекта на данните. Определянето на ограничен кръг от служители и конкретни зони за наблюдение мо</w:t>
      </w:r>
      <w:r w:rsidR="00FB0A09">
        <w:rPr>
          <w:rFonts w:ascii="Times New Roman" w:eastAsia="Times New Roman" w:hAnsi="Times New Roman" w:cs="Times New Roman"/>
          <w:sz w:val="24"/>
          <w:szCs w:val="24"/>
        </w:rPr>
        <w:t>же</w:t>
      </w:r>
      <w:r w:rsidRPr="007404FA">
        <w:rPr>
          <w:rFonts w:ascii="Times New Roman" w:eastAsia="Times New Roman" w:hAnsi="Times New Roman" w:cs="Times New Roman"/>
          <w:sz w:val="24"/>
          <w:szCs w:val="24"/>
        </w:rPr>
        <w:t xml:space="preserve"> да се разглежда като подходящ</w:t>
      </w:r>
      <w:r w:rsidR="00FB0A09">
        <w:rPr>
          <w:rFonts w:ascii="Times New Roman" w:eastAsia="Times New Roman" w:hAnsi="Times New Roman" w:cs="Times New Roman"/>
          <w:sz w:val="24"/>
          <w:szCs w:val="24"/>
        </w:rPr>
        <w:t>а</w:t>
      </w:r>
      <w:r w:rsidRPr="007404FA">
        <w:rPr>
          <w:rFonts w:ascii="Times New Roman" w:eastAsia="Times New Roman" w:hAnsi="Times New Roman" w:cs="Times New Roman"/>
          <w:sz w:val="24"/>
          <w:szCs w:val="24"/>
        </w:rPr>
        <w:t xml:space="preserve"> </w:t>
      </w:r>
      <w:r w:rsidR="00FB0A09">
        <w:rPr>
          <w:rFonts w:ascii="Times New Roman" w:eastAsia="Times New Roman" w:hAnsi="Times New Roman" w:cs="Times New Roman"/>
          <w:sz w:val="24"/>
          <w:szCs w:val="24"/>
        </w:rPr>
        <w:t>мярка</w:t>
      </w:r>
      <w:r w:rsidRPr="007404FA">
        <w:rPr>
          <w:rFonts w:ascii="Times New Roman" w:eastAsia="Times New Roman" w:hAnsi="Times New Roman" w:cs="Times New Roman"/>
          <w:sz w:val="24"/>
          <w:szCs w:val="24"/>
        </w:rPr>
        <w:t xml:space="preserve"> за защита правата и свободите на субектите на данни в конкретния случай.</w:t>
      </w:r>
    </w:p>
    <w:p w:rsidR="00E42714" w:rsidRPr="007404FA" w:rsidRDefault="00FB0A09" w:rsidP="00DB6B05">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Определянето на ДП РВД</w:t>
      </w:r>
      <w:r w:rsidR="00E42714" w:rsidRPr="007404FA">
        <w:rPr>
          <w:rFonts w:ascii="Times New Roman" w:eastAsia="Times New Roman" w:hAnsi="Times New Roman" w:cs="Times New Roman"/>
          <w:sz w:val="24"/>
          <w:szCs w:val="24"/>
        </w:rPr>
        <w:t xml:space="preserve"> като стратегически обект за националната сигурност</w:t>
      </w:r>
      <w:r w:rsidR="00553661" w:rsidRPr="007404FA">
        <w:rPr>
          <w:rFonts w:ascii="Times New Roman" w:eastAsia="Times New Roman" w:hAnsi="Times New Roman" w:cs="Times New Roman"/>
          <w:sz w:val="24"/>
          <w:szCs w:val="24"/>
        </w:rPr>
        <w:t xml:space="preserve"> – </w:t>
      </w:r>
      <w:r w:rsidR="00E42714" w:rsidRPr="007404FA">
        <w:rPr>
          <w:rFonts w:ascii="Times New Roman" w:eastAsia="Times New Roman" w:hAnsi="Times New Roman" w:cs="Times New Roman"/>
          <w:sz w:val="24"/>
          <w:szCs w:val="24"/>
        </w:rPr>
        <w:t>част от критичната инфраструктура, представлява важен обществен интерес, посочен в националното ни законодателство. Обработването на биометрични данни при осъществяване на достъпа до такъв тип обекти може да се разглежда като пропорционално на преследваната цел, а именно противодействието на терористични заплахи. За да е законосъобразно обработването обаче, то следва да зачита същността на правото на защита на данните и да предвижда подходящи и конкретни мерки за защита на основните права и интересите на субекта на данните</w:t>
      </w:r>
      <w:r w:rsidR="00553661" w:rsidRPr="007404FA">
        <w:rPr>
          <w:rFonts w:ascii="Times New Roman" w:eastAsia="Times New Roman" w:hAnsi="Times New Roman" w:cs="Times New Roman"/>
          <w:sz w:val="24"/>
          <w:szCs w:val="24"/>
        </w:rPr>
        <w:t xml:space="preserve"> – </w:t>
      </w:r>
      <w:r w:rsidR="00E42714" w:rsidRPr="007404FA">
        <w:rPr>
          <w:rFonts w:ascii="Times New Roman" w:eastAsia="Times New Roman" w:hAnsi="Times New Roman" w:cs="Times New Roman"/>
          <w:sz w:val="24"/>
          <w:szCs w:val="24"/>
        </w:rPr>
        <w:t>т.е. следва да се извърши оценка на въздействието върху защитата на данните.</w:t>
      </w:r>
    </w:p>
    <w:p w:rsidR="00E42714" w:rsidRPr="007404FA" w:rsidRDefault="00E42714"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В К</w:t>
      </w:r>
      <w:r w:rsidR="00962E2A" w:rsidRPr="007404FA">
        <w:rPr>
          <w:rFonts w:ascii="Times New Roman" w:eastAsia="Times New Roman" w:hAnsi="Times New Roman" w:cs="Times New Roman"/>
          <w:sz w:val="24"/>
          <w:szCs w:val="24"/>
        </w:rPr>
        <w:t>ЗЛД през отчетния период постъпва</w:t>
      </w:r>
      <w:r w:rsidRPr="007404FA">
        <w:rPr>
          <w:rFonts w:ascii="Times New Roman" w:eastAsia="Times New Roman" w:hAnsi="Times New Roman" w:cs="Times New Roman"/>
          <w:sz w:val="24"/>
          <w:szCs w:val="24"/>
        </w:rPr>
        <w:t xml:space="preserve"> интересен казус от МОН по повод искане от координатора на деца, напуснали образователната система на местната администр</w:t>
      </w:r>
      <w:r w:rsidR="00FB0A09">
        <w:rPr>
          <w:rFonts w:ascii="Times New Roman" w:eastAsia="Times New Roman" w:hAnsi="Times New Roman" w:cs="Times New Roman"/>
          <w:sz w:val="24"/>
          <w:szCs w:val="24"/>
        </w:rPr>
        <w:t>ация на лондонския квартал Енфи</w:t>
      </w:r>
      <w:r w:rsidRPr="007404FA">
        <w:rPr>
          <w:rFonts w:ascii="Times New Roman" w:eastAsia="Times New Roman" w:hAnsi="Times New Roman" w:cs="Times New Roman"/>
          <w:sz w:val="24"/>
          <w:szCs w:val="24"/>
        </w:rPr>
        <w:t>лд, Обединеното кралство, за информиране относно действащите процеси за получаване и предоставяне на и</w:t>
      </w:r>
      <w:r w:rsidR="00FB0A09">
        <w:rPr>
          <w:rFonts w:ascii="Times New Roman" w:eastAsia="Times New Roman" w:hAnsi="Times New Roman" w:cs="Times New Roman"/>
          <w:sz w:val="24"/>
          <w:szCs w:val="24"/>
        </w:rPr>
        <w:t>нформация за български граждани</w:t>
      </w:r>
      <w:r w:rsidRPr="007404FA">
        <w:rPr>
          <w:rFonts w:ascii="Times New Roman" w:eastAsia="Times New Roman" w:hAnsi="Times New Roman" w:cs="Times New Roman"/>
          <w:sz w:val="24"/>
          <w:szCs w:val="24"/>
        </w:rPr>
        <w:t xml:space="preserve"> дали са се завърнали в България и дали децата им са се записали отново в училище в България. На основание раздел 436А от Закона за образованието от 1996</w:t>
      </w:r>
      <w:r w:rsidR="00F06583" w:rsidRPr="007404FA">
        <w:rPr>
          <w:rFonts w:ascii="Times New Roman" w:eastAsia="Times New Roman" w:hAnsi="Times New Roman" w:cs="Times New Roman"/>
          <w:sz w:val="24"/>
          <w:szCs w:val="24"/>
        </w:rPr>
        <w:t> г.</w:t>
      </w:r>
      <w:r w:rsidRPr="007404FA">
        <w:rPr>
          <w:rFonts w:ascii="Times New Roman" w:eastAsia="Times New Roman" w:hAnsi="Times New Roman" w:cs="Times New Roman"/>
          <w:sz w:val="24"/>
          <w:szCs w:val="24"/>
        </w:rPr>
        <w:t xml:space="preserve"> във Великобритания е установено задължение за местните администрации да предприемат мерки за идентифициране на децата, които не получават образование, както и законова отговорност да гарантират, че тези деца вече не са в зоната на тяхната власт и че имат достъп до образование, където и да са се преместили. Търсенето на информация се налага</w:t>
      </w:r>
      <w:r w:rsidR="00FB0A09">
        <w:rPr>
          <w:rFonts w:ascii="Times New Roman" w:eastAsia="Times New Roman" w:hAnsi="Times New Roman" w:cs="Times New Roman"/>
          <w:sz w:val="24"/>
          <w:szCs w:val="24"/>
        </w:rPr>
        <w:t>, тъй като в квартал Енфи</w:t>
      </w:r>
      <w:r w:rsidRPr="007404FA">
        <w:rPr>
          <w:rFonts w:ascii="Times New Roman" w:eastAsia="Times New Roman" w:hAnsi="Times New Roman" w:cs="Times New Roman"/>
          <w:sz w:val="24"/>
          <w:szCs w:val="24"/>
        </w:rPr>
        <w:t>лд съществува голяма общност от български граждани, които записват децата си в местните училища, но се местят за кратък или по-дълъг период и се връщат отново в България.</w:t>
      </w:r>
    </w:p>
    <w:p w:rsidR="00E42714" w:rsidRPr="007404FA" w:rsidRDefault="008643B9" w:rsidP="00DB6B05">
      <w:pPr>
        <w:spacing w:line="360" w:lineRule="auto"/>
        <w:ind w:firstLine="709"/>
        <w:jc w:val="both"/>
        <w:rPr>
          <w:rFonts w:ascii="Times New Roman" w:eastAsia="Times New Roman" w:hAnsi="Times New Roman" w:cs="Times New Roman"/>
          <w:bCs/>
          <w:sz w:val="24"/>
          <w:szCs w:val="24"/>
          <w:lang w:bidi="bg-BG"/>
        </w:rPr>
      </w:pPr>
      <w:r w:rsidRPr="007404FA">
        <w:rPr>
          <w:rFonts w:ascii="Times New Roman" w:eastAsia="Times New Roman" w:hAnsi="Times New Roman" w:cs="Times New Roman"/>
          <w:sz w:val="24"/>
          <w:szCs w:val="24"/>
        </w:rPr>
        <w:t>КЗЛД изразява</w:t>
      </w:r>
      <w:r w:rsidR="00E42714" w:rsidRPr="007404FA">
        <w:rPr>
          <w:rFonts w:ascii="Times New Roman" w:eastAsia="Times New Roman" w:hAnsi="Times New Roman" w:cs="Times New Roman"/>
          <w:sz w:val="24"/>
          <w:szCs w:val="24"/>
        </w:rPr>
        <w:t xml:space="preserve"> с</w:t>
      </w:r>
      <w:r w:rsidR="00FB0A09">
        <w:rPr>
          <w:rFonts w:ascii="Times New Roman" w:eastAsia="Times New Roman" w:hAnsi="Times New Roman" w:cs="Times New Roman"/>
          <w:sz w:val="24"/>
          <w:szCs w:val="24"/>
        </w:rPr>
        <w:t>тановище, че в конкретния казус</w:t>
      </w:r>
      <w:r w:rsidR="00E42714" w:rsidRPr="007404FA">
        <w:rPr>
          <w:rFonts w:ascii="Times New Roman" w:eastAsia="Times New Roman" w:hAnsi="Times New Roman" w:cs="Times New Roman"/>
          <w:sz w:val="24"/>
          <w:szCs w:val="24"/>
        </w:rPr>
        <w:t xml:space="preserve"> </w:t>
      </w:r>
      <w:r w:rsidR="00E42714" w:rsidRPr="007404FA">
        <w:rPr>
          <w:rFonts w:ascii="Times New Roman" w:eastAsia="Times New Roman" w:hAnsi="Times New Roman" w:cs="Times New Roman"/>
          <w:bCs/>
          <w:sz w:val="24"/>
          <w:szCs w:val="24"/>
          <w:lang w:bidi="bg-BG"/>
        </w:rPr>
        <w:t xml:space="preserve">приложение намира </w:t>
      </w:r>
      <w:r w:rsidR="00E42714" w:rsidRPr="007404FA">
        <w:rPr>
          <w:rFonts w:ascii="Times New Roman" w:eastAsia="Times New Roman" w:hAnsi="Times New Roman" w:cs="Times New Roman"/>
          <w:bCs/>
          <w:i/>
          <w:sz w:val="24"/>
          <w:szCs w:val="24"/>
          <w:lang w:bidi="bg-BG"/>
        </w:rPr>
        <w:t xml:space="preserve">Решение за изпълнение на Комисията от 28.6.2021 </w:t>
      </w:r>
      <w:r w:rsidR="00FB0A09">
        <w:rPr>
          <w:rFonts w:ascii="Times New Roman" w:eastAsia="Times New Roman" w:hAnsi="Times New Roman" w:cs="Times New Roman"/>
          <w:bCs/>
          <w:i/>
          <w:sz w:val="24"/>
          <w:szCs w:val="24"/>
          <w:lang w:bidi="bg-BG"/>
        </w:rPr>
        <w:t>г.</w:t>
      </w:r>
      <w:r w:rsidR="00E42714" w:rsidRPr="007404FA">
        <w:rPr>
          <w:rFonts w:ascii="Times New Roman" w:eastAsia="Times New Roman" w:hAnsi="Times New Roman" w:cs="Times New Roman"/>
          <w:bCs/>
          <w:i/>
          <w:sz w:val="24"/>
          <w:szCs w:val="24"/>
          <w:lang w:bidi="bg-BG"/>
        </w:rPr>
        <w:t xml:space="preserve"> съгласно Регламент (ЕС) 2016/679 на Европейския парламент и на Съвета относно адекватното ниво на защита на личните данни от страна на Обединеното кралство</w:t>
      </w:r>
      <w:r w:rsidR="00E42714" w:rsidRPr="007404FA">
        <w:rPr>
          <w:rFonts w:ascii="Times New Roman" w:eastAsia="Times New Roman" w:hAnsi="Times New Roman" w:cs="Times New Roman"/>
          <w:bCs/>
          <w:sz w:val="24"/>
          <w:szCs w:val="24"/>
          <w:lang w:bidi="bg-BG"/>
        </w:rPr>
        <w:t>, като в допълнение следва да е налично и правно основание по смисъла на</w:t>
      </w:r>
      <w:r w:rsidR="00F06583" w:rsidRPr="007404FA">
        <w:rPr>
          <w:rFonts w:ascii="Times New Roman" w:eastAsia="Times New Roman" w:hAnsi="Times New Roman" w:cs="Times New Roman"/>
          <w:bCs/>
          <w:sz w:val="24"/>
          <w:szCs w:val="24"/>
          <w:lang w:bidi="bg-BG"/>
        </w:rPr>
        <w:t xml:space="preserve"> чл. </w:t>
      </w:r>
      <w:r w:rsidR="00E42714" w:rsidRPr="007404FA">
        <w:rPr>
          <w:rFonts w:ascii="Times New Roman" w:eastAsia="Times New Roman" w:hAnsi="Times New Roman" w:cs="Times New Roman"/>
          <w:bCs/>
          <w:sz w:val="24"/>
          <w:szCs w:val="24"/>
          <w:lang w:bidi="bg-BG"/>
        </w:rPr>
        <w:t xml:space="preserve">6, </w:t>
      </w:r>
      <w:r w:rsidR="00FB0A09">
        <w:rPr>
          <w:rFonts w:ascii="Times New Roman" w:eastAsia="Times New Roman" w:hAnsi="Times New Roman" w:cs="Times New Roman"/>
          <w:bCs/>
          <w:sz w:val="24"/>
          <w:szCs w:val="24"/>
          <w:lang w:bidi="bg-BG"/>
        </w:rPr>
        <w:t>§</w:t>
      </w:r>
      <w:r w:rsidR="00E42714" w:rsidRPr="007404FA">
        <w:rPr>
          <w:rFonts w:ascii="Times New Roman" w:eastAsia="Times New Roman" w:hAnsi="Times New Roman" w:cs="Times New Roman"/>
          <w:bCs/>
          <w:sz w:val="24"/>
          <w:szCs w:val="24"/>
          <w:lang w:bidi="bg-BG"/>
        </w:rPr>
        <w:t xml:space="preserve">1 от ОРЗД. Единственото правно основание, </w:t>
      </w:r>
      <w:r w:rsidR="00E42714" w:rsidRPr="007404FA">
        <w:rPr>
          <w:rFonts w:ascii="Times New Roman" w:eastAsia="Times New Roman" w:hAnsi="Times New Roman" w:cs="Times New Roman"/>
          <w:bCs/>
          <w:sz w:val="24"/>
          <w:szCs w:val="24"/>
          <w:lang w:bidi="bg-BG"/>
        </w:rPr>
        <w:lastRenderedPageBreak/>
        <w:t>подходящо за предоставянето на данни в конкретния случай</w:t>
      </w:r>
      <w:r w:rsidR="00FB0A09">
        <w:rPr>
          <w:rFonts w:ascii="Times New Roman" w:eastAsia="Times New Roman" w:hAnsi="Times New Roman" w:cs="Times New Roman"/>
          <w:bCs/>
          <w:sz w:val="24"/>
          <w:szCs w:val="24"/>
          <w:lang w:bidi="bg-BG"/>
        </w:rPr>
        <w:t>,</w:t>
      </w:r>
      <w:r w:rsidR="00E42714" w:rsidRPr="007404FA">
        <w:rPr>
          <w:rFonts w:ascii="Times New Roman" w:eastAsia="Times New Roman" w:hAnsi="Times New Roman" w:cs="Times New Roman"/>
          <w:bCs/>
          <w:sz w:val="24"/>
          <w:szCs w:val="24"/>
          <w:lang w:bidi="bg-BG"/>
        </w:rPr>
        <w:t xml:space="preserve"> е </w:t>
      </w:r>
      <w:r w:rsidR="00E42714" w:rsidRPr="007404FA">
        <w:rPr>
          <w:rFonts w:ascii="Times New Roman" w:eastAsia="Times New Roman" w:hAnsi="Times New Roman" w:cs="Times New Roman"/>
          <w:bCs/>
          <w:sz w:val="24"/>
          <w:szCs w:val="24"/>
        </w:rPr>
        <w:t>това по</w:t>
      </w:r>
      <w:r w:rsidR="00F06583" w:rsidRPr="007404FA">
        <w:rPr>
          <w:rFonts w:ascii="Times New Roman" w:eastAsia="Times New Roman" w:hAnsi="Times New Roman" w:cs="Times New Roman"/>
          <w:bCs/>
          <w:sz w:val="24"/>
          <w:szCs w:val="24"/>
          <w:lang w:bidi="bg-BG"/>
        </w:rPr>
        <w:t xml:space="preserve"> чл. </w:t>
      </w:r>
      <w:r w:rsidR="00E42714" w:rsidRPr="007404FA">
        <w:rPr>
          <w:rFonts w:ascii="Times New Roman" w:eastAsia="Times New Roman" w:hAnsi="Times New Roman" w:cs="Times New Roman"/>
          <w:bCs/>
          <w:sz w:val="24"/>
          <w:szCs w:val="24"/>
          <w:lang w:bidi="bg-BG"/>
        </w:rPr>
        <w:t xml:space="preserve">6, </w:t>
      </w:r>
      <w:r w:rsidR="00FB0A09">
        <w:rPr>
          <w:rFonts w:ascii="Times New Roman" w:eastAsia="Times New Roman" w:hAnsi="Times New Roman" w:cs="Times New Roman"/>
          <w:bCs/>
          <w:sz w:val="24"/>
          <w:szCs w:val="24"/>
          <w:lang w:bidi="bg-BG"/>
        </w:rPr>
        <w:t>§</w:t>
      </w:r>
      <w:r w:rsidR="00E42714" w:rsidRPr="007404FA">
        <w:rPr>
          <w:rFonts w:ascii="Times New Roman" w:eastAsia="Times New Roman" w:hAnsi="Times New Roman" w:cs="Times New Roman"/>
          <w:bCs/>
          <w:sz w:val="24"/>
          <w:szCs w:val="24"/>
          <w:lang w:bidi="bg-BG"/>
        </w:rPr>
        <w:t>1, б. „а“ от ОРЗД</w:t>
      </w:r>
      <w:r w:rsidR="00553661" w:rsidRPr="007404FA">
        <w:rPr>
          <w:rFonts w:ascii="Times New Roman" w:eastAsia="Times New Roman" w:hAnsi="Times New Roman" w:cs="Times New Roman"/>
          <w:bCs/>
          <w:sz w:val="24"/>
          <w:szCs w:val="24"/>
          <w:lang w:bidi="bg-BG"/>
        </w:rPr>
        <w:t xml:space="preserve"> – </w:t>
      </w:r>
      <w:r w:rsidR="00E42714" w:rsidRPr="007404FA">
        <w:rPr>
          <w:rFonts w:ascii="Times New Roman" w:eastAsia="Times New Roman" w:hAnsi="Times New Roman" w:cs="Times New Roman"/>
          <w:bCs/>
          <w:sz w:val="24"/>
          <w:szCs w:val="24"/>
          <w:lang w:bidi="bg-BG"/>
        </w:rPr>
        <w:t>съгласието на субекта на данни, доколкото българската страна не е обвързана със задължения, произтичащи от законодателството на Обединеното кралство по отношение на исканата информация. Данните, които могат да се представят по конкретно искане на местната администр</w:t>
      </w:r>
      <w:r w:rsidR="00FB0A09">
        <w:rPr>
          <w:rFonts w:ascii="Times New Roman" w:eastAsia="Times New Roman" w:hAnsi="Times New Roman" w:cs="Times New Roman"/>
          <w:bCs/>
          <w:sz w:val="24"/>
          <w:szCs w:val="24"/>
          <w:lang w:bidi="bg-BG"/>
        </w:rPr>
        <w:t>ация на лондонския квартал Енфи</w:t>
      </w:r>
      <w:r w:rsidR="00E42714" w:rsidRPr="007404FA">
        <w:rPr>
          <w:rFonts w:ascii="Times New Roman" w:eastAsia="Times New Roman" w:hAnsi="Times New Roman" w:cs="Times New Roman"/>
          <w:bCs/>
          <w:sz w:val="24"/>
          <w:szCs w:val="24"/>
          <w:lang w:bidi="bg-BG"/>
        </w:rPr>
        <w:t>лд, Обединеното кралство, следва да са в минимално необходимия обем, като отговарят единствено на въпроса дали конкретните деца са обхванати от систем</w:t>
      </w:r>
      <w:r w:rsidR="00FB0A09">
        <w:rPr>
          <w:rFonts w:ascii="Times New Roman" w:eastAsia="Times New Roman" w:hAnsi="Times New Roman" w:cs="Times New Roman"/>
          <w:bCs/>
          <w:sz w:val="24"/>
          <w:szCs w:val="24"/>
          <w:lang w:bidi="bg-BG"/>
        </w:rPr>
        <w:t>ата на българското образование</w:t>
      </w:r>
      <w:r w:rsidR="00E42714" w:rsidRPr="007404FA">
        <w:rPr>
          <w:rFonts w:ascii="Times New Roman" w:eastAsia="Times New Roman" w:hAnsi="Times New Roman" w:cs="Times New Roman"/>
          <w:bCs/>
          <w:sz w:val="24"/>
          <w:szCs w:val="24"/>
          <w:lang w:bidi="bg-BG"/>
        </w:rPr>
        <w:t xml:space="preserve"> или не. Допълнителна информация не следва да бъде предавана.</w:t>
      </w:r>
    </w:p>
    <w:p w:rsidR="00E42714" w:rsidRPr="007404FA" w:rsidRDefault="007919E1"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В КЗЛД постъпва</w:t>
      </w:r>
      <w:r w:rsidR="00E42714" w:rsidRPr="007404FA">
        <w:rPr>
          <w:rFonts w:ascii="Times New Roman" w:eastAsia="Times New Roman" w:hAnsi="Times New Roman" w:cs="Times New Roman"/>
          <w:sz w:val="24"/>
          <w:szCs w:val="24"/>
        </w:rPr>
        <w:t xml:space="preserve"> писмо от народен представител с молба за становище по въпроса дали представляват „личн</w:t>
      </w:r>
      <w:r w:rsidR="00BB54B9" w:rsidRPr="007404FA">
        <w:rPr>
          <w:rFonts w:ascii="Times New Roman" w:eastAsia="Times New Roman" w:hAnsi="Times New Roman" w:cs="Times New Roman"/>
          <w:sz w:val="24"/>
          <w:szCs w:val="24"/>
        </w:rPr>
        <w:t>и данни“</w:t>
      </w:r>
      <w:r w:rsidR="00E42714" w:rsidRPr="007404FA">
        <w:rPr>
          <w:rFonts w:ascii="Times New Roman" w:eastAsia="Times New Roman" w:hAnsi="Times New Roman" w:cs="Times New Roman"/>
          <w:sz w:val="24"/>
          <w:szCs w:val="24"/>
        </w:rPr>
        <w:t xml:space="preserve"> или обществена информация и може ли да бъде предоставена на народните представители и на обществеността информация относно трите имена, заеманата позиция и актовете/основанията за уволнение или назначение на различните категории служители в системата на горите към Министерството на земеделието. В становището си КЗЛД посочва, че</w:t>
      </w:r>
      <w:r w:rsidR="00157B49">
        <w:rPr>
          <w:rFonts w:ascii="Times New Roman" w:eastAsia="Times New Roman" w:hAnsi="Times New Roman" w:cs="Times New Roman"/>
          <w:sz w:val="24"/>
          <w:szCs w:val="24"/>
        </w:rPr>
        <w:t xml:space="preserve"> </w:t>
      </w:r>
      <w:r w:rsidR="00FB0A09">
        <w:rPr>
          <w:rFonts w:ascii="Times New Roman" w:eastAsia="Times New Roman" w:hAnsi="Times New Roman" w:cs="Times New Roman"/>
          <w:sz w:val="24"/>
          <w:szCs w:val="24"/>
        </w:rPr>
        <w:t>съгласно Конституцията</w:t>
      </w:r>
      <w:r w:rsidR="00E42714" w:rsidRPr="007404FA">
        <w:rPr>
          <w:rFonts w:ascii="Times New Roman" w:eastAsia="Times New Roman" w:hAnsi="Times New Roman" w:cs="Times New Roman"/>
          <w:sz w:val="24"/>
          <w:szCs w:val="24"/>
        </w:rPr>
        <w:t xml:space="preserve"> Народното събрание разполага с правомощието да упражнява парламентарен контрол по отношение на реализирането на държавната политика от органите на изпълнителната власт. Парламентарен контрол може да бъде осъществяван както от парламентарните комисии, така и от отделните народни представители. Контролът задължава държавните органи и длъжностните лица от държавната и общинската администрация, както и гражданите да предоставят при поискване всички сведения и документи, както и становища. Извършеният анализ на посочените в искането данни показва, че те попадат и в материалния обхват на </w:t>
      </w:r>
      <w:r w:rsidR="00BB54B9" w:rsidRPr="007404FA">
        <w:rPr>
          <w:rFonts w:ascii="Times New Roman" w:eastAsia="Times New Roman" w:hAnsi="Times New Roman" w:cs="Times New Roman"/>
          <w:sz w:val="24"/>
          <w:szCs w:val="24"/>
        </w:rPr>
        <w:t>Закона за достъп до обществена информация (</w:t>
      </w:r>
      <w:r w:rsidR="00E42714" w:rsidRPr="007404FA">
        <w:rPr>
          <w:rFonts w:ascii="Times New Roman" w:eastAsia="Times New Roman" w:hAnsi="Times New Roman" w:cs="Times New Roman"/>
          <w:sz w:val="24"/>
          <w:szCs w:val="24"/>
        </w:rPr>
        <w:t>ЗДОИ</w:t>
      </w:r>
      <w:r w:rsidR="00BB54B9" w:rsidRPr="007404FA">
        <w:rPr>
          <w:rFonts w:ascii="Times New Roman" w:eastAsia="Times New Roman" w:hAnsi="Times New Roman" w:cs="Times New Roman"/>
          <w:sz w:val="24"/>
          <w:szCs w:val="24"/>
        </w:rPr>
        <w:t>)</w:t>
      </w:r>
      <w:r w:rsidR="00E42714" w:rsidRPr="007404FA">
        <w:rPr>
          <w:rFonts w:ascii="Times New Roman" w:eastAsia="Times New Roman" w:hAnsi="Times New Roman" w:cs="Times New Roman"/>
          <w:sz w:val="24"/>
          <w:szCs w:val="24"/>
        </w:rPr>
        <w:t>, поради което следва да се приложат и неговите разпоредби. Правото на достъп до обществена информация не е абсолютно. Един от основните принципи при осъществяване правото на достъп до обществена информация е защитата на личните данни (чл. 6,</w:t>
      </w:r>
      <w:r w:rsidR="00F06583" w:rsidRPr="007404FA">
        <w:rPr>
          <w:rFonts w:ascii="Times New Roman" w:eastAsia="Times New Roman" w:hAnsi="Times New Roman" w:cs="Times New Roman"/>
          <w:sz w:val="24"/>
          <w:szCs w:val="24"/>
        </w:rPr>
        <w:t xml:space="preserve"> ал. </w:t>
      </w:r>
      <w:r w:rsidR="00E42714" w:rsidRPr="007404FA">
        <w:rPr>
          <w:rFonts w:ascii="Times New Roman" w:eastAsia="Times New Roman" w:hAnsi="Times New Roman" w:cs="Times New Roman"/>
          <w:sz w:val="24"/>
          <w:szCs w:val="24"/>
        </w:rPr>
        <w:t>1,</w:t>
      </w:r>
      <w:r w:rsidR="00F06583" w:rsidRPr="007404FA">
        <w:rPr>
          <w:rFonts w:ascii="Times New Roman" w:eastAsia="Times New Roman" w:hAnsi="Times New Roman" w:cs="Times New Roman"/>
          <w:sz w:val="24"/>
          <w:szCs w:val="24"/>
        </w:rPr>
        <w:t xml:space="preserve"> т. </w:t>
      </w:r>
      <w:r w:rsidR="00E42714" w:rsidRPr="007404FA">
        <w:rPr>
          <w:rFonts w:ascii="Times New Roman" w:eastAsia="Times New Roman" w:hAnsi="Times New Roman" w:cs="Times New Roman"/>
          <w:sz w:val="24"/>
          <w:szCs w:val="24"/>
        </w:rPr>
        <w:t>5 от ЗДОИ). Принципно положение е, че личните данни, свързани със служебното качество на лицата, заемащи държавна служба, се ползват с по-занижена защита. Това разбиране намира приложение, по-специално</w:t>
      </w:r>
      <w:r w:rsidR="00FB0A09">
        <w:rPr>
          <w:rFonts w:ascii="Times New Roman" w:eastAsia="Times New Roman" w:hAnsi="Times New Roman" w:cs="Times New Roman"/>
          <w:sz w:val="24"/>
          <w:szCs w:val="24"/>
        </w:rPr>
        <w:t>,</w:t>
      </w:r>
      <w:r w:rsidR="00E42714" w:rsidRPr="007404FA">
        <w:rPr>
          <w:rFonts w:ascii="Times New Roman" w:eastAsia="Times New Roman" w:hAnsi="Times New Roman" w:cs="Times New Roman"/>
          <w:sz w:val="24"/>
          <w:szCs w:val="24"/>
        </w:rPr>
        <w:t xml:space="preserve"> при лицата, заемащи висши публични длъжности</w:t>
      </w:r>
      <w:r w:rsidR="00FB0A09">
        <w:rPr>
          <w:rFonts w:ascii="Times New Roman" w:eastAsia="Times New Roman" w:hAnsi="Times New Roman" w:cs="Times New Roman"/>
          <w:sz w:val="24"/>
          <w:szCs w:val="24"/>
        </w:rPr>
        <w:t>,</w:t>
      </w:r>
      <w:r w:rsidR="00E42714" w:rsidRPr="007404FA">
        <w:rPr>
          <w:rFonts w:ascii="Times New Roman" w:eastAsia="Times New Roman" w:hAnsi="Times New Roman" w:cs="Times New Roman"/>
          <w:sz w:val="24"/>
          <w:szCs w:val="24"/>
        </w:rPr>
        <w:t xml:space="preserve"> и може да бъде изведено от разпоредбите на</w:t>
      </w:r>
      <w:r w:rsidR="00F06583" w:rsidRPr="007404FA">
        <w:rPr>
          <w:rFonts w:ascii="Times New Roman" w:eastAsia="Times New Roman" w:hAnsi="Times New Roman" w:cs="Times New Roman"/>
          <w:sz w:val="24"/>
          <w:szCs w:val="24"/>
        </w:rPr>
        <w:t xml:space="preserve"> чл. </w:t>
      </w:r>
      <w:r w:rsidR="00E42714" w:rsidRPr="007404FA">
        <w:rPr>
          <w:rFonts w:ascii="Times New Roman" w:eastAsia="Times New Roman" w:hAnsi="Times New Roman" w:cs="Times New Roman"/>
          <w:sz w:val="24"/>
          <w:szCs w:val="24"/>
        </w:rPr>
        <w:t xml:space="preserve">6 от Закона за противодействие на корупцията и за отнемане на незаконно придобито имущество (ЗПКОНПИ). </w:t>
      </w:r>
    </w:p>
    <w:p w:rsidR="00E42714" w:rsidRPr="007404FA" w:rsidRDefault="00E42714" w:rsidP="00292E42">
      <w:pPr>
        <w:spacing w:line="400" w:lineRule="exact"/>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Съгласно становището на КЗЛД исканите данни за трите имена, заеманата позиция и актовете/основанията за уволнение или назначение на служители в системата на горите към Министерството на земеделието</w:t>
      </w:r>
      <w:r w:rsidR="00FB0A09">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xml:space="preserve"> заемащи висши публични длъжности</w:t>
      </w:r>
      <w:r w:rsidR="00FB0A09">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xml:space="preserve"> попадат в обхвата на понятието „лични данни“, но подлежат на по-занижена защита с оглед специалния им статут. Данните за всички други лица, незаемащи висши публични </w:t>
      </w:r>
      <w:r w:rsidRPr="007404FA">
        <w:rPr>
          <w:rFonts w:ascii="Times New Roman" w:eastAsia="Times New Roman" w:hAnsi="Times New Roman" w:cs="Times New Roman"/>
          <w:sz w:val="24"/>
          <w:szCs w:val="24"/>
        </w:rPr>
        <w:lastRenderedPageBreak/>
        <w:t>длъжности, могат да се оповестяват под формата на обобщена справка, съдържаща информация по различни критерии, без да се разкриват техните имена. При предоставяне на копия от документи, съдържащите се в тях подписи, ЕГН-та и номера на документи за самоличност, данни на трети лица</w:t>
      </w:r>
      <w:r w:rsidR="00B16208" w:rsidRPr="007404FA">
        <w:rPr>
          <w:rFonts w:ascii="Times New Roman" w:eastAsia="Times New Roman" w:hAnsi="Times New Roman" w:cs="Times New Roman"/>
          <w:sz w:val="24"/>
          <w:szCs w:val="24"/>
        </w:rPr>
        <w:t xml:space="preserve">, които не са пряко относими, </w:t>
      </w:r>
      <w:r w:rsidRPr="007404FA">
        <w:rPr>
          <w:rFonts w:ascii="Times New Roman" w:eastAsia="Times New Roman" w:hAnsi="Times New Roman" w:cs="Times New Roman"/>
          <w:sz w:val="24"/>
          <w:szCs w:val="24"/>
        </w:rPr>
        <w:t>трябва да бъдат заличени.</w:t>
      </w:r>
    </w:p>
    <w:p w:rsidR="00E42714" w:rsidRPr="007404FA" w:rsidRDefault="00E42714" w:rsidP="00292E42">
      <w:pPr>
        <w:spacing w:line="400" w:lineRule="exact"/>
        <w:ind w:firstLine="709"/>
        <w:jc w:val="both"/>
        <w:rPr>
          <w:rFonts w:ascii="Times New Roman" w:eastAsia="Times New Roman" w:hAnsi="Times New Roman" w:cs="Times New Roman"/>
          <w:sz w:val="24"/>
          <w:szCs w:val="24"/>
        </w:rPr>
      </w:pPr>
    </w:p>
    <w:p w:rsidR="008520EB" w:rsidRPr="007404FA" w:rsidRDefault="00DF35FF" w:rsidP="00292E42">
      <w:pPr>
        <w:spacing w:line="400" w:lineRule="exact"/>
        <w:ind w:firstLine="709"/>
        <w:jc w:val="both"/>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1.3. Постановени р</w:t>
      </w:r>
      <w:r w:rsidR="008520EB" w:rsidRPr="007404FA">
        <w:rPr>
          <w:rFonts w:ascii="Times New Roman" w:eastAsia="Times New Roman" w:hAnsi="Times New Roman" w:cs="Times New Roman"/>
          <w:b/>
          <w:sz w:val="24"/>
          <w:szCs w:val="24"/>
        </w:rPr>
        <w:t>ешения</w:t>
      </w:r>
      <w:r w:rsidR="00FB0A09">
        <w:rPr>
          <w:rFonts w:ascii="Times New Roman" w:eastAsia="Times New Roman" w:hAnsi="Times New Roman" w:cs="Times New Roman"/>
          <w:b/>
          <w:sz w:val="24"/>
          <w:szCs w:val="24"/>
        </w:rPr>
        <w:t>.</w:t>
      </w:r>
    </w:p>
    <w:p w:rsidR="00E42714" w:rsidRPr="007404FA" w:rsidRDefault="00E42714" w:rsidP="00292E42">
      <w:pPr>
        <w:spacing w:line="400" w:lineRule="exact"/>
        <w:ind w:firstLine="709"/>
        <w:jc w:val="both"/>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Решения по</w:t>
      </w:r>
      <w:r w:rsidR="00F06583" w:rsidRPr="007404FA">
        <w:rPr>
          <w:rFonts w:ascii="Times New Roman" w:eastAsia="Times New Roman" w:hAnsi="Times New Roman" w:cs="Times New Roman"/>
          <w:b/>
          <w:sz w:val="24"/>
          <w:szCs w:val="24"/>
        </w:rPr>
        <w:t xml:space="preserve"> чл. </w:t>
      </w:r>
      <w:r w:rsidRPr="007404FA">
        <w:rPr>
          <w:rFonts w:ascii="Times New Roman" w:eastAsia="Times New Roman" w:hAnsi="Times New Roman" w:cs="Times New Roman"/>
          <w:b/>
          <w:sz w:val="24"/>
          <w:szCs w:val="24"/>
        </w:rPr>
        <w:t>106,</w:t>
      </w:r>
      <w:r w:rsidR="00F06583" w:rsidRPr="007404FA">
        <w:rPr>
          <w:rFonts w:ascii="Times New Roman" w:eastAsia="Times New Roman" w:hAnsi="Times New Roman" w:cs="Times New Roman"/>
          <w:b/>
          <w:sz w:val="24"/>
          <w:szCs w:val="24"/>
        </w:rPr>
        <w:t xml:space="preserve"> ал. </w:t>
      </w:r>
      <w:r w:rsidRPr="007404FA">
        <w:rPr>
          <w:rFonts w:ascii="Times New Roman" w:eastAsia="Times New Roman" w:hAnsi="Times New Roman" w:cs="Times New Roman"/>
          <w:b/>
          <w:sz w:val="24"/>
          <w:szCs w:val="24"/>
        </w:rPr>
        <w:t>1,</w:t>
      </w:r>
      <w:r w:rsidR="00F06583" w:rsidRPr="007404FA">
        <w:rPr>
          <w:rFonts w:ascii="Times New Roman" w:eastAsia="Times New Roman" w:hAnsi="Times New Roman" w:cs="Times New Roman"/>
          <w:b/>
          <w:sz w:val="24"/>
          <w:szCs w:val="24"/>
        </w:rPr>
        <w:t xml:space="preserve"> т. </w:t>
      </w:r>
      <w:r w:rsidRPr="007404FA">
        <w:rPr>
          <w:rFonts w:ascii="Times New Roman" w:eastAsia="Times New Roman" w:hAnsi="Times New Roman" w:cs="Times New Roman"/>
          <w:b/>
          <w:sz w:val="24"/>
          <w:szCs w:val="24"/>
        </w:rPr>
        <w:t>3, предл. 3 от Закона за гражданската регистрация (ЗГР)</w:t>
      </w:r>
      <w:r w:rsidR="00FB0A09">
        <w:rPr>
          <w:rFonts w:ascii="Times New Roman" w:eastAsia="Times New Roman" w:hAnsi="Times New Roman" w:cs="Times New Roman"/>
          <w:b/>
          <w:sz w:val="24"/>
          <w:szCs w:val="24"/>
        </w:rPr>
        <w:t>.</w:t>
      </w:r>
    </w:p>
    <w:p w:rsidR="00E42714" w:rsidRPr="007404FA" w:rsidRDefault="00E42714" w:rsidP="00292E42">
      <w:pPr>
        <w:spacing w:line="400" w:lineRule="exact"/>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През 2022</w:t>
      </w:r>
      <w:r w:rsidR="00F06583" w:rsidRPr="007404FA">
        <w:rPr>
          <w:rFonts w:ascii="Times New Roman" w:eastAsia="Times New Roman" w:hAnsi="Times New Roman" w:cs="Times New Roman"/>
          <w:sz w:val="24"/>
          <w:szCs w:val="24"/>
        </w:rPr>
        <w:t> г.</w:t>
      </w:r>
      <w:r w:rsidRPr="007404FA">
        <w:rPr>
          <w:rFonts w:ascii="Times New Roman" w:eastAsia="Times New Roman" w:hAnsi="Times New Roman" w:cs="Times New Roman"/>
          <w:sz w:val="24"/>
          <w:szCs w:val="24"/>
        </w:rPr>
        <w:t xml:space="preserve"> КЗЛД прие</w:t>
      </w:r>
      <w:r w:rsidR="00AB3E4E" w:rsidRPr="007404FA">
        <w:rPr>
          <w:rFonts w:ascii="Times New Roman" w:eastAsia="Times New Roman" w:hAnsi="Times New Roman" w:cs="Times New Roman"/>
          <w:sz w:val="24"/>
          <w:szCs w:val="24"/>
        </w:rPr>
        <w:t>ма</w:t>
      </w:r>
      <w:r w:rsidRPr="007404FA">
        <w:rPr>
          <w:rFonts w:ascii="Times New Roman" w:eastAsia="Times New Roman" w:hAnsi="Times New Roman" w:cs="Times New Roman"/>
          <w:sz w:val="24"/>
          <w:szCs w:val="24"/>
        </w:rPr>
        <w:t xml:space="preserve"> 5 решения на основание</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106,</w:t>
      </w:r>
      <w:r w:rsidR="00F06583" w:rsidRPr="007404FA">
        <w:rPr>
          <w:rFonts w:ascii="Times New Roman" w:eastAsia="Times New Roman" w:hAnsi="Times New Roman" w:cs="Times New Roman"/>
          <w:sz w:val="24"/>
          <w:szCs w:val="24"/>
        </w:rPr>
        <w:t xml:space="preserve"> ал. </w:t>
      </w:r>
      <w:r w:rsidRPr="007404FA">
        <w:rPr>
          <w:rFonts w:ascii="Times New Roman" w:eastAsia="Times New Roman" w:hAnsi="Times New Roman" w:cs="Times New Roman"/>
          <w:sz w:val="24"/>
          <w:szCs w:val="24"/>
        </w:rPr>
        <w:t>1,</w:t>
      </w:r>
      <w:r w:rsidR="00F06583" w:rsidRPr="007404FA">
        <w:rPr>
          <w:rFonts w:ascii="Times New Roman" w:eastAsia="Times New Roman" w:hAnsi="Times New Roman" w:cs="Times New Roman"/>
          <w:sz w:val="24"/>
          <w:szCs w:val="24"/>
        </w:rPr>
        <w:t xml:space="preserve"> т. </w:t>
      </w:r>
      <w:r w:rsidRPr="007404FA">
        <w:rPr>
          <w:rFonts w:ascii="Times New Roman" w:eastAsia="Times New Roman" w:hAnsi="Times New Roman" w:cs="Times New Roman"/>
          <w:sz w:val="24"/>
          <w:szCs w:val="24"/>
        </w:rPr>
        <w:t>3, предл. 3 от Закона за гражданската регистрация (ЗГР) по искане на „Аксес Файнанс“ ООД, „Вива кредит“ ООД, „Изи Асет Мениджмънт“ АД и „Топлофикация София“ ЕАД. Приетите решения следват трайната практика на КЗЛД в сходни случаи, съгласно която при липса на валидно правно основание за законосъобр</w:t>
      </w:r>
      <w:r w:rsidR="000D2A56">
        <w:rPr>
          <w:rFonts w:ascii="Times New Roman" w:eastAsia="Times New Roman" w:hAnsi="Times New Roman" w:cs="Times New Roman"/>
          <w:sz w:val="24"/>
          <w:szCs w:val="24"/>
        </w:rPr>
        <w:t>азно обработване на лични данни</w:t>
      </w:r>
      <w:r w:rsidRPr="007404FA">
        <w:rPr>
          <w:rFonts w:ascii="Times New Roman" w:eastAsia="Times New Roman" w:hAnsi="Times New Roman" w:cs="Times New Roman"/>
          <w:sz w:val="24"/>
          <w:szCs w:val="24"/>
        </w:rPr>
        <w:t xml:space="preserve"> не се предоставя достъп до данните от Регистъра на населението</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Национална база данни „Население“.</w:t>
      </w:r>
    </w:p>
    <w:p w:rsidR="00E42714" w:rsidRPr="007404FA" w:rsidRDefault="00E42714" w:rsidP="00292E42">
      <w:pPr>
        <w:spacing w:line="400" w:lineRule="exact"/>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 xml:space="preserve">През </w:t>
      </w:r>
      <w:r w:rsidR="004E61B6" w:rsidRPr="007404FA">
        <w:rPr>
          <w:rFonts w:ascii="Times New Roman" w:eastAsia="Times New Roman" w:hAnsi="Times New Roman" w:cs="Times New Roman"/>
          <w:sz w:val="24"/>
          <w:szCs w:val="24"/>
        </w:rPr>
        <w:t>отчетната</w:t>
      </w:r>
      <w:r w:rsidRPr="007404FA">
        <w:rPr>
          <w:rFonts w:ascii="Times New Roman" w:eastAsia="Times New Roman" w:hAnsi="Times New Roman" w:cs="Times New Roman"/>
          <w:sz w:val="24"/>
          <w:szCs w:val="24"/>
        </w:rPr>
        <w:t xml:space="preserve"> година са постъпвали и запитвания относно достъпа до данните от Регистъра на населението</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Национална база данни „Население“</w:t>
      </w:r>
      <w:r w:rsidR="000D2A56">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xml:space="preserve"> от страна на публични органи, като са давани указания, че КЗЛД има правомощие да издава разрешение за такъв достъп единствено в хипотезата на</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106,</w:t>
      </w:r>
      <w:r w:rsidR="00F06583" w:rsidRPr="007404FA">
        <w:rPr>
          <w:rFonts w:ascii="Times New Roman" w:eastAsia="Times New Roman" w:hAnsi="Times New Roman" w:cs="Times New Roman"/>
          <w:sz w:val="24"/>
          <w:szCs w:val="24"/>
        </w:rPr>
        <w:t xml:space="preserve"> ал. </w:t>
      </w:r>
      <w:r w:rsidRPr="007404FA">
        <w:rPr>
          <w:rFonts w:ascii="Times New Roman" w:eastAsia="Times New Roman" w:hAnsi="Times New Roman" w:cs="Times New Roman"/>
          <w:sz w:val="24"/>
          <w:szCs w:val="24"/>
        </w:rPr>
        <w:t>1,</w:t>
      </w:r>
      <w:r w:rsidR="00F06583" w:rsidRPr="007404FA">
        <w:rPr>
          <w:rFonts w:ascii="Times New Roman" w:eastAsia="Times New Roman" w:hAnsi="Times New Roman" w:cs="Times New Roman"/>
          <w:sz w:val="24"/>
          <w:szCs w:val="24"/>
        </w:rPr>
        <w:t xml:space="preserve"> т. </w:t>
      </w:r>
      <w:r w:rsidRPr="007404FA">
        <w:rPr>
          <w:rFonts w:ascii="Times New Roman" w:eastAsia="Times New Roman" w:hAnsi="Times New Roman" w:cs="Times New Roman"/>
          <w:sz w:val="24"/>
          <w:szCs w:val="24"/>
        </w:rPr>
        <w:t>3, предл. 3 от ЗГР. Държавните органи и институции имат право да достъпват данните съобразно законоустановените им правомощия.</w:t>
      </w:r>
    </w:p>
    <w:p w:rsidR="00E42714" w:rsidRPr="007404FA" w:rsidRDefault="00E42714" w:rsidP="00292E42">
      <w:pPr>
        <w:spacing w:line="400" w:lineRule="exact"/>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 xml:space="preserve">Прави впечатление, че и през </w:t>
      </w:r>
      <w:r w:rsidR="00C61316" w:rsidRPr="007404FA">
        <w:rPr>
          <w:rFonts w:ascii="Times New Roman" w:eastAsia="Times New Roman" w:hAnsi="Times New Roman" w:cs="Times New Roman"/>
          <w:sz w:val="24"/>
          <w:szCs w:val="24"/>
        </w:rPr>
        <w:t>2022</w:t>
      </w:r>
      <w:r w:rsidR="00F06583" w:rsidRPr="007404FA">
        <w:rPr>
          <w:rFonts w:ascii="Times New Roman" w:eastAsia="Times New Roman" w:hAnsi="Times New Roman" w:cs="Times New Roman"/>
          <w:sz w:val="24"/>
          <w:szCs w:val="24"/>
        </w:rPr>
        <w:t> г.</w:t>
      </w:r>
      <w:r w:rsidR="00C61316" w:rsidRPr="007404FA">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има тенденция да се иска достъп до необосновано неограничен обем от информация от Регистъра на населението</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 xml:space="preserve">Национална база данни „Население“. Такива са случаите, когато се изисква достъп до данни на наследниците на клиент/длъжник/кредитополучател. Обикновено не става ясно как и въз основа на какви съображения </w:t>
      </w:r>
      <w:r w:rsidR="00C93C6D" w:rsidRPr="007404FA">
        <w:rPr>
          <w:rFonts w:ascii="Times New Roman" w:eastAsia="Times New Roman" w:hAnsi="Times New Roman" w:cs="Times New Roman"/>
          <w:sz w:val="24"/>
          <w:szCs w:val="24"/>
        </w:rPr>
        <w:t xml:space="preserve">искателите (съответни </w:t>
      </w:r>
      <w:r w:rsidRPr="007404FA">
        <w:rPr>
          <w:rFonts w:ascii="Times New Roman" w:eastAsia="Times New Roman" w:hAnsi="Times New Roman" w:cs="Times New Roman"/>
          <w:sz w:val="24"/>
          <w:szCs w:val="24"/>
        </w:rPr>
        <w:t>дружеств</w:t>
      </w:r>
      <w:r w:rsidR="00C93C6D" w:rsidRPr="007404FA">
        <w:rPr>
          <w:rFonts w:ascii="Times New Roman" w:eastAsia="Times New Roman" w:hAnsi="Times New Roman" w:cs="Times New Roman"/>
          <w:sz w:val="24"/>
          <w:szCs w:val="24"/>
        </w:rPr>
        <w:t>а) ще преценят</w:t>
      </w:r>
      <w:r w:rsidRPr="007404FA">
        <w:rPr>
          <w:rFonts w:ascii="Times New Roman" w:eastAsia="Times New Roman" w:hAnsi="Times New Roman" w:cs="Times New Roman"/>
          <w:sz w:val="24"/>
          <w:szCs w:val="24"/>
        </w:rPr>
        <w:t xml:space="preserve"> на</w:t>
      </w:r>
      <w:r w:rsidR="00C93C6D" w:rsidRPr="007404FA">
        <w:rPr>
          <w:rFonts w:ascii="Times New Roman" w:eastAsia="Times New Roman" w:hAnsi="Times New Roman" w:cs="Times New Roman"/>
          <w:sz w:val="24"/>
          <w:szCs w:val="24"/>
        </w:rPr>
        <w:t xml:space="preserve"> кои точно наследници да изпратят</w:t>
      </w:r>
      <w:r w:rsidRPr="007404FA">
        <w:rPr>
          <w:rFonts w:ascii="Times New Roman" w:eastAsia="Times New Roman" w:hAnsi="Times New Roman" w:cs="Times New Roman"/>
          <w:sz w:val="24"/>
          <w:szCs w:val="24"/>
        </w:rPr>
        <w:t xml:space="preserve"> покана за доброволно изпълнение или да насоч</w:t>
      </w:r>
      <w:r w:rsidR="00C93C6D" w:rsidRPr="007404FA">
        <w:rPr>
          <w:rFonts w:ascii="Times New Roman" w:eastAsia="Times New Roman" w:hAnsi="Times New Roman" w:cs="Times New Roman"/>
          <w:sz w:val="24"/>
          <w:szCs w:val="24"/>
        </w:rPr>
        <w:t>ат</w:t>
      </w:r>
      <w:r w:rsidRPr="007404FA">
        <w:rPr>
          <w:rFonts w:ascii="Times New Roman" w:eastAsia="Times New Roman" w:hAnsi="Times New Roman" w:cs="Times New Roman"/>
          <w:sz w:val="24"/>
          <w:szCs w:val="24"/>
        </w:rPr>
        <w:t xml:space="preserve"> исковата си претенция. В </w:t>
      </w:r>
      <w:r w:rsidR="00F821F9" w:rsidRPr="007404FA">
        <w:rPr>
          <w:rFonts w:ascii="Times New Roman" w:eastAsia="Times New Roman" w:hAnsi="Times New Roman" w:cs="Times New Roman"/>
          <w:sz w:val="24"/>
          <w:szCs w:val="24"/>
        </w:rPr>
        <w:t>тези случаи</w:t>
      </w:r>
      <w:r w:rsidRPr="007404FA">
        <w:rPr>
          <w:rFonts w:ascii="Times New Roman" w:eastAsia="Times New Roman" w:hAnsi="Times New Roman" w:cs="Times New Roman"/>
          <w:sz w:val="24"/>
          <w:szCs w:val="24"/>
        </w:rPr>
        <w:t xml:space="preserve"> е възможно да се осъществи незаконосъобразно обработване чрез предоставяне на лични данни на наследници, които не са приели наследството или които са изключени от процеса по приемане на наследство поради наличие на наследници от по-горен ред.</w:t>
      </w:r>
    </w:p>
    <w:p w:rsidR="00E42714" w:rsidRPr="007404FA" w:rsidRDefault="00E42714" w:rsidP="00292E42">
      <w:pPr>
        <w:spacing w:line="400" w:lineRule="exact"/>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Твърдението, че наследниците на дадено лице</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клиент/длъжник/кредитополучател, са длъжници на дружеството</w:t>
      </w:r>
      <w:r w:rsidR="003B11AD">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кредитор</w:t>
      </w:r>
      <w:r w:rsidR="003B11AD">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xml:space="preserve"> е факт, който следва да бъде доказан. Такова доказване би могло да се осъществи по съответния съдебен ред в рамките на състезателно</w:t>
      </w:r>
      <w:r w:rsidR="003B11AD">
        <w:rPr>
          <w:rFonts w:ascii="Times New Roman" w:eastAsia="Times New Roman" w:hAnsi="Times New Roman" w:cs="Times New Roman"/>
          <w:sz w:val="24"/>
          <w:szCs w:val="24"/>
        </w:rPr>
        <w:t xml:space="preserve"> производство. При необходимост</w:t>
      </w:r>
      <w:r w:rsidRPr="007404FA">
        <w:rPr>
          <w:rFonts w:ascii="Times New Roman" w:eastAsia="Times New Roman" w:hAnsi="Times New Roman" w:cs="Times New Roman"/>
          <w:sz w:val="24"/>
          <w:szCs w:val="24"/>
        </w:rPr>
        <w:t xml:space="preserve"> сезираният съд има правомощие да изиска необходимата </w:t>
      </w:r>
      <w:r w:rsidRPr="007404FA">
        <w:rPr>
          <w:rFonts w:ascii="Times New Roman" w:eastAsia="Times New Roman" w:hAnsi="Times New Roman" w:cs="Times New Roman"/>
          <w:sz w:val="24"/>
          <w:szCs w:val="24"/>
        </w:rPr>
        <w:lastRenderedPageBreak/>
        <w:t>му информация или да издаде съдебно удостоверение, въз основа на което страната да получи необходимата му информация.</w:t>
      </w:r>
    </w:p>
    <w:p w:rsidR="00E42714" w:rsidRPr="007404FA" w:rsidRDefault="00E42714" w:rsidP="00292E42">
      <w:pPr>
        <w:spacing w:line="400" w:lineRule="exact"/>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Гражданскопроцесуалният кодекс (ГПК) предвижда възможността за издаване на съдебно удостоверение в гражданския процес. Основният принцип в ГПК е, че официални документи и удостоверения се представят от страните (чл. 186, изречение първо от ГПК). Допустимо е и самият съд, пред който делото е висящо, да ги изиска от съответното учреждение (чл. 186, изречение второ, предложение първо от ГПК), в случая</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длъжностното лице по гражданското състояние. Ако сам не изиска съответните документи от компетентните органи, съдът може да снабди страната със съдебно удостоверение, въз основа на което тя да се снабди със съответните официални документи и удостоверения (чл. 186, изречение второ, предложение второ от ГПК).</w:t>
      </w:r>
    </w:p>
    <w:p w:rsidR="00E42714" w:rsidRPr="007404FA" w:rsidRDefault="00E42714" w:rsidP="00292E42">
      <w:pPr>
        <w:spacing w:line="400" w:lineRule="exact"/>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В своята практика чрез изразяване на становища КЗЛД нееднократно е застъпвала тезата, че данни</w:t>
      </w:r>
      <w:r w:rsidR="003B11AD">
        <w:rPr>
          <w:rFonts w:ascii="Times New Roman" w:eastAsia="Times New Roman" w:hAnsi="Times New Roman" w:cs="Times New Roman"/>
          <w:sz w:val="24"/>
          <w:szCs w:val="24"/>
        </w:rPr>
        <w:t xml:space="preserve"> за наследници на починали лица с цел събиране на вземания</w:t>
      </w:r>
      <w:r w:rsidRPr="007404FA">
        <w:rPr>
          <w:rFonts w:ascii="Times New Roman" w:eastAsia="Times New Roman" w:hAnsi="Times New Roman" w:cs="Times New Roman"/>
          <w:sz w:val="24"/>
          <w:szCs w:val="24"/>
        </w:rPr>
        <w:t xml:space="preserve"> могат да се предоставят при наличие на акт на съдебната власт (каквото е именно съдебното удостоверение).</w:t>
      </w:r>
    </w:p>
    <w:p w:rsidR="00E42714" w:rsidRPr="007404FA" w:rsidRDefault="00E42714" w:rsidP="00292E42">
      <w:pPr>
        <w:spacing w:line="400" w:lineRule="exact"/>
        <w:ind w:firstLine="709"/>
        <w:jc w:val="both"/>
        <w:rPr>
          <w:rFonts w:ascii="Times New Roman" w:eastAsia="Times New Roman" w:hAnsi="Times New Roman" w:cs="Times New Roman"/>
          <w:sz w:val="24"/>
          <w:szCs w:val="24"/>
        </w:rPr>
      </w:pPr>
    </w:p>
    <w:p w:rsidR="00E42714" w:rsidRPr="007404FA" w:rsidRDefault="00E42714" w:rsidP="00292E42">
      <w:pPr>
        <w:spacing w:line="400" w:lineRule="exact"/>
        <w:ind w:firstLine="709"/>
        <w:jc w:val="both"/>
        <w:rPr>
          <w:rFonts w:ascii="Times New Roman" w:hAnsi="Times New Roman" w:cs="Times New Roman"/>
          <w:b/>
          <w:sz w:val="24"/>
          <w:szCs w:val="24"/>
        </w:rPr>
      </w:pPr>
      <w:r w:rsidRPr="007404FA">
        <w:rPr>
          <w:rFonts w:ascii="Times New Roman" w:hAnsi="Times New Roman" w:cs="Times New Roman"/>
          <w:b/>
          <w:sz w:val="24"/>
          <w:szCs w:val="24"/>
        </w:rPr>
        <w:t xml:space="preserve">2. Сравнителен анализ на исканията за становища. </w:t>
      </w:r>
    </w:p>
    <w:p w:rsidR="00B449D0" w:rsidRPr="007404FA" w:rsidRDefault="00E42714" w:rsidP="00292E42">
      <w:pPr>
        <w:spacing w:line="400" w:lineRule="exact"/>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През 2022 </w:t>
      </w:r>
      <w:r w:rsidR="003B11AD">
        <w:rPr>
          <w:rFonts w:ascii="Times New Roman" w:hAnsi="Times New Roman" w:cs="Times New Roman"/>
          <w:sz w:val="24"/>
          <w:szCs w:val="24"/>
        </w:rPr>
        <w:t>г.</w:t>
      </w:r>
      <w:r w:rsidRPr="007404FA">
        <w:rPr>
          <w:rFonts w:ascii="Times New Roman" w:hAnsi="Times New Roman" w:cs="Times New Roman"/>
          <w:sz w:val="24"/>
          <w:szCs w:val="24"/>
        </w:rPr>
        <w:t xml:space="preserve"> се наблюдава постепенно завръщане към нормалния ритъм по отношение на постъпващите искания за изразяване на становища и запитвания от страна на администраторите на лични данни, след като </w:t>
      </w:r>
      <w:r w:rsidR="004D11AB" w:rsidRPr="007404FA">
        <w:rPr>
          <w:rFonts w:ascii="Times New Roman" w:hAnsi="Times New Roman" w:cs="Times New Roman"/>
          <w:sz w:val="24"/>
          <w:szCs w:val="24"/>
        </w:rPr>
        <w:t>са</w:t>
      </w:r>
      <w:r w:rsidRPr="007404FA">
        <w:rPr>
          <w:rFonts w:ascii="Times New Roman" w:hAnsi="Times New Roman" w:cs="Times New Roman"/>
          <w:sz w:val="24"/>
          <w:szCs w:val="24"/>
        </w:rPr>
        <w:t xml:space="preserve"> преодолени предизвикателствата на предходните две пандемични години. Повечето проблеми на дистанционното обучение, обработването на лични данни за здравословното състояние на работници и служители, използването на т.нар. зелени сертификати </w:t>
      </w:r>
      <w:r w:rsidR="004D11AB" w:rsidRPr="007404FA">
        <w:rPr>
          <w:rFonts w:ascii="Times New Roman" w:hAnsi="Times New Roman" w:cs="Times New Roman"/>
          <w:sz w:val="24"/>
          <w:szCs w:val="24"/>
        </w:rPr>
        <w:t>вече са</w:t>
      </w:r>
      <w:r w:rsidRPr="007404FA">
        <w:rPr>
          <w:rFonts w:ascii="Times New Roman" w:hAnsi="Times New Roman" w:cs="Times New Roman"/>
          <w:sz w:val="24"/>
          <w:szCs w:val="24"/>
        </w:rPr>
        <w:t xml:space="preserve"> проучени и разрешени, а с о</w:t>
      </w:r>
      <w:r w:rsidR="004D11AB" w:rsidRPr="007404FA">
        <w:rPr>
          <w:rFonts w:ascii="Times New Roman" w:hAnsi="Times New Roman" w:cs="Times New Roman"/>
          <w:sz w:val="24"/>
          <w:szCs w:val="24"/>
        </w:rPr>
        <w:t>тшумяването на пандемията отпад</w:t>
      </w:r>
      <w:r w:rsidRPr="007404FA">
        <w:rPr>
          <w:rFonts w:ascii="Times New Roman" w:hAnsi="Times New Roman" w:cs="Times New Roman"/>
          <w:sz w:val="24"/>
          <w:szCs w:val="24"/>
        </w:rPr>
        <w:t xml:space="preserve">а и необходимостта за тяхното допълнително задълбочаване и обсъждане. </w:t>
      </w:r>
    </w:p>
    <w:p w:rsidR="00E42714" w:rsidRPr="007404FA" w:rsidRDefault="00B449D0" w:rsidP="00292E42">
      <w:pPr>
        <w:spacing w:line="400" w:lineRule="exact"/>
        <w:ind w:firstLine="709"/>
        <w:jc w:val="both"/>
        <w:rPr>
          <w:rFonts w:ascii="Times New Roman" w:hAnsi="Times New Roman" w:cs="Times New Roman"/>
          <w:sz w:val="24"/>
          <w:szCs w:val="24"/>
        </w:rPr>
      </w:pPr>
      <w:r w:rsidRPr="007404FA">
        <w:rPr>
          <w:rFonts w:ascii="Times New Roman" w:hAnsi="Times New Roman" w:cs="Times New Roman"/>
          <w:sz w:val="24"/>
          <w:szCs w:val="24"/>
        </w:rPr>
        <w:t>П</w:t>
      </w:r>
      <w:r w:rsidR="004D11AB" w:rsidRPr="007404FA">
        <w:rPr>
          <w:rFonts w:ascii="Times New Roman" w:hAnsi="Times New Roman" w:cs="Times New Roman"/>
          <w:sz w:val="24"/>
          <w:szCs w:val="24"/>
        </w:rPr>
        <w:t xml:space="preserve">рави впечатление, че </w:t>
      </w:r>
      <w:r w:rsidR="00E42714" w:rsidRPr="007404FA">
        <w:rPr>
          <w:rFonts w:ascii="Times New Roman" w:hAnsi="Times New Roman" w:cs="Times New Roman"/>
          <w:sz w:val="24"/>
          <w:szCs w:val="24"/>
        </w:rPr>
        <w:t xml:space="preserve">голямото болшинство от исканията за становища </w:t>
      </w:r>
      <w:r w:rsidR="00612FBC" w:rsidRPr="007404FA">
        <w:rPr>
          <w:rFonts w:ascii="Times New Roman" w:hAnsi="Times New Roman" w:cs="Times New Roman"/>
          <w:sz w:val="24"/>
          <w:szCs w:val="24"/>
        </w:rPr>
        <w:t>вече не е да се търси</w:t>
      </w:r>
      <w:r w:rsidR="00E42714" w:rsidRPr="007404FA">
        <w:rPr>
          <w:rFonts w:ascii="Times New Roman" w:hAnsi="Times New Roman" w:cs="Times New Roman"/>
          <w:sz w:val="24"/>
          <w:szCs w:val="24"/>
        </w:rPr>
        <w:t xml:space="preserve"> тълкуване на основни понятия и </w:t>
      </w:r>
      <w:r w:rsidR="00612FBC" w:rsidRPr="007404FA">
        <w:rPr>
          <w:rFonts w:ascii="Times New Roman" w:hAnsi="Times New Roman" w:cs="Times New Roman"/>
          <w:sz w:val="24"/>
          <w:szCs w:val="24"/>
        </w:rPr>
        <w:t>принципни положения</w:t>
      </w:r>
      <w:r w:rsidR="00E42714" w:rsidRPr="007404FA">
        <w:rPr>
          <w:rFonts w:ascii="Times New Roman" w:hAnsi="Times New Roman" w:cs="Times New Roman"/>
          <w:sz w:val="24"/>
          <w:szCs w:val="24"/>
        </w:rPr>
        <w:t xml:space="preserve"> в защитата на личните данни, а напротив</w:t>
      </w:r>
      <w:r w:rsidR="00553661" w:rsidRPr="007404FA">
        <w:rPr>
          <w:rFonts w:ascii="Times New Roman" w:hAnsi="Times New Roman" w:cs="Times New Roman"/>
          <w:sz w:val="24"/>
          <w:szCs w:val="24"/>
        </w:rPr>
        <w:t xml:space="preserve"> – </w:t>
      </w:r>
      <w:r w:rsidR="00E42714" w:rsidRPr="007404FA">
        <w:rPr>
          <w:rFonts w:ascii="Times New Roman" w:hAnsi="Times New Roman" w:cs="Times New Roman"/>
          <w:sz w:val="24"/>
          <w:szCs w:val="24"/>
        </w:rPr>
        <w:t>поставят</w:t>
      </w:r>
      <w:r w:rsidR="00D20B14" w:rsidRPr="007404FA">
        <w:rPr>
          <w:rFonts w:ascii="Times New Roman" w:hAnsi="Times New Roman" w:cs="Times New Roman"/>
          <w:sz w:val="24"/>
          <w:szCs w:val="24"/>
        </w:rPr>
        <w:t xml:space="preserve"> се</w:t>
      </w:r>
      <w:r w:rsidR="00E42714" w:rsidRPr="007404FA">
        <w:rPr>
          <w:rFonts w:ascii="Times New Roman" w:hAnsi="Times New Roman" w:cs="Times New Roman"/>
          <w:sz w:val="24"/>
          <w:szCs w:val="24"/>
        </w:rPr>
        <w:t xml:space="preserve"> за разглеждане значително по-детайлни въпроси по защитата на неприкосновеността на физи</w:t>
      </w:r>
      <w:r w:rsidR="003B11AD">
        <w:rPr>
          <w:rFonts w:ascii="Times New Roman" w:hAnsi="Times New Roman" w:cs="Times New Roman"/>
          <w:sz w:val="24"/>
          <w:szCs w:val="24"/>
        </w:rPr>
        <w:t>ческите лица и съответно</w:t>
      </w:r>
      <w:r w:rsidR="00E42714" w:rsidRPr="007404FA">
        <w:rPr>
          <w:rFonts w:ascii="Times New Roman" w:hAnsi="Times New Roman" w:cs="Times New Roman"/>
          <w:sz w:val="24"/>
          <w:szCs w:val="24"/>
        </w:rPr>
        <w:t xml:space="preserve"> пределите на произтичащите за администраторите/обработващите лични данни задължения</w:t>
      </w:r>
      <w:r w:rsidR="00D20B14" w:rsidRPr="007404FA">
        <w:rPr>
          <w:rFonts w:ascii="Times New Roman" w:hAnsi="Times New Roman" w:cs="Times New Roman"/>
          <w:sz w:val="24"/>
          <w:szCs w:val="24"/>
        </w:rPr>
        <w:t xml:space="preserve"> в </w:t>
      </w:r>
      <w:r w:rsidR="00095405" w:rsidRPr="007404FA">
        <w:rPr>
          <w:rFonts w:ascii="Times New Roman" w:hAnsi="Times New Roman" w:cs="Times New Roman"/>
          <w:sz w:val="24"/>
          <w:szCs w:val="24"/>
        </w:rPr>
        <w:t>различните</w:t>
      </w:r>
      <w:r w:rsidR="00D20B14" w:rsidRPr="007404FA">
        <w:rPr>
          <w:rFonts w:ascii="Times New Roman" w:hAnsi="Times New Roman" w:cs="Times New Roman"/>
          <w:sz w:val="24"/>
          <w:szCs w:val="24"/>
        </w:rPr>
        <w:t xml:space="preserve"> сектори на дейност</w:t>
      </w:r>
      <w:r w:rsidR="00E42714" w:rsidRPr="007404FA">
        <w:rPr>
          <w:rFonts w:ascii="Times New Roman" w:hAnsi="Times New Roman" w:cs="Times New Roman"/>
          <w:sz w:val="24"/>
          <w:szCs w:val="24"/>
        </w:rPr>
        <w:t xml:space="preserve">. </w:t>
      </w:r>
    </w:p>
    <w:p w:rsidR="00E42714" w:rsidRPr="007404FA" w:rsidRDefault="00E42714" w:rsidP="00292E42">
      <w:pPr>
        <w:spacing w:line="400" w:lineRule="exact"/>
        <w:ind w:firstLine="709"/>
        <w:jc w:val="both"/>
        <w:rPr>
          <w:rFonts w:ascii="Times New Roman" w:hAnsi="Times New Roman" w:cs="Times New Roman"/>
          <w:sz w:val="24"/>
          <w:szCs w:val="24"/>
        </w:rPr>
      </w:pPr>
    </w:p>
    <w:p w:rsidR="00E42714" w:rsidRPr="007404FA" w:rsidRDefault="00E42714" w:rsidP="00292E42">
      <w:pPr>
        <w:spacing w:line="400" w:lineRule="exact"/>
        <w:ind w:firstLine="709"/>
        <w:jc w:val="both"/>
        <w:rPr>
          <w:rFonts w:ascii="Times New Roman" w:hAnsi="Times New Roman" w:cs="Times New Roman"/>
          <w:b/>
          <w:sz w:val="24"/>
          <w:szCs w:val="24"/>
        </w:rPr>
      </w:pPr>
      <w:r w:rsidRPr="007404FA">
        <w:rPr>
          <w:rFonts w:ascii="Times New Roman" w:hAnsi="Times New Roman" w:cs="Times New Roman"/>
          <w:b/>
          <w:sz w:val="24"/>
          <w:szCs w:val="24"/>
        </w:rPr>
        <w:t>3. Становища по законодателни инициативи. Участие в процедури по съгласуване на проекти на нормативни актове.</w:t>
      </w:r>
    </w:p>
    <w:p w:rsidR="00E42714" w:rsidRPr="007404FA" w:rsidRDefault="00E42714" w:rsidP="00380D94">
      <w:pPr>
        <w:spacing w:line="390" w:lineRule="exact"/>
        <w:ind w:firstLine="709"/>
        <w:jc w:val="both"/>
        <w:rPr>
          <w:rFonts w:ascii="Times New Roman" w:hAnsi="Times New Roman" w:cs="Times New Roman"/>
          <w:sz w:val="24"/>
          <w:szCs w:val="24"/>
        </w:rPr>
      </w:pPr>
      <w:r w:rsidRPr="007404FA">
        <w:rPr>
          <w:rFonts w:ascii="Times New Roman" w:hAnsi="Times New Roman" w:cs="Times New Roman"/>
          <w:sz w:val="24"/>
          <w:szCs w:val="24"/>
        </w:rPr>
        <w:t>Като надзорен орган по защита на личните данни, КЗЛД има правомощие да издава по собствена инициатива или при поискване становища до национални</w:t>
      </w:r>
      <w:r w:rsidR="003B11AD">
        <w:rPr>
          <w:rFonts w:ascii="Times New Roman" w:hAnsi="Times New Roman" w:cs="Times New Roman"/>
          <w:sz w:val="24"/>
          <w:szCs w:val="24"/>
        </w:rPr>
        <w:t xml:space="preserve">я парламент, </w:t>
      </w:r>
      <w:r w:rsidR="003B11AD">
        <w:rPr>
          <w:rFonts w:ascii="Times New Roman" w:hAnsi="Times New Roman" w:cs="Times New Roman"/>
          <w:sz w:val="24"/>
          <w:szCs w:val="24"/>
        </w:rPr>
        <w:lastRenderedPageBreak/>
        <w:t>правителството или</w:t>
      </w:r>
      <w:r w:rsidRPr="007404FA">
        <w:rPr>
          <w:rFonts w:ascii="Times New Roman" w:hAnsi="Times New Roman" w:cs="Times New Roman"/>
          <w:sz w:val="24"/>
          <w:szCs w:val="24"/>
        </w:rPr>
        <w:t xml:space="preserve"> в съответствие с правото</w:t>
      </w:r>
      <w:r w:rsidR="00E06D6E">
        <w:rPr>
          <w:rFonts w:ascii="Times New Roman" w:hAnsi="Times New Roman" w:cs="Times New Roman"/>
          <w:sz w:val="24"/>
          <w:szCs w:val="24"/>
        </w:rPr>
        <w:t xml:space="preserve"> – </w:t>
      </w:r>
      <w:r w:rsidRPr="007404FA">
        <w:rPr>
          <w:rFonts w:ascii="Times New Roman" w:hAnsi="Times New Roman" w:cs="Times New Roman"/>
          <w:sz w:val="24"/>
          <w:szCs w:val="24"/>
        </w:rPr>
        <w:t xml:space="preserve">до други институции и органи, както и до обществеността по всякакви въпроси, свързани със защитата на лични данни (чл. 58, </w:t>
      </w:r>
      <w:r w:rsidR="003B11AD">
        <w:rPr>
          <w:rFonts w:ascii="Times New Roman" w:hAnsi="Times New Roman" w:cs="Times New Roman"/>
          <w:sz w:val="24"/>
          <w:szCs w:val="24"/>
        </w:rPr>
        <w:t>§</w:t>
      </w:r>
      <w:r w:rsidRPr="007404FA">
        <w:rPr>
          <w:rFonts w:ascii="Times New Roman" w:hAnsi="Times New Roman" w:cs="Times New Roman"/>
          <w:sz w:val="24"/>
          <w:szCs w:val="24"/>
        </w:rPr>
        <w:t xml:space="preserve">3, б. </w:t>
      </w:r>
      <w:r w:rsidR="003B11AD">
        <w:rPr>
          <w:rFonts w:ascii="Times New Roman" w:hAnsi="Times New Roman" w:cs="Times New Roman"/>
          <w:sz w:val="24"/>
          <w:szCs w:val="24"/>
        </w:rPr>
        <w:t>„</w:t>
      </w:r>
      <w:r w:rsidRPr="007404FA">
        <w:rPr>
          <w:rFonts w:ascii="Times New Roman" w:hAnsi="Times New Roman" w:cs="Times New Roman"/>
          <w:sz w:val="24"/>
          <w:szCs w:val="24"/>
        </w:rPr>
        <w:t>б</w:t>
      </w:r>
      <w:r w:rsidR="003B11AD">
        <w:rPr>
          <w:rFonts w:ascii="Times New Roman" w:hAnsi="Times New Roman" w:cs="Times New Roman"/>
          <w:sz w:val="24"/>
          <w:szCs w:val="24"/>
        </w:rPr>
        <w:t>“</w:t>
      </w:r>
      <w:r w:rsidRPr="007404FA">
        <w:rPr>
          <w:rFonts w:ascii="Times New Roman" w:hAnsi="Times New Roman" w:cs="Times New Roman"/>
          <w:sz w:val="24"/>
          <w:szCs w:val="24"/>
        </w:rPr>
        <w:t xml:space="preserve"> от Регламент (ЕС) 2016/679). </w:t>
      </w:r>
    </w:p>
    <w:p w:rsidR="00E42714" w:rsidRPr="007404FA" w:rsidRDefault="00E42714" w:rsidP="00380D94">
      <w:pPr>
        <w:spacing w:line="390" w:lineRule="exact"/>
        <w:ind w:firstLine="709"/>
        <w:jc w:val="both"/>
        <w:rPr>
          <w:rFonts w:ascii="Times New Roman" w:hAnsi="Times New Roman" w:cs="Times New Roman"/>
          <w:sz w:val="24"/>
          <w:szCs w:val="24"/>
        </w:rPr>
      </w:pPr>
      <w:r w:rsidRPr="007404FA">
        <w:rPr>
          <w:rFonts w:ascii="Times New Roman" w:hAnsi="Times New Roman" w:cs="Times New Roman"/>
          <w:sz w:val="24"/>
          <w:szCs w:val="24"/>
        </w:rPr>
        <w:t>През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по този ред КЗЛД </w:t>
      </w:r>
      <w:r w:rsidR="00027A89" w:rsidRPr="007404FA">
        <w:rPr>
          <w:rFonts w:ascii="Times New Roman" w:hAnsi="Times New Roman" w:cs="Times New Roman"/>
          <w:sz w:val="24"/>
          <w:szCs w:val="24"/>
        </w:rPr>
        <w:t xml:space="preserve">е </w:t>
      </w:r>
      <w:r w:rsidRPr="007404FA">
        <w:rPr>
          <w:rFonts w:ascii="Times New Roman" w:hAnsi="Times New Roman" w:cs="Times New Roman"/>
          <w:sz w:val="24"/>
          <w:szCs w:val="24"/>
        </w:rPr>
        <w:t>разгледа</w:t>
      </w:r>
      <w:r w:rsidR="00027A89" w:rsidRPr="007404FA">
        <w:rPr>
          <w:rFonts w:ascii="Times New Roman" w:hAnsi="Times New Roman" w:cs="Times New Roman"/>
          <w:sz w:val="24"/>
          <w:szCs w:val="24"/>
        </w:rPr>
        <w:t>ла</w:t>
      </w:r>
      <w:r w:rsidRPr="007404FA">
        <w:rPr>
          <w:rFonts w:ascii="Times New Roman" w:hAnsi="Times New Roman" w:cs="Times New Roman"/>
          <w:sz w:val="24"/>
          <w:szCs w:val="24"/>
        </w:rPr>
        <w:t xml:space="preserve"> постъпилото от министъра на здравеопазването искане за провеждане на предварителна консултация по</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 xml:space="preserve">36, </w:t>
      </w:r>
      <w:r w:rsidR="003B11AD">
        <w:rPr>
          <w:rFonts w:ascii="Times New Roman" w:hAnsi="Times New Roman" w:cs="Times New Roman"/>
          <w:sz w:val="24"/>
          <w:szCs w:val="24"/>
        </w:rPr>
        <w:t>§</w:t>
      </w:r>
      <w:r w:rsidRPr="007404FA">
        <w:rPr>
          <w:rFonts w:ascii="Times New Roman" w:hAnsi="Times New Roman" w:cs="Times New Roman"/>
          <w:sz w:val="24"/>
          <w:szCs w:val="24"/>
        </w:rPr>
        <w:t>4 от Регламент (ЕС) 2016/679 във връзка с изработването на проект на Наредба за функционирането на Националната здравноинформационна система (НЗИС) с приложени към него мотиви и оценка на риска. След детайлна оценка на проекта със законодателството за за</w:t>
      </w:r>
      <w:r w:rsidR="003B11AD">
        <w:rPr>
          <w:rFonts w:ascii="Times New Roman" w:hAnsi="Times New Roman" w:cs="Times New Roman"/>
          <w:sz w:val="24"/>
          <w:szCs w:val="24"/>
        </w:rPr>
        <w:t>щита на данните</w:t>
      </w:r>
      <w:r w:rsidR="00DF4C78" w:rsidRPr="007404FA">
        <w:rPr>
          <w:rFonts w:ascii="Times New Roman" w:hAnsi="Times New Roman" w:cs="Times New Roman"/>
          <w:sz w:val="24"/>
          <w:szCs w:val="24"/>
        </w:rPr>
        <w:t xml:space="preserve"> КЗЛД е предоставила</w:t>
      </w:r>
      <w:r w:rsidRPr="007404FA">
        <w:rPr>
          <w:rFonts w:ascii="Times New Roman" w:hAnsi="Times New Roman" w:cs="Times New Roman"/>
          <w:sz w:val="24"/>
          <w:szCs w:val="24"/>
        </w:rPr>
        <w:t xml:space="preserve"> 10 принципни бележки, предложения и насоки, както и 47 бележки по същество по предложението за нормативен акт.</w:t>
      </w:r>
    </w:p>
    <w:p w:rsidR="00E42714" w:rsidRPr="007404FA" w:rsidRDefault="00E42714" w:rsidP="00380D94">
      <w:pPr>
        <w:spacing w:line="390" w:lineRule="exact"/>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През изминалата 2022 </w:t>
      </w:r>
      <w:r w:rsidR="003B11AD">
        <w:rPr>
          <w:rFonts w:ascii="Times New Roman" w:hAnsi="Times New Roman" w:cs="Times New Roman"/>
          <w:sz w:val="24"/>
          <w:szCs w:val="24"/>
        </w:rPr>
        <w:t>г.</w:t>
      </w:r>
      <w:r w:rsidRPr="007404FA">
        <w:rPr>
          <w:rFonts w:ascii="Times New Roman" w:hAnsi="Times New Roman" w:cs="Times New Roman"/>
          <w:sz w:val="24"/>
          <w:szCs w:val="24"/>
        </w:rPr>
        <w:t xml:space="preserve"> </w:t>
      </w:r>
      <w:r w:rsidR="00E077DE" w:rsidRPr="007404FA">
        <w:rPr>
          <w:rFonts w:ascii="Times New Roman" w:hAnsi="Times New Roman" w:cs="Times New Roman"/>
          <w:sz w:val="24"/>
          <w:szCs w:val="24"/>
        </w:rPr>
        <w:t>са</w:t>
      </w:r>
      <w:r w:rsidRPr="007404FA">
        <w:rPr>
          <w:rFonts w:ascii="Times New Roman" w:hAnsi="Times New Roman" w:cs="Times New Roman"/>
          <w:sz w:val="24"/>
          <w:szCs w:val="24"/>
        </w:rPr>
        <w:t xml:space="preserve"> изразени 4 становища по съгласувателни процедури по реда на Устройствения правилник на Министерския съвет и неговата администрация</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по проект на Решение на МС за одобряване на проект на Закон за изменение и допълнение на Закона за чужденците</w:t>
      </w:r>
      <w:r w:rsidR="003B11AD">
        <w:rPr>
          <w:rFonts w:ascii="Times New Roman" w:hAnsi="Times New Roman" w:cs="Times New Roman"/>
          <w:sz w:val="24"/>
          <w:szCs w:val="24"/>
        </w:rPr>
        <w:t xml:space="preserve"> в Република България (ЗИДЗЧРБ),</w:t>
      </w:r>
      <w:r w:rsidRPr="007404FA">
        <w:rPr>
          <w:rFonts w:ascii="Times New Roman" w:hAnsi="Times New Roman" w:cs="Times New Roman"/>
          <w:sz w:val="24"/>
          <w:szCs w:val="24"/>
        </w:rPr>
        <w:t xml:space="preserve"> по проект на Решение на Министерския съвет за изменение и допълнение на Програмата за ползване на хуманитарна помощ на лица, търсещи временна закрила в Република България вследствие на военните действия в Република Украйна, по проект на Решение на Министерския съвет за одобряване на проект на Закон за изменение и допълнение на </w:t>
      </w:r>
      <w:r w:rsidR="00A34E11" w:rsidRPr="007404FA">
        <w:rPr>
          <w:rFonts w:ascii="Times New Roman" w:hAnsi="Times New Roman" w:cs="Times New Roman"/>
          <w:sz w:val="24"/>
          <w:szCs w:val="24"/>
        </w:rPr>
        <w:t>ЗДОИ</w:t>
      </w:r>
      <w:r w:rsidRPr="007404FA">
        <w:rPr>
          <w:rFonts w:ascii="Times New Roman" w:hAnsi="Times New Roman" w:cs="Times New Roman"/>
          <w:sz w:val="24"/>
          <w:szCs w:val="24"/>
        </w:rPr>
        <w:t xml:space="preserve"> и по проект на Решение на Министерския съвет за одобряване на проект на Закон за изменение и допълнение на Закона за особените залози.</w:t>
      </w:r>
    </w:p>
    <w:p w:rsidR="00E42714" w:rsidRPr="007404FA" w:rsidRDefault="00F35754" w:rsidP="00380D94">
      <w:pPr>
        <w:spacing w:line="390" w:lineRule="exact"/>
        <w:ind w:firstLine="709"/>
        <w:jc w:val="both"/>
        <w:rPr>
          <w:rFonts w:ascii="Times New Roman" w:hAnsi="Times New Roman" w:cs="Times New Roman"/>
          <w:sz w:val="24"/>
          <w:szCs w:val="24"/>
        </w:rPr>
      </w:pPr>
      <w:r w:rsidRPr="007404FA">
        <w:rPr>
          <w:rFonts w:ascii="Times New Roman" w:hAnsi="Times New Roman" w:cs="Times New Roman"/>
          <w:sz w:val="24"/>
          <w:szCs w:val="24"/>
        </w:rPr>
        <w:t>През отчетната година постъпват</w:t>
      </w:r>
      <w:r w:rsidR="00E42714" w:rsidRPr="007404FA">
        <w:rPr>
          <w:rFonts w:ascii="Times New Roman" w:hAnsi="Times New Roman" w:cs="Times New Roman"/>
          <w:sz w:val="24"/>
          <w:szCs w:val="24"/>
        </w:rPr>
        <w:t xml:space="preserve"> и 6 искания за изразяване на становища по законопроекти, предложени за разглеждане в Народното събрание, какт</w:t>
      </w:r>
      <w:r w:rsidRPr="007404FA">
        <w:rPr>
          <w:rFonts w:ascii="Times New Roman" w:hAnsi="Times New Roman" w:cs="Times New Roman"/>
          <w:sz w:val="24"/>
          <w:szCs w:val="24"/>
        </w:rPr>
        <w:t>о следва: Законопроект</w:t>
      </w:r>
      <w:r w:rsidR="00E42714" w:rsidRPr="007404FA">
        <w:rPr>
          <w:rFonts w:ascii="Times New Roman" w:hAnsi="Times New Roman" w:cs="Times New Roman"/>
          <w:sz w:val="24"/>
          <w:szCs w:val="24"/>
        </w:rPr>
        <w:t xml:space="preserve"> за изменение и допълнение на Закона за регистър БУЛСТАТ, Законопроект за старите столици в Република България, Законопроект за доброволчество, Законопроект за изменение и допълнение на Закона за б</w:t>
      </w:r>
      <w:r w:rsidR="00CD10CA" w:rsidRPr="007404FA">
        <w:rPr>
          <w:rFonts w:ascii="Times New Roman" w:hAnsi="Times New Roman" w:cs="Times New Roman"/>
          <w:sz w:val="24"/>
          <w:szCs w:val="24"/>
        </w:rPr>
        <w:t>иологичното разнообразие, Закон</w:t>
      </w:r>
      <w:r w:rsidR="00E42714" w:rsidRPr="007404FA">
        <w:rPr>
          <w:rFonts w:ascii="Times New Roman" w:hAnsi="Times New Roman" w:cs="Times New Roman"/>
          <w:sz w:val="24"/>
          <w:szCs w:val="24"/>
        </w:rPr>
        <w:t xml:space="preserve"> за изменение и допълнение на Закона з</w:t>
      </w:r>
      <w:r w:rsidR="00CD10CA" w:rsidRPr="007404FA">
        <w:rPr>
          <w:rFonts w:ascii="Times New Roman" w:hAnsi="Times New Roman" w:cs="Times New Roman"/>
          <w:sz w:val="24"/>
          <w:szCs w:val="24"/>
        </w:rPr>
        <w:t>а електронната търговия и Закон</w:t>
      </w:r>
      <w:r w:rsidR="00E42714" w:rsidRPr="007404FA">
        <w:rPr>
          <w:rFonts w:ascii="Times New Roman" w:hAnsi="Times New Roman" w:cs="Times New Roman"/>
          <w:sz w:val="24"/>
          <w:szCs w:val="24"/>
        </w:rPr>
        <w:t xml:space="preserve"> за изменение и допълнение на Закона за домашното насилие.</w:t>
      </w:r>
    </w:p>
    <w:p w:rsidR="00E42714" w:rsidRPr="007404FA" w:rsidRDefault="00E42714" w:rsidP="00380D94">
      <w:pPr>
        <w:spacing w:line="390" w:lineRule="exact"/>
        <w:ind w:firstLine="709"/>
        <w:jc w:val="both"/>
        <w:rPr>
          <w:rFonts w:ascii="Times New Roman" w:hAnsi="Times New Roman" w:cs="Times New Roman"/>
          <w:sz w:val="24"/>
          <w:szCs w:val="24"/>
        </w:rPr>
      </w:pPr>
      <w:r w:rsidRPr="007404FA">
        <w:rPr>
          <w:rFonts w:ascii="Times New Roman" w:hAnsi="Times New Roman" w:cs="Times New Roman"/>
          <w:sz w:val="24"/>
          <w:szCs w:val="24"/>
        </w:rPr>
        <w:t>През отчетния период КЗЛД съгласува и Правилата за процеса на смяна на доставчика на услуги за достъп до интернет, изготвени и впоследствие приети от</w:t>
      </w:r>
      <w:r w:rsidR="00AF1D30" w:rsidRPr="007404FA">
        <w:rPr>
          <w:rFonts w:ascii="Times New Roman" w:hAnsi="Times New Roman" w:cs="Times New Roman"/>
          <w:sz w:val="24"/>
          <w:szCs w:val="24"/>
        </w:rPr>
        <w:t xml:space="preserve"> </w:t>
      </w:r>
      <w:r w:rsidRPr="007404FA">
        <w:rPr>
          <w:rFonts w:ascii="Times New Roman" w:hAnsi="Times New Roman" w:cs="Times New Roman"/>
          <w:sz w:val="24"/>
          <w:szCs w:val="24"/>
        </w:rPr>
        <w:t>КРС. В изпълнение на</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230в,</w:t>
      </w:r>
      <w:r w:rsidR="00F06583" w:rsidRPr="007404FA">
        <w:rPr>
          <w:rFonts w:ascii="Times New Roman" w:hAnsi="Times New Roman" w:cs="Times New Roman"/>
          <w:sz w:val="24"/>
          <w:szCs w:val="24"/>
        </w:rPr>
        <w:t xml:space="preserve"> ал. </w:t>
      </w:r>
      <w:r w:rsidRPr="007404FA">
        <w:rPr>
          <w:rFonts w:ascii="Times New Roman" w:hAnsi="Times New Roman" w:cs="Times New Roman"/>
          <w:sz w:val="24"/>
          <w:szCs w:val="24"/>
        </w:rPr>
        <w:t>1 във вр. с</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30,</w:t>
      </w:r>
      <w:r w:rsidR="00F06583" w:rsidRPr="007404FA">
        <w:rPr>
          <w:rFonts w:ascii="Times New Roman" w:hAnsi="Times New Roman" w:cs="Times New Roman"/>
          <w:sz w:val="24"/>
          <w:szCs w:val="24"/>
        </w:rPr>
        <w:t xml:space="preserve"> т. </w:t>
      </w:r>
      <w:r w:rsidR="003B11AD">
        <w:rPr>
          <w:rFonts w:ascii="Times New Roman" w:hAnsi="Times New Roman" w:cs="Times New Roman"/>
          <w:sz w:val="24"/>
          <w:szCs w:val="24"/>
        </w:rPr>
        <w:t>8 от ЗЕС</w:t>
      </w:r>
      <w:r w:rsidRPr="007404FA">
        <w:rPr>
          <w:rFonts w:ascii="Times New Roman" w:hAnsi="Times New Roman" w:cs="Times New Roman"/>
          <w:sz w:val="24"/>
          <w:szCs w:val="24"/>
        </w:rPr>
        <w:t xml:space="preserve"> КРС приема правила за процеса на смяна на доставчика на услуги за достъп до интернет и след обществено обсъждане по</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36</w:t>
      </w:r>
      <w:r w:rsidR="003B11AD">
        <w:rPr>
          <w:rFonts w:ascii="Times New Roman" w:hAnsi="Times New Roman" w:cs="Times New Roman"/>
          <w:sz w:val="24"/>
          <w:szCs w:val="24"/>
        </w:rPr>
        <w:t xml:space="preserve"> от ЗЕС ги обнародва в Държавен вестник</w:t>
      </w:r>
      <w:r w:rsidRPr="007404FA">
        <w:rPr>
          <w:rFonts w:ascii="Times New Roman" w:hAnsi="Times New Roman" w:cs="Times New Roman"/>
          <w:sz w:val="24"/>
          <w:szCs w:val="24"/>
        </w:rPr>
        <w:t>. Правилата имат за цел да гарантират правото на крайните ползватели да сменят доставчика на услуги за достъп до интернет в разумни срокове и при защита на правата им, установени в закона. Предпоставка за смяната на доставчика е изричното съгласие на крайния ползвател (чл. 230б,</w:t>
      </w:r>
      <w:r w:rsidR="00F06583" w:rsidRPr="007404FA">
        <w:rPr>
          <w:rFonts w:ascii="Times New Roman" w:hAnsi="Times New Roman" w:cs="Times New Roman"/>
          <w:sz w:val="24"/>
          <w:szCs w:val="24"/>
        </w:rPr>
        <w:t xml:space="preserve"> ал. </w:t>
      </w:r>
      <w:r w:rsidRPr="007404FA">
        <w:rPr>
          <w:rFonts w:ascii="Times New Roman" w:hAnsi="Times New Roman" w:cs="Times New Roman"/>
          <w:sz w:val="24"/>
          <w:szCs w:val="24"/>
        </w:rPr>
        <w:t>4, изр. 2 и</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230в,</w:t>
      </w:r>
      <w:r w:rsidR="00F06583" w:rsidRPr="007404FA">
        <w:rPr>
          <w:rFonts w:ascii="Times New Roman" w:hAnsi="Times New Roman" w:cs="Times New Roman"/>
          <w:sz w:val="24"/>
          <w:szCs w:val="24"/>
        </w:rPr>
        <w:t xml:space="preserve"> ал. </w:t>
      </w:r>
      <w:r w:rsidRPr="007404FA">
        <w:rPr>
          <w:rFonts w:ascii="Times New Roman" w:hAnsi="Times New Roman" w:cs="Times New Roman"/>
          <w:sz w:val="24"/>
          <w:szCs w:val="24"/>
        </w:rPr>
        <w:t xml:space="preserve">2 от ЗЕС). Същото служи и като правно основание за прехвърляне на данните от текущия </w:t>
      </w:r>
      <w:r w:rsidRPr="007404FA">
        <w:rPr>
          <w:rFonts w:ascii="Times New Roman" w:hAnsi="Times New Roman" w:cs="Times New Roman"/>
          <w:sz w:val="24"/>
          <w:szCs w:val="24"/>
        </w:rPr>
        <w:lastRenderedPageBreak/>
        <w:t>към приемащия доставчик, което от своя страна е юридическо проявление на упражняването на правото на преносимост на данните по</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20 от ОРЗД.</w:t>
      </w:r>
    </w:p>
    <w:p w:rsidR="00E42714" w:rsidRPr="007404FA" w:rsidRDefault="00E42714" w:rsidP="00380D94">
      <w:pPr>
        <w:spacing w:line="390" w:lineRule="exact"/>
        <w:ind w:firstLine="709"/>
        <w:jc w:val="both"/>
        <w:rPr>
          <w:rFonts w:ascii="Times New Roman" w:hAnsi="Times New Roman" w:cs="Times New Roman"/>
          <w:sz w:val="24"/>
          <w:szCs w:val="24"/>
        </w:rPr>
      </w:pPr>
    </w:p>
    <w:p w:rsidR="00E42714" w:rsidRPr="007404FA" w:rsidRDefault="00E42714" w:rsidP="00380D94">
      <w:pPr>
        <w:spacing w:line="390" w:lineRule="exact"/>
        <w:ind w:firstLine="709"/>
        <w:jc w:val="both"/>
        <w:rPr>
          <w:rFonts w:ascii="Times New Roman" w:hAnsi="Times New Roman" w:cs="Times New Roman"/>
          <w:b/>
          <w:sz w:val="24"/>
          <w:szCs w:val="24"/>
        </w:rPr>
      </w:pPr>
      <w:r w:rsidRPr="007404FA">
        <w:rPr>
          <w:rFonts w:ascii="Times New Roman" w:hAnsi="Times New Roman" w:cs="Times New Roman"/>
          <w:b/>
          <w:sz w:val="24"/>
          <w:szCs w:val="24"/>
        </w:rPr>
        <w:t xml:space="preserve">4. Преглед на националното законодателство за съответствие с правилата за защита на личните данни. </w:t>
      </w:r>
    </w:p>
    <w:p w:rsidR="002824C6" w:rsidRPr="007404FA" w:rsidRDefault="002824C6" w:rsidP="00380D94">
      <w:pPr>
        <w:spacing w:line="390" w:lineRule="exact"/>
        <w:ind w:firstLine="709"/>
        <w:jc w:val="both"/>
        <w:rPr>
          <w:rFonts w:ascii="Times New Roman" w:hAnsi="Times New Roman" w:cs="Times New Roman"/>
          <w:sz w:val="24"/>
          <w:szCs w:val="24"/>
        </w:rPr>
      </w:pPr>
      <w:r w:rsidRPr="007404FA">
        <w:rPr>
          <w:rFonts w:ascii="Times New Roman" w:hAnsi="Times New Roman" w:cs="Times New Roman"/>
          <w:sz w:val="24"/>
          <w:szCs w:val="24"/>
        </w:rPr>
        <w:t>КЗЛД за поредна година извършва преглед на действащо</w:t>
      </w:r>
      <w:r w:rsidR="003B11AD">
        <w:rPr>
          <w:rFonts w:ascii="Times New Roman" w:hAnsi="Times New Roman" w:cs="Times New Roman"/>
          <w:sz w:val="24"/>
          <w:szCs w:val="24"/>
        </w:rPr>
        <w:t>то</w:t>
      </w:r>
      <w:r w:rsidRPr="007404FA">
        <w:rPr>
          <w:rFonts w:ascii="Times New Roman" w:hAnsi="Times New Roman" w:cs="Times New Roman"/>
          <w:sz w:val="24"/>
          <w:szCs w:val="24"/>
        </w:rPr>
        <w:t xml:space="preserve"> национално законодателство за съответствие с правилата за защита на личните данни и информира заинтересованите страни за необходимостта от актуализиране или цялостно изменение на конкретни нормативни актове. </w:t>
      </w:r>
      <w:r w:rsidR="00302A82" w:rsidRPr="007404FA">
        <w:rPr>
          <w:rFonts w:ascii="Times New Roman" w:hAnsi="Times New Roman" w:cs="Times New Roman"/>
          <w:sz w:val="24"/>
          <w:szCs w:val="24"/>
        </w:rPr>
        <w:t>Прегледът</w:t>
      </w:r>
      <w:r w:rsidR="009E5F8A" w:rsidRPr="007404FA">
        <w:rPr>
          <w:rFonts w:ascii="Times New Roman" w:hAnsi="Times New Roman" w:cs="Times New Roman"/>
          <w:sz w:val="24"/>
          <w:szCs w:val="24"/>
        </w:rPr>
        <w:t xml:space="preserve"> традиционно</w:t>
      </w:r>
      <w:r w:rsidR="00302A82" w:rsidRPr="007404FA">
        <w:rPr>
          <w:rFonts w:ascii="Times New Roman" w:hAnsi="Times New Roman" w:cs="Times New Roman"/>
          <w:sz w:val="24"/>
          <w:szCs w:val="24"/>
        </w:rPr>
        <w:t xml:space="preserve"> се фокусира както върху </w:t>
      </w:r>
      <w:r w:rsidR="00C955DB" w:rsidRPr="007404FA">
        <w:rPr>
          <w:rFonts w:ascii="Times New Roman" w:hAnsi="Times New Roman" w:cs="Times New Roman"/>
          <w:sz w:val="24"/>
          <w:szCs w:val="24"/>
        </w:rPr>
        <w:t>анализ на цялостното съответствие на специалната правна уредба в отделните сектори</w:t>
      </w:r>
      <w:r w:rsidR="00162A1D" w:rsidRPr="007404FA">
        <w:rPr>
          <w:rFonts w:ascii="Times New Roman" w:hAnsi="Times New Roman" w:cs="Times New Roman"/>
          <w:sz w:val="24"/>
          <w:szCs w:val="24"/>
        </w:rPr>
        <w:t xml:space="preserve"> със законодателството по защита на данните</w:t>
      </w:r>
      <w:r w:rsidR="00C955DB" w:rsidRPr="007404FA">
        <w:rPr>
          <w:rFonts w:ascii="Times New Roman" w:hAnsi="Times New Roman" w:cs="Times New Roman"/>
          <w:sz w:val="24"/>
          <w:szCs w:val="24"/>
        </w:rPr>
        <w:t>, така и върху отделни детайли</w:t>
      </w:r>
      <w:r w:rsidR="00F179C6" w:rsidRPr="007404FA">
        <w:rPr>
          <w:rFonts w:ascii="Times New Roman" w:hAnsi="Times New Roman" w:cs="Times New Roman"/>
          <w:sz w:val="24"/>
          <w:szCs w:val="24"/>
        </w:rPr>
        <w:t xml:space="preserve"> от правно-техническо естество</w:t>
      </w:r>
      <w:r w:rsidR="00C955DB" w:rsidRPr="007404FA">
        <w:rPr>
          <w:rFonts w:ascii="Times New Roman" w:hAnsi="Times New Roman" w:cs="Times New Roman"/>
          <w:sz w:val="24"/>
          <w:szCs w:val="24"/>
        </w:rPr>
        <w:t xml:space="preserve">, </w:t>
      </w:r>
      <w:r w:rsidR="002A5C1C" w:rsidRPr="007404FA">
        <w:rPr>
          <w:rFonts w:ascii="Times New Roman" w:hAnsi="Times New Roman" w:cs="Times New Roman"/>
          <w:sz w:val="24"/>
          <w:szCs w:val="24"/>
        </w:rPr>
        <w:t>напр. терминологично прецизиране</w:t>
      </w:r>
      <w:r w:rsidR="00162A1D" w:rsidRPr="007404FA">
        <w:rPr>
          <w:rFonts w:ascii="Times New Roman" w:hAnsi="Times New Roman" w:cs="Times New Roman"/>
          <w:sz w:val="24"/>
          <w:szCs w:val="24"/>
        </w:rPr>
        <w:t>, които налагат актуализация в национален план</w:t>
      </w:r>
      <w:r w:rsidR="002A5C1C" w:rsidRPr="007404FA">
        <w:rPr>
          <w:rFonts w:ascii="Times New Roman" w:hAnsi="Times New Roman" w:cs="Times New Roman"/>
          <w:sz w:val="24"/>
          <w:szCs w:val="24"/>
        </w:rPr>
        <w:t xml:space="preserve">. </w:t>
      </w:r>
      <w:r w:rsidR="00154430" w:rsidRPr="007404FA">
        <w:rPr>
          <w:rFonts w:ascii="Times New Roman" w:hAnsi="Times New Roman" w:cs="Times New Roman"/>
          <w:sz w:val="24"/>
          <w:szCs w:val="24"/>
        </w:rPr>
        <w:t>Крайната цел на правения преглед на законодателството е да се гарантира прякото действие на Регламент (ЕС) 2016/679 във всички държави</w:t>
      </w:r>
      <w:r w:rsidR="003B11AD">
        <w:rPr>
          <w:rFonts w:ascii="Times New Roman" w:hAnsi="Times New Roman" w:cs="Times New Roman"/>
          <w:sz w:val="24"/>
          <w:szCs w:val="24"/>
        </w:rPr>
        <w:t xml:space="preserve"> –</w:t>
      </w:r>
      <w:r w:rsidR="00154430" w:rsidRPr="007404FA">
        <w:rPr>
          <w:rFonts w:ascii="Times New Roman" w:hAnsi="Times New Roman" w:cs="Times New Roman"/>
          <w:sz w:val="24"/>
          <w:szCs w:val="24"/>
        </w:rPr>
        <w:t xml:space="preserve"> членки на Европейския съюз</w:t>
      </w:r>
      <w:r w:rsidR="003B11AD">
        <w:rPr>
          <w:rFonts w:ascii="Times New Roman" w:hAnsi="Times New Roman" w:cs="Times New Roman"/>
          <w:sz w:val="24"/>
          <w:szCs w:val="24"/>
        </w:rPr>
        <w:t>,</w:t>
      </w:r>
      <w:r w:rsidR="00154430" w:rsidRPr="007404FA">
        <w:rPr>
          <w:rFonts w:ascii="Times New Roman" w:hAnsi="Times New Roman" w:cs="Times New Roman"/>
          <w:sz w:val="24"/>
          <w:szCs w:val="24"/>
        </w:rPr>
        <w:t xml:space="preserve"> и създаване на правна сигурност</w:t>
      </w:r>
      <w:r w:rsidR="004B5F00" w:rsidRPr="007404FA">
        <w:rPr>
          <w:rFonts w:ascii="Times New Roman" w:hAnsi="Times New Roman" w:cs="Times New Roman"/>
          <w:sz w:val="24"/>
          <w:szCs w:val="24"/>
        </w:rPr>
        <w:t xml:space="preserve"> за участниците в системата за защита на личните данни</w:t>
      </w:r>
      <w:r w:rsidR="00154430" w:rsidRPr="007404FA">
        <w:rPr>
          <w:rFonts w:ascii="Times New Roman" w:hAnsi="Times New Roman" w:cs="Times New Roman"/>
          <w:sz w:val="24"/>
          <w:szCs w:val="24"/>
        </w:rPr>
        <w:t>.</w:t>
      </w:r>
      <w:r w:rsidR="00476CF5" w:rsidRPr="007404FA">
        <w:rPr>
          <w:rFonts w:ascii="Times New Roman" w:hAnsi="Times New Roman" w:cs="Times New Roman"/>
          <w:sz w:val="24"/>
          <w:szCs w:val="24"/>
        </w:rPr>
        <w:t xml:space="preserve"> </w:t>
      </w:r>
      <w:r w:rsidR="00154430" w:rsidRPr="007404FA">
        <w:rPr>
          <w:rFonts w:ascii="Times New Roman" w:hAnsi="Times New Roman" w:cs="Times New Roman"/>
          <w:sz w:val="24"/>
          <w:szCs w:val="24"/>
        </w:rPr>
        <w:t>И през 2022</w:t>
      </w:r>
      <w:r w:rsidR="00F06583" w:rsidRPr="007404FA">
        <w:rPr>
          <w:rFonts w:ascii="Times New Roman" w:hAnsi="Times New Roman" w:cs="Times New Roman"/>
          <w:sz w:val="24"/>
          <w:szCs w:val="24"/>
        </w:rPr>
        <w:t> г.</w:t>
      </w:r>
      <w:r w:rsidR="00154430" w:rsidRPr="007404FA">
        <w:rPr>
          <w:rFonts w:ascii="Times New Roman" w:hAnsi="Times New Roman" w:cs="Times New Roman"/>
          <w:sz w:val="24"/>
          <w:szCs w:val="24"/>
        </w:rPr>
        <w:t xml:space="preserve"> а</w:t>
      </w:r>
      <w:r w:rsidR="00F179C6" w:rsidRPr="007404FA">
        <w:rPr>
          <w:rFonts w:ascii="Times New Roman" w:hAnsi="Times New Roman" w:cs="Times New Roman"/>
          <w:sz w:val="24"/>
          <w:szCs w:val="24"/>
        </w:rPr>
        <w:t xml:space="preserve">кцент в анализа е поставен върху гарантиране правата на </w:t>
      </w:r>
      <w:r w:rsidR="00154430" w:rsidRPr="007404FA">
        <w:rPr>
          <w:rFonts w:ascii="Times New Roman" w:hAnsi="Times New Roman" w:cs="Times New Roman"/>
          <w:sz w:val="24"/>
          <w:szCs w:val="24"/>
        </w:rPr>
        <w:t xml:space="preserve">физическите лица и актуализиране на обхвата на задълженията на администраторите на лични данни. </w:t>
      </w:r>
    </w:p>
    <w:p w:rsidR="00B92136" w:rsidRPr="007404FA" w:rsidRDefault="001F16C8" w:rsidP="00380D94">
      <w:pPr>
        <w:spacing w:line="390" w:lineRule="exact"/>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Прави впечатление, че в резултат на </w:t>
      </w:r>
      <w:r w:rsidR="002824C6" w:rsidRPr="007404FA">
        <w:rPr>
          <w:rFonts w:ascii="Times New Roman" w:hAnsi="Times New Roman" w:cs="Times New Roman"/>
          <w:sz w:val="24"/>
          <w:szCs w:val="24"/>
        </w:rPr>
        <w:t>направения анализ през 2021</w:t>
      </w:r>
      <w:r w:rsidR="00F06583" w:rsidRPr="007404FA">
        <w:rPr>
          <w:rFonts w:ascii="Times New Roman" w:hAnsi="Times New Roman" w:cs="Times New Roman"/>
          <w:sz w:val="24"/>
          <w:szCs w:val="24"/>
        </w:rPr>
        <w:t> г.</w:t>
      </w:r>
      <w:r w:rsidR="002824C6" w:rsidRPr="007404FA">
        <w:rPr>
          <w:rFonts w:ascii="Times New Roman" w:hAnsi="Times New Roman" w:cs="Times New Roman"/>
          <w:sz w:val="24"/>
          <w:szCs w:val="24"/>
        </w:rPr>
        <w:t xml:space="preserve"> </w:t>
      </w:r>
      <w:r w:rsidRPr="007404FA">
        <w:rPr>
          <w:rFonts w:ascii="Times New Roman" w:hAnsi="Times New Roman" w:cs="Times New Roman"/>
          <w:sz w:val="24"/>
          <w:szCs w:val="24"/>
        </w:rPr>
        <w:t xml:space="preserve">единствено Висшият съдебен съвет е предприел </w:t>
      </w:r>
      <w:r w:rsidR="006A5CC2" w:rsidRPr="007404FA">
        <w:rPr>
          <w:rFonts w:ascii="Times New Roman" w:hAnsi="Times New Roman" w:cs="Times New Roman"/>
          <w:sz w:val="24"/>
          <w:szCs w:val="24"/>
        </w:rPr>
        <w:t>през 2022</w:t>
      </w:r>
      <w:r w:rsidR="00F06583" w:rsidRPr="007404FA">
        <w:rPr>
          <w:rFonts w:ascii="Times New Roman" w:hAnsi="Times New Roman" w:cs="Times New Roman"/>
          <w:sz w:val="24"/>
          <w:szCs w:val="24"/>
        </w:rPr>
        <w:t> г.</w:t>
      </w:r>
      <w:r w:rsidR="006A5CC2" w:rsidRPr="007404FA">
        <w:rPr>
          <w:rFonts w:ascii="Times New Roman" w:hAnsi="Times New Roman" w:cs="Times New Roman"/>
          <w:sz w:val="24"/>
          <w:szCs w:val="24"/>
        </w:rPr>
        <w:t xml:space="preserve"> </w:t>
      </w:r>
      <w:r w:rsidRPr="007404FA">
        <w:rPr>
          <w:rFonts w:ascii="Times New Roman" w:hAnsi="Times New Roman" w:cs="Times New Roman"/>
          <w:sz w:val="24"/>
          <w:szCs w:val="24"/>
        </w:rPr>
        <w:t xml:space="preserve">препоръчаната от </w:t>
      </w:r>
      <w:r w:rsidR="00015CD9" w:rsidRPr="007404FA">
        <w:rPr>
          <w:rFonts w:ascii="Times New Roman" w:hAnsi="Times New Roman" w:cs="Times New Roman"/>
          <w:sz w:val="24"/>
          <w:szCs w:val="24"/>
        </w:rPr>
        <w:t>КЗЛД</w:t>
      </w:r>
      <w:r w:rsidRPr="007404FA">
        <w:rPr>
          <w:rFonts w:ascii="Times New Roman" w:hAnsi="Times New Roman" w:cs="Times New Roman"/>
          <w:sz w:val="24"/>
          <w:szCs w:val="24"/>
        </w:rPr>
        <w:t xml:space="preserve"> нормативна промяна в </w:t>
      </w:r>
      <w:r w:rsidR="002824C6" w:rsidRPr="007404FA">
        <w:rPr>
          <w:rFonts w:ascii="Times New Roman" w:hAnsi="Times New Roman" w:cs="Times New Roman"/>
          <w:sz w:val="24"/>
          <w:szCs w:val="24"/>
        </w:rPr>
        <w:t>Правилника за организацията и дейността на Висшия съдебен съвет и на неговата админис</w:t>
      </w:r>
      <w:r w:rsidR="00AC49B5" w:rsidRPr="007404FA">
        <w:rPr>
          <w:rFonts w:ascii="Times New Roman" w:hAnsi="Times New Roman" w:cs="Times New Roman"/>
          <w:sz w:val="24"/>
          <w:szCs w:val="24"/>
        </w:rPr>
        <w:t xml:space="preserve">трация. </w:t>
      </w:r>
      <w:r w:rsidR="00F23747" w:rsidRPr="007404FA">
        <w:rPr>
          <w:rFonts w:ascii="Times New Roman" w:hAnsi="Times New Roman" w:cs="Times New Roman"/>
          <w:sz w:val="24"/>
          <w:szCs w:val="24"/>
        </w:rPr>
        <w:t>Съответните изменения са</w:t>
      </w:r>
      <w:r w:rsidR="002824C6" w:rsidRPr="007404FA">
        <w:rPr>
          <w:rFonts w:ascii="Times New Roman" w:hAnsi="Times New Roman" w:cs="Times New Roman"/>
          <w:sz w:val="24"/>
          <w:szCs w:val="24"/>
        </w:rPr>
        <w:t xml:space="preserve"> обнародван</w:t>
      </w:r>
      <w:r w:rsidR="00F23747" w:rsidRPr="007404FA">
        <w:rPr>
          <w:rFonts w:ascii="Times New Roman" w:hAnsi="Times New Roman" w:cs="Times New Roman"/>
          <w:sz w:val="24"/>
          <w:szCs w:val="24"/>
        </w:rPr>
        <w:t>и</w:t>
      </w:r>
      <w:r w:rsidR="003B11AD">
        <w:rPr>
          <w:rFonts w:ascii="Times New Roman" w:hAnsi="Times New Roman" w:cs="Times New Roman"/>
          <w:sz w:val="24"/>
          <w:szCs w:val="24"/>
        </w:rPr>
        <w:t xml:space="preserve"> в Държавен вестник</w:t>
      </w:r>
      <w:r w:rsidR="002824C6" w:rsidRPr="007404FA">
        <w:rPr>
          <w:rFonts w:ascii="Times New Roman" w:hAnsi="Times New Roman" w:cs="Times New Roman"/>
          <w:sz w:val="24"/>
          <w:szCs w:val="24"/>
        </w:rPr>
        <w:t>,</w:t>
      </w:r>
      <w:r w:rsidR="00D1189D" w:rsidRPr="007404FA">
        <w:rPr>
          <w:rFonts w:ascii="Times New Roman" w:hAnsi="Times New Roman" w:cs="Times New Roman"/>
          <w:sz w:val="24"/>
          <w:szCs w:val="24"/>
        </w:rPr>
        <w:t> бр.</w:t>
      </w:r>
      <w:r w:rsidR="002824C6" w:rsidRPr="007404FA">
        <w:rPr>
          <w:rFonts w:ascii="Times New Roman" w:hAnsi="Times New Roman" w:cs="Times New Roman"/>
          <w:sz w:val="24"/>
          <w:szCs w:val="24"/>
        </w:rPr>
        <w:t xml:space="preserve"> 70 от 30.08.2022</w:t>
      </w:r>
      <w:r w:rsidR="00F06583" w:rsidRPr="007404FA">
        <w:rPr>
          <w:rFonts w:ascii="Times New Roman" w:hAnsi="Times New Roman" w:cs="Times New Roman"/>
          <w:sz w:val="24"/>
          <w:szCs w:val="24"/>
        </w:rPr>
        <w:t> г.</w:t>
      </w:r>
      <w:r w:rsidR="002824C6" w:rsidRPr="007404FA">
        <w:rPr>
          <w:rFonts w:ascii="Times New Roman" w:hAnsi="Times New Roman" w:cs="Times New Roman"/>
          <w:sz w:val="24"/>
          <w:szCs w:val="24"/>
        </w:rPr>
        <w:t xml:space="preserve"> Всички останали актове, идентифицирани </w:t>
      </w:r>
      <w:r w:rsidR="00413ACB" w:rsidRPr="007404FA">
        <w:rPr>
          <w:rFonts w:ascii="Times New Roman" w:hAnsi="Times New Roman" w:cs="Times New Roman"/>
          <w:sz w:val="24"/>
          <w:szCs w:val="24"/>
        </w:rPr>
        <w:t xml:space="preserve">от Комисията </w:t>
      </w:r>
      <w:r w:rsidR="002824C6" w:rsidRPr="007404FA">
        <w:rPr>
          <w:rFonts w:ascii="Times New Roman" w:hAnsi="Times New Roman" w:cs="Times New Roman"/>
          <w:sz w:val="24"/>
          <w:szCs w:val="24"/>
        </w:rPr>
        <w:t>през предходния период и подлежащи на привеждане в съответствие с действащото законодателство</w:t>
      </w:r>
      <w:r w:rsidR="0006376D" w:rsidRPr="007404FA">
        <w:rPr>
          <w:rFonts w:ascii="Times New Roman" w:hAnsi="Times New Roman" w:cs="Times New Roman"/>
          <w:sz w:val="24"/>
          <w:szCs w:val="24"/>
        </w:rPr>
        <w:t>, са</w:t>
      </w:r>
      <w:r w:rsidR="002824C6" w:rsidRPr="007404FA">
        <w:rPr>
          <w:rFonts w:ascii="Times New Roman" w:hAnsi="Times New Roman" w:cs="Times New Roman"/>
          <w:sz w:val="24"/>
          <w:szCs w:val="24"/>
        </w:rPr>
        <w:t xml:space="preserve"> оста</w:t>
      </w:r>
      <w:r w:rsidR="0006376D" w:rsidRPr="007404FA">
        <w:rPr>
          <w:rFonts w:ascii="Times New Roman" w:hAnsi="Times New Roman" w:cs="Times New Roman"/>
          <w:sz w:val="24"/>
          <w:szCs w:val="24"/>
        </w:rPr>
        <w:t>нали</w:t>
      </w:r>
      <w:r w:rsidR="002824C6" w:rsidRPr="007404FA">
        <w:rPr>
          <w:rFonts w:ascii="Times New Roman" w:hAnsi="Times New Roman" w:cs="Times New Roman"/>
          <w:sz w:val="24"/>
          <w:szCs w:val="24"/>
        </w:rPr>
        <w:t xml:space="preserve"> непроменени. </w:t>
      </w:r>
    </w:p>
    <w:p w:rsidR="002824C6" w:rsidRPr="007404FA" w:rsidRDefault="0072474D" w:rsidP="00380D94">
      <w:pPr>
        <w:spacing w:line="390" w:lineRule="exact"/>
        <w:ind w:firstLine="709"/>
        <w:jc w:val="both"/>
        <w:rPr>
          <w:rFonts w:ascii="Times New Roman" w:hAnsi="Times New Roman" w:cs="Times New Roman"/>
          <w:sz w:val="24"/>
          <w:szCs w:val="24"/>
        </w:rPr>
      </w:pPr>
      <w:r w:rsidRPr="007404FA">
        <w:rPr>
          <w:rFonts w:ascii="Times New Roman" w:hAnsi="Times New Roman" w:cs="Times New Roman"/>
          <w:sz w:val="24"/>
          <w:szCs w:val="24"/>
        </w:rPr>
        <w:t>В</w:t>
      </w:r>
      <w:r w:rsidR="002824C6" w:rsidRPr="007404FA">
        <w:rPr>
          <w:rFonts w:ascii="Times New Roman" w:hAnsi="Times New Roman" w:cs="Times New Roman"/>
          <w:sz w:val="24"/>
          <w:szCs w:val="24"/>
        </w:rPr>
        <w:t xml:space="preserve"> рамките на постоянното си задължение и приоритет </w:t>
      </w:r>
      <w:r w:rsidR="003B11AD">
        <w:rPr>
          <w:rFonts w:ascii="Times New Roman" w:hAnsi="Times New Roman" w:cs="Times New Roman"/>
          <w:sz w:val="24"/>
          <w:szCs w:val="24"/>
        </w:rPr>
        <w:t>за преглед на законодателството</w:t>
      </w:r>
      <w:r w:rsidR="002824C6" w:rsidRPr="007404FA">
        <w:rPr>
          <w:rFonts w:ascii="Times New Roman" w:hAnsi="Times New Roman" w:cs="Times New Roman"/>
          <w:sz w:val="24"/>
          <w:szCs w:val="24"/>
        </w:rPr>
        <w:t xml:space="preserve"> през 2022</w:t>
      </w:r>
      <w:r w:rsidR="00F06583" w:rsidRPr="007404FA">
        <w:rPr>
          <w:rFonts w:ascii="Times New Roman" w:hAnsi="Times New Roman" w:cs="Times New Roman"/>
          <w:sz w:val="24"/>
          <w:szCs w:val="24"/>
        </w:rPr>
        <w:t> г.</w:t>
      </w:r>
      <w:r w:rsidR="002824C6" w:rsidRPr="007404FA">
        <w:rPr>
          <w:rFonts w:ascii="Times New Roman" w:hAnsi="Times New Roman" w:cs="Times New Roman"/>
          <w:sz w:val="24"/>
          <w:szCs w:val="24"/>
        </w:rPr>
        <w:t xml:space="preserve"> КЗЛД</w:t>
      </w:r>
      <w:r w:rsidR="00451ACA" w:rsidRPr="007404FA">
        <w:rPr>
          <w:rFonts w:ascii="Times New Roman" w:hAnsi="Times New Roman" w:cs="Times New Roman"/>
          <w:sz w:val="24"/>
          <w:szCs w:val="24"/>
        </w:rPr>
        <w:t xml:space="preserve"> е</w:t>
      </w:r>
      <w:r w:rsidR="002824C6" w:rsidRPr="007404FA">
        <w:rPr>
          <w:rFonts w:ascii="Times New Roman" w:hAnsi="Times New Roman" w:cs="Times New Roman"/>
          <w:sz w:val="24"/>
          <w:szCs w:val="24"/>
        </w:rPr>
        <w:t xml:space="preserve"> допълни</w:t>
      </w:r>
      <w:r w:rsidR="00451ACA" w:rsidRPr="007404FA">
        <w:rPr>
          <w:rFonts w:ascii="Times New Roman" w:hAnsi="Times New Roman" w:cs="Times New Roman"/>
          <w:sz w:val="24"/>
          <w:szCs w:val="24"/>
        </w:rPr>
        <w:t>ла</w:t>
      </w:r>
      <w:r w:rsidR="002824C6" w:rsidRPr="007404FA">
        <w:rPr>
          <w:rFonts w:ascii="Times New Roman" w:hAnsi="Times New Roman" w:cs="Times New Roman"/>
          <w:sz w:val="24"/>
          <w:szCs w:val="24"/>
        </w:rPr>
        <w:t xml:space="preserve"> списъка на нормативните актове, за които се налага изменение и/или допълнение, с </w:t>
      </w:r>
      <w:r w:rsidR="003D7183" w:rsidRPr="007404FA">
        <w:rPr>
          <w:rFonts w:ascii="Times New Roman" w:hAnsi="Times New Roman" w:cs="Times New Roman"/>
          <w:sz w:val="24"/>
          <w:szCs w:val="24"/>
        </w:rPr>
        <w:t xml:space="preserve">нови </w:t>
      </w:r>
      <w:r w:rsidR="002824C6" w:rsidRPr="007404FA">
        <w:rPr>
          <w:rFonts w:ascii="Times New Roman" w:hAnsi="Times New Roman" w:cs="Times New Roman"/>
          <w:sz w:val="24"/>
          <w:szCs w:val="24"/>
        </w:rPr>
        <w:t>петнадесет</w:t>
      </w:r>
      <w:r w:rsidR="003D7183" w:rsidRPr="007404FA">
        <w:rPr>
          <w:rFonts w:ascii="Times New Roman" w:hAnsi="Times New Roman" w:cs="Times New Roman"/>
          <w:sz w:val="24"/>
          <w:szCs w:val="24"/>
        </w:rPr>
        <w:t xml:space="preserve"> такива</w:t>
      </w:r>
      <w:r w:rsidR="002824C6" w:rsidRPr="007404FA">
        <w:rPr>
          <w:rFonts w:ascii="Times New Roman" w:hAnsi="Times New Roman" w:cs="Times New Roman"/>
          <w:sz w:val="24"/>
          <w:szCs w:val="24"/>
        </w:rPr>
        <w:t>.</w:t>
      </w:r>
      <w:r w:rsidRPr="007404FA">
        <w:rPr>
          <w:rFonts w:ascii="Times New Roman" w:hAnsi="Times New Roman" w:cs="Times New Roman"/>
          <w:sz w:val="24"/>
          <w:szCs w:val="24"/>
        </w:rPr>
        <w:t xml:space="preserve"> Предстои изпращането на списъка на компетентните публични структури, отговорни за изпълнението на съот</w:t>
      </w:r>
      <w:r w:rsidR="00B92136" w:rsidRPr="007404FA">
        <w:rPr>
          <w:rFonts w:ascii="Times New Roman" w:hAnsi="Times New Roman" w:cs="Times New Roman"/>
          <w:sz w:val="24"/>
          <w:szCs w:val="24"/>
        </w:rPr>
        <w:t>ветните нормативни актове, вкл. до органите, които не са предприели никакви действия по съобразяване на препоръките на КЗЛД през 2021</w:t>
      </w:r>
      <w:r w:rsidR="00F06583" w:rsidRPr="007404FA">
        <w:rPr>
          <w:rFonts w:ascii="Times New Roman" w:hAnsi="Times New Roman" w:cs="Times New Roman"/>
          <w:sz w:val="24"/>
          <w:szCs w:val="24"/>
        </w:rPr>
        <w:t> г.</w:t>
      </w:r>
      <w:r w:rsidR="00B92136" w:rsidRPr="007404FA">
        <w:rPr>
          <w:rFonts w:ascii="Times New Roman" w:hAnsi="Times New Roman" w:cs="Times New Roman"/>
          <w:sz w:val="24"/>
          <w:szCs w:val="24"/>
        </w:rPr>
        <w:t xml:space="preserve"> </w:t>
      </w:r>
    </w:p>
    <w:p w:rsidR="002824C6" w:rsidRPr="007404FA" w:rsidRDefault="002824C6" w:rsidP="00380D94">
      <w:pPr>
        <w:spacing w:line="390" w:lineRule="exact"/>
        <w:ind w:firstLine="709"/>
        <w:jc w:val="both"/>
        <w:rPr>
          <w:rFonts w:ascii="Times New Roman" w:hAnsi="Times New Roman" w:cs="Times New Roman"/>
          <w:sz w:val="24"/>
          <w:szCs w:val="24"/>
        </w:rPr>
      </w:pPr>
    </w:p>
    <w:p w:rsidR="00E42714" w:rsidRPr="007404FA" w:rsidRDefault="00E42714" w:rsidP="00380D94">
      <w:pPr>
        <w:spacing w:line="390" w:lineRule="exact"/>
        <w:ind w:firstLine="709"/>
        <w:jc w:val="both"/>
        <w:rPr>
          <w:rFonts w:ascii="Times New Roman" w:hAnsi="Times New Roman" w:cs="Times New Roman"/>
          <w:b/>
          <w:sz w:val="24"/>
          <w:szCs w:val="24"/>
        </w:rPr>
      </w:pPr>
      <w:r w:rsidRPr="007404FA">
        <w:rPr>
          <w:rFonts w:ascii="Times New Roman" w:hAnsi="Times New Roman" w:cs="Times New Roman"/>
          <w:b/>
          <w:sz w:val="24"/>
          <w:szCs w:val="24"/>
        </w:rPr>
        <w:t xml:space="preserve">5. Запитвания на администратори по въпроси от областта на защитата на личните данни. </w:t>
      </w:r>
    </w:p>
    <w:p w:rsidR="00E42714" w:rsidRPr="007404FA" w:rsidRDefault="00E42714" w:rsidP="00380D94">
      <w:pPr>
        <w:spacing w:line="390" w:lineRule="exact"/>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През отчетния период КЗЛД предоставя множество писмени консултации</w:t>
      </w:r>
      <w:r w:rsidR="00553661" w:rsidRPr="007404FA">
        <w:rPr>
          <w:rFonts w:ascii="Times New Roman" w:eastAsia="Calibri" w:hAnsi="Times New Roman" w:cs="Times New Roman"/>
          <w:sz w:val="24"/>
          <w:szCs w:val="24"/>
        </w:rPr>
        <w:t xml:space="preserve"> – </w:t>
      </w:r>
      <w:r w:rsidRPr="007404FA">
        <w:rPr>
          <w:rFonts w:ascii="Times New Roman" w:eastAsia="Calibri" w:hAnsi="Times New Roman" w:cs="Times New Roman"/>
          <w:sz w:val="24"/>
          <w:szCs w:val="24"/>
        </w:rPr>
        <w:t>341</w:t>
      </w:r>
      <w:r w:rsidR="00D1189D" w:rsidRPr="007404FA">
        <w:rPr>
          <w:rFonts w:ascii="Times New Roman" w:eastAsia="Calibri" w:hAnsi="Times New Roman" w:cs="Times New Roman"/>
          <w:sz w:val="24"/>
          <w:szCs w:val="24"/>
        </w:rPr>
        <w:t> бр.</w:t>
      </w:r>
      <w:r w:rsidRPr="007404FA">
        <w:rPr>
          <w:rFonts w:ascii="Times New Roman" w:eastAsia="Calibri" w:hAnsi="Times New Roman" w:cs="Times New Roman"/>
          <w:sz w:val="24"/>
          <w:szCs w:val="24"/>
        </w:rPr>
        <w:t xml:space="preserve"> (вкл. становищата, посочени по-горе). Същите се отнасят до разяснения в правната уредба, по които има ясна и еднозначна регламентация и/или трайна практика на надзорния орган. </w:t>
      </w:r>
    </w:p>
    <w:p w:rsidR="00E42714" w:rsidRPr="007404FA" w:rsidRDefault="00E42714"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lastRenderedPageBreak/>
        <w:t>В допълнение към исканията за изразяв</w:t>
      </w:r>
      <w:r w:rsidR="00480370">
        <w:rPr>
          <w:rFonts w:ascii="Times New Roman" w:eastAsia="Calibri" w:hAnsi="Times New Roman" w:cs="Times New Roman"/>
          <w:sz w:val="24"/>
          <w:szCs w:val="24"/>
        </w:rPr>
        <w:t>ане на становище</w:t>
      </w:r>
      <w:r w:rsidR="00DA3EF4" w:rsidRPr="007404FA">
        <w:rPr>
          <w:rFonts w:ascii="Times New Roman" w:eastAsia="Calibri" w:hAnsi="Times New Roman" w:cs="Times New Roman"/>
          <w:sz w:val="24"/>
          <w:szCs w:val="24"/>
        </w:rPr>
        <w:t xml:space="preserve"> в КЗЛД постъпват</w:t>
      </w:r>
      <w:r w:rsidRPr="007404FA">
        <w:rPr>
          <w:rFonts w:ascii="Times New Roman" w:eastAsia="Calibri" w:hAnsi="Times New Roman" w:cs="Times New Roman"/>
          <w:sz w:val="24"/>
          <w:szCs w:val="24"/>
        </w:rPr>
        <w:t xml:space="preserve"> редица запитвания на администратори на лични данни с конкретни въпроси по прилагането на законодателството в областта на защитата на личните данни. Тенденцията е за увеличаване на интереса към проблемите на предоставянето на лични данни в трети държави, както и обработването на лични данни чрез приложения и платформи.</w:t>
      </w:r>
      <w:r w:rsidR="00CA473F" w:rsidRPr="007404FA">
        <w:rPr>
          <w:rFonts w:ascii="Times New Roman" w:eastAsia="Calibri" w:hAnsi="Times New Roman" w:cs="Times New Roman"/>
          <w:sz w:val="24"/>
          <w:szCs w:val="24"/>
        </w:rPr>
        <w:t xml:space="preserve"> </w:t>
      </w:r>
    </w:p>
    <w:p w:rsidR="00E42714" w:rsidRPr="007404FA" w:rsidRDefault="00824FF2"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В контекста на въпроси</w:t>
      </w:r>
      <w:r w:rsidR="00CA473F" w:rsidRPr="007404FA">
        <w:rPr>
          <w:rFonts w:ascii="Times New Roman" w:eastAsia="Calibri" w:hAnsi="Times New Roman" w:cs="Times New Roman"/>
          <w:sz w:val="24"/>
          <w:szCs w:val="24"/>
        </w:rPr>
        <w:t>те, свързани с предоставяне на лични данни в трети държави</w:t>
      </w:r>
      <w:r w:rsidRPr="007404FA">
        <w:rPr>
          <w:rFonts w:ascii="Times New Roman" w:eastAsia="Calibri" w:hAnsi="Times New Roman" w:cs="Times New Roman"/>
          <w:sz w:val="24"/>
          <w:szCs w:val="24"/>
        </w:rPr>
        <w:t xml:space="preserve">, </w:t>
      </w:r>
      <w:r w:rsidR="00E42714" w:rsidRPr="007404FA">
        <w:rPr>
          <w:rFonts w:ascii="Times New Roman" w:eastAsia="Calibri" w:hAnsi="Times New Roman" w:cs="Times New Roman"/>
          <w:sz w:val="24"/>
          <w:szCs w:val="24"/>
        </w:rPr>
        <w:t>КЗЛД</w:t>
      </w:r>
      <w:r w:rsidRPr="007404FA">
        <w:rPr>
          <w:rFonts w:ascii="Times New Roman" w:eastAsia="Calibri" w:hAnsi="Times New Roman" w:cs="Times New Roman"/>
          <w:sz w:val="24"/>
          <w:szCs w:val="24"/>
        </w:rPr>
        <w:t xml:space="preserve"> е </w:t>
      </w:r>
      <w:r w:rsidR="00E42714" w:rsidRPr="007404FA">
        <w:rPr>
          <w:rFonts w:ascii="Times New Roman" w:eastAsia="Calibri" w:hAnsi="Times New Roman" w:cs="Times New Roman"/>
          <w:sz w:val="24"/>
          <w:szCs w:val="24"/>
        </w:rPr>
        <w:t>разгледа</w:t>
      </w:r>
      <w:r w:rsidRPr="007404FA">
        <w:rPr>
          <w:rFonts w:ascii="Times New Roman" w:eastAsia="Calibri" w:hAnsi="Times New Roman" w:cs="Times New Roman"/>
          <w:sz w:val="24"/>
          <w:szCs w:val="24"/>
        </w:rPr>
        <w:t>ла</w:t>
      </w:r>
      <w:r w:rsidR="00E42714" w:rsidRPr="007404FA">
        <w:rPr>
          <w:rFonts w:ascii="Times New Roman" w:eastAsia="Calibri" w:hAnsi="Times New Roman" w:cs="Times New Roman"/>
          <w:sz w:val="24"/>
          <w:szCs w:val="24"/>
        </w:rPr>
        <w:t xml:space="preserve"> запитван</w:t>
      </w:r>
      <w:r w:rsidR="00013D69" w:rsidRPr="007404FA">
        <w:rPr>
          <w:rFonts w:ascii="Times New Roman" w:eastAsia="Calibri" w:hAnsi="Times New Roman" w:cs="Times New Roman"/>
          <w:sz w:val="24"/>
          <w:szCs w:val="24"/>
        </w:rPr>
        <w:t>ия</w:t>
      </w:r>
      <w:r w:rsidR="00E42714" w:rsidRPr="007404FA">
        <w:rPr>
          <w:rFonts w:ascii="Times New Roman" w:eastAsia="Calibri" w:hAnsi="Times New Roman" w:cs="Times New Roman"/>
          <w:sz w:val="24"/>
          <w:szCs w:val="24"/>
        </w:rPr>
        <w:t xml:space="preserve"> от университет относно конкретни случаи на трансфери на </w:t>
      </w:r>
      <w:r w:rsidR="00CA473F" w:rsidRPr="007404FA">
        <w:rPr>
          <w:rFonts w:ascii="Times New Roman" w:eastAsia="Calibri" w:hAnsi="Times New Roman" w:cs="Times New Roman"/>
          <w:sz w:val="24"/>
          <w:szCs w:val="24"/>
        </w:rPr>
        <w:t>такива</w:t>
      </w:r>
      <w:r w:rsidR="00E42714" w:rsidRPr="007404FA">
        <w:rPr>
          <w:rFonts w:ascii="Times New Roman" w:eastAsia="Calibri" w:hAnsi="Times New Roman" w:cs="Times New Roman"/>
          <w:sz w:val="24"/>
          <w:szCs w:val="24"/>
        </w:rPr>
        <w:t xml:space="preserve"> данни. Първият поставен въпрос се отнася до изпращане на диплома за завършено висше образование на нейния притежател</w:t>
      </w:r>
      <w:r w:rsidR="00480370">
        <w:rPr>
          <w:rFonts w:ascii="Times New Roman" w:eastAsia="Calibri" w:hAnsi="Times New Roman" w:cs="Times New Roman"/>
          <w:sz w:val="24"/>
          <w:szCs w:val="24"/>
        </w:rPr>
        <w:t xml:space="preserve">, </w:t>
      </w:r>
      <w:r w:rsidR="00E42714" w:rsidRPr="007404FA">
        <w:rPr>
          <w:rFonts w:ascii="Times New Roman" w:eastAsia="Calibri" w:hAnsi="Times New Roman" w:cs="Times New Roman"/>
          <w:sz w:val="24"/>
          <w:szCs w:val="24"/>
        </w:rPr>
        <w:t>европейски гражданин</w:t>
      </w:r>
      <w:r w:rsidR="00480370">
        <w:rPr>
          <w:rFonts w:ascii="Times New Roman" w:eastAsia="Calibri" w:hAnsi="Times New Roman" w:cs="Times New Roman"/>
          <w:sz w:val="24"/>
          <w:szCs w:val="24"/>
        </w:rPr>
        <w:t>,</w:t>
      </w:r>
      <w:r w:rsidR="00E42714" w:rsidRPr="007404FA">
        <w:rPr>
          <w:rFonts w:ascii="Times New Roman" w:eastAsia="Calibri" w:hAnsi="Times New Roman" w:cs="Times New Roman"/>
          <w:sz w:val="24"/>
          <w:szCs w:val="24"/>
        </w:rPr>
        <w:t xml:space="preserve"> по поща/куриер/</w:t>
      </w:r>
      <w:r w:rsidR="00CB6ABD" w:rsidRPr="007404FA">
        <w:rPr>
          <w:rFonts w:ascii="Times New Roman" w:eastAsia="Calibri" w:hAnsi="Times New Roman" w:cs="Times New Roman"/>
          <w:sz w:val="24"/>
          <w:szCs w:val="24"/>
        </w:rPr>
        <w:t>имейл в трета държава. КЗЛД дава</w:t>
      </w:r>
      <w:r w:rsidR="00E42714" w:rsidRPr="007404FA">
        <w:rPr>
          <w:rFonts w:ascii="Times New Roman" w:eastAsia="Calibri" w:hAnsi="Times New Roman" w:cs="Times New Roman"/>
          <w:sz w:val="24"/>
          <w:szCs w:val="24"/>
        </w:rPr>
        <w:t xml:space="preserve"> насоки, че конкретно описаният случай не следва да се счита за трансфер на данни по смисъла на Глава V от Регламент (ЕС) 2016/679. Получател на данните в този случай е субектът на данни, който в отношенията с администратора (университета) не може да има качеството нито на администратор, нито на обработващ лични данни. Същият е обвързан с правилата на администратора и с неговите инструкции, процедури, разрешения или ограничения. Това обаче не изключва задълженията на администратора (университета) да изпълнява всички изисквания на Регламент (ЕС) 2016/679, като в частност прилага подходящи технически и организационни мерки за защита на данните в съответствие с</w:t>
      </w:r>
      <w:r w:rsidR="00F06583" w:rsidRPr="007404FA">
        <w:rPr>
          <w:rFonts w:ascii="Times New Roman" w:eastAsia="Calibri" w:hAnsi="Times New Roman" w:cs="Times New Roman"/>
          <w:sz w:val="24"/>
          <w:szCs w:val="24"/>
        </w:rPr>
        <w:t xml:space="preserve"> чл. </w:t>
      </w:r>
      <w:r w:rsidR="00E42714" w:rsidRPr="007404FA">
        <w:rPr>
          <w:rFonts w:ascii="Times New Roman" w:eastAsia="Calibri" w:hAnsi="Times New Roman" w:cs="Times New Roman"/>
          <w:sz w:val="24"/>
          <w:szCs w:val="24"/>
        </w:rPr>
        <w:t>24 и 32 от същия правен акт. Задължение на администратора е да се въведат ясни вътрешни правила, инструкции и процедури за такива случаи, като субектите на данни (в частност студентите) следва да са запознати с тях.</w:t>
      </w:r>
    </w:p>
    <w:p w:rsidR="00E42714" w:rsidRPr="007404FA" w:rsidRDefault="00E42714"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Вторият въпрос се отнася до предоставяне на данни от българския университет на приемащ университет в трета държава по различни програми за мобилност на студенти. По конкретния въпрос следва да се приложат съответните правила за трансф</w:t>
      </w:r>
      <w:r w:rsidR="00480370">
        <w:rPr>
          <w:rFonts w:ascii="Times New Roman" w:eastAsia="Calibri" w:hAnsi="Times New Roman" w:cs="Times New Roman"/>
          <w:sz w:val="24"/>
          <w:szCs w:val="24"/>
        </w:rPr>
        <w:t>ер на данни</w:t>
      </w:r>
      <w:r w:rsidRPr="007404FA">
        <w:rPr>
          <w:rFonts w:ascii="Times New Roman" w:eastAsia="Calibri" w:hAnsi="Times New Roman" w:cs="Times New Roman"/>
          <w:sz w:val="24"/>
          <w:szCs w:val="24"/>
        </w:rPr>
        <w:t xml:space="preserve"> съгласно Глава V от Регламент (ЕС) 2016/679. Следва да</w:t>
      </w:r>
      <w:r w:rsidR="00CB6ABD" w:rsidRPr="007404FA">
        <w:rPr>
          <w:rFonts w:ascii="Times New Roman" w:eastAsia="Calibri" w:hAnsi="Times New Roman" w:cs="Times New Roman"/>
          <w:sz w:val="24"/>
          <w:szCs w:val="24"/>
        </w:rPr>
        <w:t xml:space="preserve"> се</w:t>
      </w:r>
      <w:r w:rsidRPr="007404FA">
        <w:rPr>
          <w:rFonts w:ascii="Times New Roman" w:eastAsia="Calibri" w:hAnsi="Times New Roman" w:cs="Times New Roman"/>
          <w:sz w:val="24"/>
          <w:szCs w:val="24"/>
        </w:rPr>
        <w:t xml:space="preserve"> има предвид, че за конкретния случай има възможност да се използват стандартните договорни клаузи, въведени с </w:t>
      </w:r>
      <w:r w:rsidRPr="007404FA">
        <w:rPr>
          <w:rFonts w:ascii="Times New Roman" w:eastAsia="Calibri" w:hAnsi="Times New Roman" w:cs="Times New Roman"/>
          <w:i/>
          <w:sz w:val="24"/>
          <w:szCs w:val="24"/>
        </w:rPr>
        <w:t xml:space="preserve">Решение за изпълнение (ЕС) 2021/914 на Комисията от 4 юни 2021 </w:t>
      </w:r>
      <w:r w:rsidR="00480370">
        <w:rPr>
          <w:rFonts w:ascii="Times New Roman" w:eastAsia="Calibri" w:hAnsi="Times New Roman" w:cs="Times New Roman"/>
          <w:i/>
          <w:sz w:val="24"/>
          <w:szCs w:val="24"/>
        </w:rPr>
        <w:t>г.</w:t>
      </w:r>
      <w:r w:rsidRPr="007404FA">
        <w:rPr>
          <w:rFonts w:ascii="Times New Roman" w:eastAsia="Calibri" w:hAnsi="Times New Roman" w:cs="Times New Roman"/>
          <w:i/>
          <w:sz w:val="24"/>
          <w:szCs w:val="24"/>
        </w:rPr>
        <w:t xml:space="preserve"> относно стандартни договорни клаузи за предаването на лични данни на трети държави съгласно Регламент (ЕС) 2016/679 на Европейския парламент и на Съвета</w:t>
      </w:r>
      <w:r w:rsidRPr="007404FA">
        <w:rPr>
          <w:rFonts w:ascii="Times New Roman" w:eastAsia="Calibri" w:hAnsi="Times New Roman" w:cs="Times New Roman"/>
          <w:sz w:val="24"/>
          <w:szCs w:val="24"/>
        </w:rPr>
        <w:t>, като се отчита обстоятелството, че отношенията между двата университета са администратор-администратор. Аналогичен е отговорът по третия от поставените въпроси</w:t>
      </w:r>
      <w:r w:rsidR="00E06D6E">
        <w:rPr>
          <w:rFonts w:ascii="Times New Roman" w:eastAsia="Calibri" w:hAnsi="Times New Roman" w:cs="Times New Roman"/>
          <w:sz w:val="24"/>
          <w:szCs w:val="24"/>
        </w:rPr>
        <w:t xml:space="preserve"> – </w:t>
      </w:r>
      <w:r w:rsidRPr="007404FA">
        <w:rPr>
          <w:rFonts w:ascii="Times New Roman" w:eastAsia="Calibri" w:hAnsi="Times New Roman" w:cs="Times New Roman"/>
          <w:sz w:val="24"/>
          <w:szCs w:val="24"/>
        </w:rPr>
        <w:t>предоставяне на данни (академична справка) от българския университет, като приемащ университет, на изпраща</w:t>
      </w:r>
      <w:r w:rsidR="00480370">
        <w:rPr>
          <w:rFonts w:ascii="Times New Roman" w:eastAsia="Calibri" w:hAnsi="Times New Roman" w:cs="Times New Roman"/>
          <w:sz w:val="24"/>
          <w:szCs w:val="24"/>
        </w:rPr>
        <w:t>щия университет в трета държава</w:t>
      </w:r>
      <w:r w:rsidRPr="007404FA">
        <w:rPr>
          <w:rFonts w:ascii="Times New Roman" w:eastAsia="Calibri" w:hAnsi="Times New Roman" w:cs="Times New Roman"/>
          <w:sz w:val="24"/>
          <w:szCs w:val="24"/>
        </w:rPr>
        <w:t xml:space="preserve"> след приключване на обменния семестър. Правилата за трансфер на данни по смисъла на Глава V от Регламент (ЕС) 2016/679 важат за изпращането на академична справка от университет, установен в ЕС,</w:t>
      </w:r>
      <w:r w:rsidR="00480370">
        <w:rPr>
          <w:rFonts w:ascii="Times New Roman" w:eastAsia="Calibri" w:hAnsi="Times New Roman" w:cs="Times New Roman"/>
          <w:sz w:val="24"/>
          <w:szCs w:val="24"/>
        </w:rPr>
        <w:t xml:space="preserve"> на университет в трета държава</w:t>
      </w:r>
      <w:r w:rsidRPr="007404FA">
        <w:rPr>
          <w:rFonts w:ascii="Times New Roman" w:eastAsia="Calibri" w:hAnsi="Times New Roman" w:cs="Times New Roman"/>
          <w:sz w:val="24"/>
          <w:szCs w:val="24"/>
        </w:rPr>
        <w:t xml:space="preserve"> независимо от </w:t>
      </w:r>
      <w:r w:rsidRPr="007404FA">
        <w:rPr>
          <w:rFonts w:ascii="Times New Roman" w:eastAsia="Calibri" w:hAnsi="Times New Roman" w:cs="Times New Roman"/>
          <w:sz w:val="24"/>
          <w:szCs w:val="24"/>
        </w:rPr>
        <w:lastRenderedPageBreak/>
        <w:t>гражданството на студента, тъй като обработването на лични данни е осъществено на територията на ЕС.</w:t>
      </w:r>
    </w:p>
    <w:p w:rsidR="00E42714" w:rsidRPr="007404FA" w:rsidRDefault="00E42714"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 xml:space="preserve">Комисията за защита на личните данни </w:t>
      </w:r>
      <w:r w:rsidR="00BF3AD8" w:rsidRPr="007404FA">
        <w:rPr>
          <w:rFonts w:ascii="Times New Roman" w:eastAsia="Calibri" w:hAnsi="Times New Roman" w:cs="Times New Roman"/>
          <w:sz w:val="24"/>
          <w:szCs w:val="24"/>
        </w:rPr>
        <w:t xml:space="preserve">е </w:t>
      </w:r>
      <w:r w:rsidRPr="007404FA">
        <w:rPr>
          <w:rFonts w:ascii="Times New Roman" w:eastAsia="Calibri" w:hAnsi="Times New Roman" w:cs="Times New Roman"/>
          <w:sz w:val="24"/>
          <w:szCs w:val="24"/>
        </w:rPr>
        <w:t>отговори</w:t>
      </w:r>
      <w:r w:rsidR="00BF3AD8" w:rsidRPr="007404FA">
        <w:rPr>
          <w:rFonts w:ascii="Times New Roman" w:eastAsia="Calibri" w:hAnsi="Times New Roman" w:cs="Times New Roman"/>
          <w:sz w:val="24"/>
          <w:szCs w:val="24"/>
        </w:rPr>
        <w:t>ла</w:t>
      </w:r>
      <w:r w:rsidRPr="007404FA">
        <w:rPr>
          <w:rFonts w:ascii="Times New Roman" w:eastAsia="Calibri" w:hAnsi="Times New Roman" w:cs="Times New Roman"/>
          <w:sz w:val="24"/>
          <w:szCs w:val="24"/>
        </w:rPr>
        <w:t xml:space="preserve"> и на писмо относно постъпило на официалния интернет адрес на платформа за онлайн търговия искане за предоставяне на информация по повод на казус по описа на Главна </w:t>
      </w:r>
      <w:r w:rsidR="00480370">
        <w:rPr>
          <w:rFonts w:ascii="Times New Roman" w:eastAsia="Calibri" w:hAnsi="Times New Roman" w:cs="Times New Roman"/>
          <w:sz w:val="24"/>
          <w:szCs w:val="24"/>
        </w:rPr>
        <w:t>д</w:t>
      </w:r>
      <w:r w:rsidRPr="007404FA">
        <w:rPr>
          <w:rFonts w:ascii="Times New Roman" w:eastAsia="Calibri" w:hAnsi="Times New Roman" w:cs="Times New Roman"/>
          <w:sz w:val="24"/>
          <w:szCs w:val="24"/>
        </w:rPr>
        <w:t xml:space="preserve">ирекция на </w:t>
      </w:r>
      <w:r w:rsidR="00480370">
        <w:rPr>
          <w:rFonts w:ascii="Times New Roman" w:eastAsia="Calibri" w:hAnsi="Times New Roman" w:cs="Times New Roman"/>
          <w:sz w:val="24"/>
          <w:szCs w:val="24"/>
        </w:rPr>
        <w:t>п</w:t>
      </w:r>
      <w:r w:rsidRPr="007404FA">
        <w:rPr>
          <w:rFonts w:ascii="Times New Roman" w:eastAsia="Calibri" w:hAnsi="Times New Roman" w:cs="Times New Roman"/>
          <w:sz w:val="24"/>
          <w:szCs w:val="24"/>
        </w:rPr>
        <w:t xml:space="preserve">олицията </w:t>
      </w:r>
      <w:r w:rsidR="00480370">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Сантяго де Компостела</w:t>
      </w:r>
      <w:r w:rsidR="00480370">
        <w:rPr>
          <w:rFonts w:ascii="Times New Roman" w:eastAsia="Calibri" w:hAnsi="Times New Roman" w:cs="Times New Roman"/>
          <w:sz w:val="24"/>
          <w:szCs w:val="24"/>
        </w:rPr>
        <w:t>,</w:t>
      </w:r>
      <w:r w:rsidRPr="007404FA">
        <w:rPr>
          <w:rFonts w:ascii="Times New Roman" w:eastAsia="Calibri" w:hAnsi="Times New Roman" w:cs="Times New Roman"/>
          <w:sz w:val="24"/>
          <w:szCs w:val="24"/>
        </w:rPr>
        <w:t xml:space="preserve"> при Министерство</w:t>
      </w:r>
      <w:r w:rsidR="00480370">
        <w:rPr>
          <w:rFonts w:ascii="Times New Roman" w:eastAsia="Calibri" w:hAnsi="Times New Roman" w:cs="Times New Roman"/>
          <w:sz w:val="24"/>
          <w:szCs w:val="24"/>
        </w:rPr>
        <w:t>то</w:t>
      </w:r>
      <w:r w:rsidRPr="007404FA">
        <w:rPr>
          <w:rFonts w:ascii="Times New Roman" w:eastAsia="Calibri" w:hAnsi="Times New Roman" w:cs="Times New Roman"/>
          <w:sz w:val="24"/>
          <w:szCs w:val="24"/>
        </w:rPr>
        <w:t xml:space="preserve"> на вътрешните работи на Кралство Испания. Администраторът, отправил искането</w:t>
      </w:r>
      <w:r w:rsidR="00666D8B" w:rsidRPr="007404FA">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изразява притеснение, че националната полиция на държава</w:t>
      </w:r>
      <w:r w:rsidR="00480370">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 xml:space="preserve"> членка на ЕС</w:t>
      </w:r>
      <w:r w:rsidR="00480370">
        <w:rPr>
          <w:rFonts w:ascii="Times New Roman" w:eastAsia="Calibri" w:hAnsi="Times New Roman" w:cs="Times New Roman"/>
          <w:sz w:val="24"/>
          <w:szCs w:val="24"/>
        </w:rPr>
        <w:t>,</w:t>
      </w:r>
      <w:r w:rsidRPr="007404FA">
        <w:rPr>
          <w:rFonts w:ascii="Times New Roman" w:eastAsia="Calibri" w:hAnsi="Times New Roman" w:cs="Times New Roman"/>
          <w:sz w:val="24"/>
          <w:szCs w:val="24"/>
        </w:rPr>
        <w:t xml:space="preserve"> се обръща към дружеството директно с искане за предоставяне на информация и съдействие по материално наказателно производство, свързано с измама. Исканата информация се отнася за лице</w:t>
      </w:r>
      <w:r w:rsidR="00553661" w:rsidRPr="007404FA">
        <w:rPr>
          <w:rFonts w:ascii="Times New Roman" w:eastAsia="Calibri" w:hAnsi="Times New Roman" w:cs="Times New Roman"/>
          <w:sz w:val="24"/>
          <w:szCs w:val="24"/>
        </w:rPr>
        <w:t xml:space="preserve"> – </w:t>
      </w:r>
      <w:r w:rsidRPr="007404FA">
        <w:rPr>
          <w:rFonts w:ascii="Times New Roman" w:eastAsia="Calibri" w:hAnsi="Times New Roman" w:cs="Times New Roman"/>
          <w:sz w:val="24"/>
          <w:szCs w:val="24"/>
        </w:rPr>
        <w:t>обвиняем, който е публикувал обяви за продажба на животни. Отговорът на КЗЛД е в посока, че предоставянето на лични данни от един админи</w:t>
      </w:r>
      <w:r w:rsidR="00480370">
        <w:rPr>
          <w:rFonts w:ascii="Times New Roman" w:eastAsia="Calibri" w:hAnsi="Times New Roman" w:cs="Times New Roman"/>
          <w:sz w:val="24"/>
          <w:szCs w:val="24"/>
        </w:rPr>
        <w:t>стратор (българския</w:t>
      </w:r>
      <w:r w:rsidRPr="007404FA">
        <w:rPr>
          <w:rFonts w:ascii="Times New Roman" w:eastAsia="Calibri" w:hAnsi="Times New Roman" w:cs="Times New Roman"/>
          <w:sz w:val="24"/>
          <w:szCs w:val="24"/>
        </w:rPr>
        <w:t xml:space="preserve"> администратор) на друг (Главна </w:t>
      </w:r>
      <w:r w:rsidR="00480370">
        <w:rPr>
          <w:rFonts w:ascii="Times New Roman" w:eastAsia="Calibri" w:hAnsi="Times New Roman" w:cs="Times New Roman"/>
          <w:sz w:val="24"/>
          <w:szCs w:val="24"/>
        </w:rPr>
        <w:t>д</w:t>
      </w:r>
      <w:r w:rsidRPr="007404FA">
        <w:rPr>
          <w:rFonts w:ascii="Times New Roman" w:eastAsia="Calibri" w:hAnsi="Times New Roman" w:cs="Times New Roman"/>
          <w:sz w:val="24"/>
          <w:szCs w:val="24"/>
        </w:rPr>
        <w:t xml:space="preserve">ирекция на </w:t>
      </w:r>
      <w:r w:rsidR="00480370">
        <w:rPr>
          <w:rFonts w:ascii="Times New Roman" w:eastAsia="Calibri" w:hAnsi="Times New Roman" w:cs="Times New Roman"/>
          <w:sz w:val="24"/>
          <w:szCs w:val="24"/>
        </w:rPr>
        <w:t>п</w:t>
      </w:r>
      <w:r w:rsidRPr="007404FA">
        <w:rPr>
          <w:rFonts w:ascii="Times New Roman" w:eastAsia="Calibri" w:hAnsi="Times New Roman" w:cs="Times New Roman"/>
          <w:sz w:val="24"/>
          <w:szCs w:val="24"/>
        </w:rPr>
        <w:t xml:space="preserve">олицията </w:t>
      </w:r>
      <w:r w:rsidR="00480370">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Сантяго де Компостела</w:t>
      </w:r>
      <w:r w:rsidR="00480370">
        <w:rPr>
          <w:rFonts w:ascii="Times New Roman" w:eastAsia="Calibri" w:hAnsi="Times New Roman" w:cs="Times New Roman"/>
          <w:sz w:val="24"/>
          <w:szCs w:val="24"/>
        </w:rPr>
        <w:t>,</w:t>
      </w:r>
      <w:r w:rsidRPr="007404FA">
        <w:rPr>
          <w:rFonts w:ascii="Times New Roman" w:eastAsia="Calibri" w:hAnsi="Times New Roman" w:cs="Times New Roman"/>
          <w:sz w:val="24"/>
          <w:szCs w:val="24"/>
        </w:rPr>
        <w:t xml:space="preserve"> при Министерство</w:t>
      </w:r>
      <w:r w:rsidR="00480370">
        <w:rPr>
          <w:rFonts w:ascii="Times New Roman" w:eastAsia="Calibri" w:hAnsi="Times New Roman" w:cs="Times New Roman"/>
          <w:sz w:val="24"/>
          <w:szCs w:val="24"/>
        </w:rPr>
        <w:t>то</w:t>
      </w:r>
      <w:r w:rsidRPr="007404FA">
        <w:rPr>
          <w:rFonts w:ascii="Times New Roman" w:eastAsia="Calibri" w:hAnsi="Times New Roman" w:cs="Times New Roman"/>
          <w:sz w:val="24"/>
          <w:szCs w:val="24"/>
        </w:rPr>
        <w:t xml:space="preserve"> на вътрешните работи на Кралство Испания) представлява обработване на лични данни по смисъла на </w:t>
      </w:r>
      <w:r w:rsidR="00E06D6E">
        <w:rPr>
          <w:rFonts w:ascii="Times New Roman" w:eastAsia="Calibri" w:hAnsi="Times New Roman" w:cs="Times New Roman"/>
          <w:sz w:val="24"/>
          <w:szCs w:val="24"/>
        </w:rPr>
        <w:t>§</w:t>
      </w:r>
      <w:r w:rsidRPr="007404FA">
        <w:rPr>
          <w:rFonts w:ascii="Times New Roman" w:eastAsia="Calibri" w:hAnsi="Times New Roman" w:cs="Times New Roman"/>
          <w:sz w:val="24"/>
          <w:szCs w:val="24"/>
        </w:rPr>
        <w:t>1,</w:t>
      </w:r>
      <w:r w:rsidR="00F06583" w:rsidRPr="007404FA">
        <w:rPr>
          <w:rFonts w:ascii="Times New Roman" w:eastAsia="Calibri" w:hAnsi="Times New Roman" w:cs="Times New Roman"/>
          <w:sz w:val="24"/>
          <w:szCs w:val="24"/>
        </w:rPr>
        <w:t xml:space="preserve"> т. </w:t>
      </w:r>
      <w:r w:rsidRPr="007404FA">
        <w:rPr>
          <w:rFonts w:ascii="Times New Roman" w:eastAsia="Calibri" w:hAnsi="Times New Roman" w:cs="Times New Roman"/>
          <w:sz w:val="24"/>
          <w:szCs w:val="24"/>
        </w:rPr>
        <w:t>4 от ДР на ЗЗЛД. По отношение на администратора</w:t>
      </w:r>
      <w:r w:rsidR="00480370">
        <w:rPr>
          <w:rFonts w:ascii="Times New Roman" w:eastAsia="Calibri" w:hAnsi="Times New Roman" w:cs="Times New Roman"/>
          <w:sz w:val="24"/>
          <w:szCs w:val="24"/>
        </w:rPr>
        <w:t>,</w:t>
      </w:r>
      <w:r w:rsidRPr="007404FA">
        <w:rPr>
          <w:rFonts w:ascii="Times New Roman" w:eastAsia="Calibri" w:hAnsi="Times New Roman" w:cs="Times New Roman"/>
          <w:sz w:val="24"/>
          <w:szCs w:val="24"/>
        </w:rPr>
        <w:t xml:space="preserve"> Главна </w:t>
      </w:r>
      <w:r w:rsidR="00480370">
        <w:rPr>
          <w:rFonts w:ascii="Times New Roman" w:eastAsia="Calibri" w:hAnsi="Times New Roman" w:cs="Times New Roman"/>
          <w:sz w:val="24"/>
          <w:szCs w:val="24"/>
        </w:rPr>
        <w:t>д</w:t>
      </w:r>
      <w:r w:rsidRPr="007404FA">
        <w:rPr>
          <w:rFonts w:ascii="Times New Roman" w:eastAsia="Calibri" w:hAnsi="Times New Roman" w:cs="Times New Roman"/>
          <w:sz w:val="24"/>
          <w:szCs w:val="24"/>
        </w:rPr>
        <w:t xml:space="preserve">ирекция на </w:t>
      </w:r>
      <w:r w:rsidR="00480370">
        <w:rPr>
          <w:rFonts w:ascii="Times New Roman" w:eastAsia="Calibri" w:hAnsi="Times New Roman" w:cs="Times New Roman"/>
          <w:sz w:val="24"/>
          <w:szCs w:val="24"/>
        </w:rPr>
        <w:t>п</w:t>
      </w:r>
      <w:r w:rsidRPr="007404FA">
        <w:rPr>
          <w:rFonts w:ascii="Times New Roman" w:eastAsia="Calibri" w:hAnsi="Times New Roman" w:cs="Times New Roman"/>
          <w:sz w:val="24"/>
          <w:szCs w:val="24"/>
        </w:rPr>
        <w:t xml:space="preserve">олицията </w:t>
      </w:r>
      <w:r w:rsidR="00480370">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Сантяго де Компостела</w:t>
      </w:r>
      <w:r w:rsidR="00480370">
        <w:rPr>
          <w:rFonts w:ascii="Times New Roman" w:eastAsia="Calibri" w:hAnsi="Times New Roman" w:cs="Times New Roman"/>
          <w:sz w:val="24"/>
          <w:szCs w:val="24"/>
        </w:rPr>
        <w:t>,</w:t>
      </w:r>
      <w:r w:rsidRPr="007404FA">
        <w:rPr>
          <w:rFonts w:ascii="Times New Roman" w:eastAsia="Calibri" w:hAnsi="Times New Roman" w:cs="Times New Roman"/>
          <w:sz w:val="24"/>
          <w:szCs w:val="24"/>
        </w:rPr>
        <w:t xml:space="preserve"> при Министерство</w:t>
      </w:r>
      <w:r w:rsidR="00480370">
        <w:rPr>
          <w:rFonts w:ascii="Times New Roman" w:eastAsia="Calibri" w:hAnsi="Times New Roman" w:cs="Times New Roman"/>
          <w:sz w:val="24"/>
          <w:szCs w:val="24"/>
        </w:rPr>
        <w:t>то</w:t>
      </w:r>
      <w:r w:rsidRPr="007404FA">
        <w:rPr>
          <w:rFonts w:ascii="Times New Roman" w:eastAsia="Calibri" w:hAnsi="Times New Roman" w:cs="Times New Roman"/>
          <w:sz w:val="24"/>
          <w:szCs w:val="24"/>
        </w:rPr>
        <w:t xml:space="preserve"> на вътрешните работи на Кралство Испания, следва да се направи обосновано предположение, че той има качеството на компетентен орган по смисъла на</w:t>
      </w:r>
      <w:r w:rsidR="00F06583" w:rsidRPr="007404FA">
        <w:rPr>
          <w:rFonts w:ascii="Times New Roman" w:eastAsia="Calibri" w:hAnsi="Times New Roman" w:cs="Times New Roman"/>
          <w:sz w:val="24"/>
          <w:szCs w:val="24"/>
        </w:rPr>
        <w:t xml:space="preserve"> чл. </w:t>
      </w:r>
      <w:r w:rsidRPr="007404FA">
        <w:rPr>
          <w:rFonts w:ascii="Times New Roman" w:eastAsia="Calibri" w:hAnsi="Times New Roman" w:cs="Times New Roman"/>
          <w:sz w:val="24"/>
          <w:szCs w:val="24"/>
        </w:rPr>
        <w:t>3,</w:t>
      </w:r>
      <w:r w:rsidR="00F06583" w:rsidRPr="007404FA">
        <w:rPr>
          <w:rFonts w:ascii="Times New Roman" w:eastAsia="Calibri" w:hAnsi="Times New Roman" w:cs="Times New Roman"/>
          <w:sz w:val="24"/>
          <w:szCs w:val="24"/>
        </w:rPr>
        <w:t xml:space="preserve"> т. </w:t>
      </w:r>
      <w:r w:rsidRPr="007404FA">
        <w:rPr>
          <w:rFonts w:ascii="Times New Roman" w:eastAsia="Calibri" w:hAnsi="Times New Roman" w:cs="Times New Roman"/>
          <w:sz w:val="24"/>
          <w:szCs w:val="24"/>
        </w:rPr>
        <w:t>7 от Директива (ЕС) 2016/680 и съответния национален закон на Кралство Испания, който я транспонира. Законосъобразният обмен на информация, съдържаща лични данни, с цел предотвратяване, разкриван</w:t>
      </w:r>
      <w:r w:rsidR="00480370">
        <w:rPr>
          <w:rFonts w:ascii="Times New Roman" w:eastAsia="Calibri" w:hAnsi="Times New Roman" w:cs="Times New Roman"/>
          <w:sz w:val="24"/>
          <w:szCs w:val="24"/>
        </w:rPr>
        <w:t>е и разследване на престъпления</w:t>
      </w:r>
      <w:r w:rsidRPr="007404FA">
        <w:rPr>
          <w:rFonts w:ascii="Times New Roman" w:eastAsia="Calibri" w:hAnsi="Times New Roman" w:cs="Times New Roman"/>
          <w:sz w:val="24"/>
          <w:szCs w:val="24"/>
        </w:rPr>
        <w:t xml:space="preserve"> се извършва само между компетентните органи на съответните държави, като в конкре</w:t>
      </w:r>
      <w:r w:rsidR="00480370">
        <w:rPr>
          <w:rFonts w:ascii="Times New Roman" w:eastAsia="Calibri" w:hAnsi="Times New Roman" w:cs="Times New Roman"/>
          <w:sz w:val="24"/>
          <w:szCs w:val="24"/>
        </w:rPr>
        <w:t>тния случай от българска страна</w:t>
      </w:r>
      <w:r w:rsidRPr="007404FA">
        <w:rPr>
          <w:rFonts w:ascii="Times New Roman" w:eastAsia="Calibri" w:hAnsi="Times New Roman" w:cs="Times New Roman"/>
          <w:sz w:val="24"/>
          <w:szCs w:val="24"/>
        </w:rPr>
        <w:t xml:space="preserve"> това са органите на МВР, респективно органите на съдебната система. Представеният отговор се основава на постоянната практика на КЗЛД по такива казуси съгласно действащото към момента законодателство.</w:t>
      </w:r>
    </w:p>
    <w:p w:rsidR="00E42714" w:rsidRPr="007404FA" w:rsidRDefault="00480370" w:rsidP="00DB6B05">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 оглед конкретния казус</w:t>
      </w:r>
      <w:r w:rsidR="00E42714" w:rsidRPr="007404FA">
        <w:rPr>
          <w:rFonts w:ascii="Times New Roman" w:eastAsia="Calibri" w:hAnsi="Times New Roman" w:cs="Times New Roman"/>
          <w:sz w:val="24"/>
          <w:szCs w:val="24"/>
        </w:rPr>
        <w:t xml:space="preserve"> позицията на КЗЛД е, че липсва правно основание за българско юридическо лице</w:t>
      </w:r>
      <w:r w:rsidR="00E06D6E">
        <w:rPr>
          <w:rFonts w:ascii="Times New Roman" w:eastAsia="Calibri" w:hAnsi="Times New Roman" w:cs="Times New Roman"/>
          <w:sz w:val="24"/>
          <w:szCs w:val="24"/>
        </w:rPr>
        <w:t xml:space="preserve"> – </w:t>
      </w:r>
      <w:r w:rsidR="00E42714" w:rsidRPr="007404FA">
        <w:rPr>
          <w:rFonts w:ascii="Times New Roman" w:eastAsia="Calibri" w:hAnsi="Times New Roman" w:cs="Times New Roman"/>
          <w:sz w:val="24"/>
          <w:szCs w:val="24"/>
        </w:rPr>
        <w:t>администратор на лични данни</w:t>
      </w:r>
      <w:r>
        <w:rPr>
          <w:rFonts w:ascii="Times New Roman" w:eastAsia="Calibri" w:hAnsi="Times New Roman" w:cs="Times New Roman"/>
          <w:sz w:val="24"/>
          <w:szCs w:val="24"/>
        </w:rPr>
        <w:t>,</w:t>
      </w:r>
      <w:r w:rsidR="00E42714" w:rsidRPr="007404FA">
        <w:rPr>
          <w:rFonts w:ascii="Times New Roman" w:eastAsia="Calibri" w:hAnsi="Times New Roman" w:cs="Times New Roman"/>
          <w:sz w:val="24"/>
          <w:szCs w:val="24"/>
        </w:rPr>
        <w:t xml:space="preserve"> да предоставя данни за физическо лице</w:t>
      </w:r>
      <w:r w:rsidR="00E06D6E">
        <w:rPr>
          <w:rFonts w:ascii="Times New Roman" w:eastAsia="Calibri" w:hAnsi="Times New Roman" w:cs="Times New Roman"/>
          <w:sz w:val="24"/>
          <w:szCs w:val="24"/>
        </w:rPr>
        <w:t xml:space="preserve"> – </w:t>
      </w:r>
      <w:r w:rsidR="00E42714" w:rsidRPr="007404FA">
        <w:rPr>
          <w:rFonts w:ascii="Times New Roman" w:eastAsia="Calibri" w:hAnsi="Times New Roman" w:cs="Times New Roman"/>
          <w:sz w:val="24"/>
          <w:szCs w:val="24"/>
        </w:rPr>
        <w:t xml:space="preserve">клиент, директно на полицейска служба от държава </w:t>
      </w:r>
      <w:r>
        <w:rPr>
          <w:rFonts w:ascii="Times New Roman" w:eastAsia="Calibri" w:hAnsi="Times New Roman" w:cs="Times New Roman"/>
          <w:sz w:val="24"/>
          <w:szCs w:val="24"/>
        </w:rPr>
        <w:t xml:space="preserve">– </w:t>
      </w:r>
      <w:r w:rsidR="00E42714" w:rsidRPr="007404FA">
        <w:rPr>
          <w:rFonts w:ascii="Times New Roman" w:eastAsia="Calibri" w:hAnsi="Times New Roman" w:cs="Times New Roman"/>
          <w:sz w:val="24"/>
          <w:szCs w:val="24"/>
        </w:rPr>
        <w:t xml:space="preserve">членка на Европейския съюз. Отбелязва се също така, че българският администратор няма възможност и правомощия да извърши преценка относно достоверността на отправеното до </w:t>
      </w:r>
      <w:r w:rsidR="00686D4D" w:rsidRPr="007404FA">
        <w:rPr>
          <w:rFonts w:ascii="Times New Roman" w:eastAsia="Calibri" w:hAnsi="Times New Roman" w:cs="Times New Roman"/>
          <w:sz w:val="24"/>
          <w:szCs w:val="24"/>
        </w:rPr>
        <w:t>него</w:t>
      </w:r>
      <w:r w:rsidR="00E42714" w:rsidRPr="007404FA">
        <w:rPr>
          <w:rFonts w:ascii="Times New Roman" w:eastAsia="Calibri" w:hAnsi="Times New Roman" w:cs="Times New Roman"/>
          <w:sz w:val="24"/>
          <w:szCs w:val="24"/>
        </w:rPr>
        <w:t xml:space="preserve"> искане, както и да гарантира, ч</w:t>
      </w:r>
      <w:r>
        <w:rPr>
          <w:rFonts w:ascii="Times New Roman" w:eastAsia="Calibri" w:hAnsi="Times New Roman" w:cs="Times New Roman"/>
          <w:sz w:val="24"/>
          <w:szCs w:val="24"/>
        </w:rPr>
        <w:t>е при предоставянето на данните</w:t>
      </w:r>
      <w:r w:rsidR="00E42714" w:rsidRPr="007404FA">
        <w:rPr>
          <w:rFonts w:ascii="Times New Roman" w:eastAsia="Calibri" w:hAnsi="Times New Roman" w:cs="Times New Roman"/>
          <w:sz w:val="24"/>
          <w:szCs w:val="24"/>
        </w:rPr>
        <w:t xml:space="preserve"> те ще бъдат използвани за посочените цели. При така изложените факти и аргументи българският администратор (получил искането от полицията на Кралство Испания) следва да се обърне към специализираните органи от МВР, в чиято компетентност е осъществяването на този обмен при спазване на приложимото българското и европейско законодателство. </w:t>
      </w:r>
    </w:p>
    <w:p w:rsidR="00E42714" w:rsidRPr="007404FA" w:rsidRDefault="00E42714"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lastRenderedPageBreak/>
        <w:t>През</w:t>
      </w:r>
      <w:r w:rsidR="00EF7732" w:rsidRPr="007404FA">
        <w:rPr>
          <w:rFonts w:ascii="Times New Roman" w:eastAsia="Calibri" w:hAnsi="Times New Roman" w:cs="Times New Roman"/>
          <w:sz w:val="24"/>
          <w:szCs w:val="24"/>
        </w:rPr>
        <w:t xml:space="preserve"> отчетната година в КЗЛД постъпва</w:t>
      </w:r>
      <w:r w:rsidRPr="007404FA">
        <w:rPr>
          <w:rFonts w:ascii="Times New Roman" w:eastAsia="Calibri" w:hAnsi="Times New Roman" w:cs="Times New Roman"/>
          <w:sz w:val="24"/>
          <w:szCs w:val="24"/>
        </w:rPr>
        <w:t xml:space="preserve"> запитване относно обработването на лични данни на младежи от 14</w:t>
      </w:r>
      <w:r w:rsidR="00480370">
        <w:rPr>
          <w:rFonts w:ascii="Times New Roman" w:eastAsia="Calibri" w:hAnsi="Times New Roman" w:cs="Times New Roman"/>
          <w:sz w:val="24"/>
          <w:szCs w:val="24"/>
        </w:rPr>
        <w:t>-</w:t>
      </w:r>
      <w:r w:rsidRPr="007404FA">
        <w:rPr>
          <w:rFonts w:ascii="Times New Roman" w:eastAsia="Calibri" w:hAnsi="Times New Roman" w:cs="Times New Roman"/>
          <w:sz w:val="24"/>
          <w:szCs w:val="24"/>
        </w:rPr>
        <w:t xml:space="preserve"> до 24-годишна възраст чрез платформа, чиято мисия е да окаже благотворно влияние върху психическото здраве на младежите. Наред с конкретните отговори по </w:t>
      </w:r>
      <w:r w:rsidR="00041019">
        <w:rPr>
          <w:rFonts w:ascii="Times New Roman" w:eastAsia="Calibri" w:hAnsi="Times New Roman" w:cs="Times New Roman"/>
          <w:sz w:val="24"/>
          <w:szCs w:val="24"/>
        </w:rPr>
        <w:t>поставените въпроси</w:t>
      </w:r>
      <w:r w:rsidR="00EF7732" w:rsidRPr="007404FA">
        <w:rPr>
          <w:rFonts w:ascii="Times New Roman" w:eastAsia="Calibri" w:hAnsi="Times New Roman" w:cs="Times New Roman"/>
          <w:sz w:val="24"/>
          <w:szCs w:val="24"/>
        </w:rPr>
        <w:t xml:space="preserve"> КЗЛД изразява</w:t>
      </w:r>
      <w:r w:rsidRPr="007404FA">
        <w:rPr>
          <w:rFonts w:ascii="Times New Roman" w:eastAsia="Calibri" w:hAnsi="Times New Roman" w:cs="Times New Roman"/>
          <w:sz w:val="24"/>
          <w:szCs w:val="24"/>
        </w:rPr>
        <w:t xml:space="preserve"> принципни насоки, които следва да се имат предвид при такъв вид обработване на лични данни.</w:t>
      </w:r>
    </w:p>
    <w:p w:rsidR="00E42714" w:rsidRPr="007404FA" w:rsidRDefault="00E42714"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По принцип чрез платформите могат да се събират големи обеми от данни при предоставяне на услугите на крайния потребител. Такива данни могат да бъдат например данни за местоположението, данни</w:t>
      </w:r>
      <w:r w:rsidR="002C389D" w:rsidRPr="007404FA">
        <w:rPr>
          <w:rFonts w:ascii="Times New Roman" w:eastAsia="Calibri" w:hAnsi="Times New Roman" w:cs="Times New Roman"/>
          <w:sz w:val="24"/>
          <w:szCs w:val="24"/>
        </w:rPr>
        <w:t>,</w:t>
      </w:r>
      <w:r w:rsidRPr="007404FA">
        <w:rPr>
          <w:rFonts w:ascii="Times New Roman" w:eastAsia="Calibri" w:hAnsi="Times New Roman" w:cs="Times New Roman"/>
          <w:sz w:val="24"/>
          <w:szCs w:val="24"/>
        </w:rPr>
        <w:t xml:space="preserve"> записани на устройството на потребителя, както и данни, споделени от самите потребители. Особен акцент следва да се постави на данните, които не са споделени от потребителите, а от техните устройства, доставчици на услуги, IP</w:t>
      </w:r>
      <w:r w:rsidR="00041019">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адреси, данни за местоположението, данни от т.нар. бисквитки или други проследяващи технологии. По своята същност тези данни попадат в обхвата на понятието лични данни (чл. 4,</w:t>
      </w:r>
      <w:r w:rsidR="00F06583" w:rsidRPr="007404FA">
        <w:rPr>
          <w:rFonts w:ascii="Times New Roman" w:eastAsia="Calibri" w:hAnsi="Times New Roman" w:cs="Times New Roman"/>
          <w:sz w:val="24"/>
          <w:szCs w:val="24"/>
        </w:rPr>
        <w:t xml:space="preserve"> т. </w:t>
      </w:r>
      <w:r w:rsidRPr="007404FA">
        <w:rPr>
          <w:rFonts w:ascii="Times New Roman" w:eastAsia="Calibri" w:hAnsi="Times New Roman" w:cs="Times New Roman"/>
          <w:sz w:val="24"/>
          <w:szCs w:val="24"/>
        </w:rPr>
        <w:t>1 от Регламент (ЕС) 2016/679) и могат да разкрият широк спектър от лична информация за ползвателя.</w:t>
      </w:r>
    </w:p>
    <w:p w:rsidR="00E42714" w:rsidRPr="007404FA" w:rsidRDefault="00E42714"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За да предприеме конкретни мерки за защита правата на субектите на данни, администраторът следва да извърши оценка на риска и оценка на въздействието върху защитата на личните данни по смисъла на</w:t>
      </w:r>
      <w:r w:rsidR="00F06583" w:rsidRPr="007404FA">
        <w:rPr>
          <w:rFonts w:ascii="Times New Roman" w:eastAsia="Calibri" w:hAnsi="Times New Roman" w:cs="Times New Roman"/>
          <w:sz w:val="24"/>
          <w:szCs w:val="24"/>
        </w:rPr>
        <w:t xml:space="preserve"> чл. </w:t>
      </w:r>
      <w:r w:rsidRPr="007404FA">
        <w:rPr>
          <w:rFonts w:ascii="Times New Roman" w:eastAsia="Calibri" w:hAnsi="Times New Roman" w:cs="Times New Roman"/>
          <w:sz w:val="24"/>
          <w:szCs w:val="24"/>
        </w:rPr>
        <w:t>35 от Регламент (ЕС) 2016/679 във връзка с раздел II,</w:t>
      </w:r>
      <w:r w:rsidR="00F06583" w:rsidRPr="007404FA">
        <w:rPr>
          <w:rFonts w:ascii="Times New Roman" w:eastAsia="Calibri" w:hAnsi="Times New Roman" w:cs="Times New Roman"/>
          <w:sz w:val="24"/>
          <w:szCs w:val="24"/>
        </w:rPr>
        <w:t xml:space="preserve"> т. </w:t>
      </w:r>
      <w:r w:rsidRPr="007404FA">
        <w:rPr>
          <w:rFonts w:ascii="Times New Roman" w:eastAsia="Calibri" w:hAnsi="Times New Roman" w:cs="Times New Roman"/>
          <w:sz w:val="24"/>
          <w:szCs w:val="24"/>
        </w:rPr>
        <w:t xml:space="preserve">7 от </w:t>
      </w:r>
      <w:r w:rsidRPr="007404FA">
        <w:rPr>
          <w:rFonts w:ascii="Times New Roman" w:eastAsia="Calibri" w:hAnsi="Times New Roman" w:cs="Times New Roman"/>
          <w:i/>
          <w:sz w:val="24"/>
          <w:szCs w:val="24"/>
        </w:rPr>
        <w:t>Списъка на видовете операции по обработване на лични данни, за които се изисква извършване на оценка за въздействие върху защитата на данните съгласно</w:t>
      </w:r>
      <w:r w:rsidR="00F06583" w:rsidRPr="007404FA">
        <w:rPr>
          <w:rFonts w:ascii="Times New Roman" w:eastAsia="Calibri" w:hAnsi="Times New Roman" w:cs="Times New Roman"/>
          <w:i/>
          <w:sz w:val="24"/>
          <w:szCs w:val="24"/>
        </w:rPr>
        <w:t xml:space="preserve"> чл. </w:t>
      </w:r>
      <w:r w:rsidRPr="007404FA">
        <w:rPr>
          <w:rFonts w:ascii="Times New Roman" w:eastAsia="Calibri" w:hAnsi="Times New Roman" w:cs="Times New Roman"/>
          <w:i/>
          <w:sz w:val="24"/>
          <w:szCs w:val="24"/>
        </w:rPr>
        <w:t xml:space="preserve">35, </w:t>
      </w:r>
      <w:r w:rsidR="00041019">
        <w:rPr>
          <w:rFonts w:ascii="Times New Roman" w:eastAsia="Calibri" w:hAnsi="Times New Roman" w:cs="Times New Roman"/>
          <w:i/>
          <w:sz w:val="24"/>
          <w:szCs w:val="24"/>
        </w:rPr>
        <w:t>§</w:t>
      </w:r>
      <w:r w:rsidRPr="007404FA">
        <w:rPr>
          <w:rFonts w:ascii="Times New Roman" w:eastAsia="Calibri" w:hAnsi="Times New Roman" w:cs="Times New Roman"/>
          <w:i/>
          <w:sz w:val="24"/>
          <w:szCs w:val="24"/>
        </w:rPr>
        <w:t>4 от Регламент (ЕС) 2016/679</w:t>
      </w:r>
      <w:r w:rsidRPr="007404FA">
        <w:rPr>
          <w:rFonts w:ascii="Times New Roman" w:eastAsia="Calibri" w:hAnsi="Times New Roman" w:cs="Times New Roman"/>
          <w:sz w:val="24"/>
          <w:szCs w:val="24"/>
        </w:rPr>
        <w:t>. Наред със спазването на всички изисквания на приложимото законодателство във връзка със защитата на личните данни особено внимание следва да се обърне и на евентуални трансфери на данни към подизпълнители в трети д</w:t>
      </w:r>
      <w:r w:rsidR="00041019">
        <w:rPr>
          <w:rFonts w:ascii="Times New Roman" w:eastAsia="Calibri" w:hAnsi="Times New Roman" w:cs="Times New Roman"/>
          <w:sz w:val="24"/>
          <w:szCs w:val="24"/>
        </w:rPr>
        <w:t>ържави от страна на платформата</w:t>
      </w:r>
      <w:r w:rsidRPr="007404FA">
        <w:rPr>
          <w:rFonts w:ascii="Times New Roman" w:eastAsia="Calibri" w:hAnsi="Times New Roman" w:cs="Times New Roman"/>
          <w:sz w:val="24"/>
          <w:szCs w:val="24"/>
        </w:rPr>
        <w:t xml:space="preserve"> с цел съхранение или използване на допълнителни средства за защита. В този случай приложение намира специалният режим на Глава V</w:t>
      </w:r>
      <w:r w:rsidR="00553661" w:rsidRPr="007404FA">
        <w:rPr>
          <w:rFonts w:ascii="Times New Roman" w:eastAsia="Calibri" w:hAnsi="Times New Roman" w:cs="Times New Roman"/>
          <w:sz w:val="24"/>
          <w:szCs w:val="24"/>
        </w:rPr>
        <w:t xml:space="preserve"> – </w:t>
      </w:r>
      <w:r w:rsidRPr="007404FA">
        <w:rPr>
          <w:rFonts w:ascii="Times New Roman" w:eastAsia="Calibri" w:hAnsi="Times New Roman" w:cs="Times New Roman"/>
          <w:sz w:val="24"/>
          <w:szCs w:val="24"/>
        </w:rPr>
        <w:t>„Предаване на лични данни на трети държави или международни организации“ от Регламент (ЕС) 2016/679, като например използването на облачни решения за съхранение или осигуряване на защита срещу нарушения на сигурността на данните. Принципно положение е, че такова предаване на лични данни (т.нар. трансфер) може да се осъществява, само при условие че са спазени всички други относими към операциите по обработване разпоредби на Регламент (ЕС) 2016/679 (спазване на принципите по</w:t>
      </w:r>
      <w:r w:rsidR="00F06583" w:rsidRPr="007404FA">
        <w:rPr>
          <w:rFonts w:ascii="Times New Roman" w:eastAsia="Calibri" w:hAnsi="Times New Roman" w:cs="Times New Roman"/>
          <w:sz w:val="24"/>
          <w:szCs w:val="24"/>
        </w:rPr>
        <w:t xml:space="preserve"> чл. </w:t>
      </w:r>
      <w:r w:rsidRPr="007404FA">
        <w:rPr>
          <w:rFonts w:ascii="Times New Roman" w:eastAsia="Calibri" w:hAnsi="Times New Roman" w:cs="Times New Roman"/>
          <w:sz w:val="24"/>
          <w:szCs w:val="24"/>
        </w:rPr>
        <w:t>5, наличие на основание за обработване по</w:t>
      </w:r>
      <w:r w:rsidR="00F06583" w:rsidRPr="007404FA">
        <w:rPr>
          <w:rFonts w:ascii="Times New Roman" w:eastAsia="Calibri" w:hAnsi="Times New Roman" w:cs="Times New Roman"/>
          <w:sz w:val="24"/>
          <w:szCs w:val="24"/>
        </w:rPr>
        <w:t xml:space="preserve"> чл. </w:t>
      </w:r>
      <w:r w:rsidRPr="007404FA">
        <w:rPr>
          <w:rFonts w:ascii="Times New Roman" w:eastAsia="Calibri" w:hAnsi="Times New Roman" w:cs="Times New Roman"/>
          <w:sz w:val="24"/>
          <w:szCs w:val="24"/>
        </w:rPr>
        <w:t xml:space="preserve">6, </w:t>
      </w:r>
      <w:r w:rsidR="00041019">
        <w:rPr>
          <w:rFonts w:ascii="Times New Roman" w:eastAsia="Calibri" w:hAnsi="Times New Roman" w:cs="Times New Roman"/>
          <w:sz w:val="24"/>
          <w:szCs w:val="24"/>
        </w:rPr>
        <w:t>§</w:t>
      </w:r>
      <w:r w:rsidRPr="007404FA">
        <w:rPr>
          <w:rFonts w:ascii="Times New Roman" w:eastAsia="Calibri" w:hAnsi="Times New Roman" w:cs="Times New Roman"/>
          <w:sz w:val="24"/>
          <w:szCs w:val="24"/>
        </w:rPr>
        <w:t>1 и/или по</w:t>
      </w:r>
      <w:r w:rsidR="00F06583" w:rsidRPr="007404FA">
        <w:rPr>
          <w:rFonts w:ascii="Times New Roman" w:eastAsia="Calibri" w:hAnsi="Times New Roman" w:cs="Times New Roman"/>
          <w:sz w:val="24"/>
          <w:szCs w:val="24"/>
        </w:rPr>
        <w:t xml:space="preserve"> чл. </w:t>
      </w:r>
      <w:r w:rsidRPr="007404FA">
        <w:rPr>
          <w:rFonts w:ascii="Times New Roman" w:eastAsia="Calibri" w:hAnsi="Times New Roman" w:cs="Times New Roman"/>
          <w:sz w:val="24"/>
          <w:szCs w:val="24"/>
        </w:rPr>
        <w:t xml:space="preserve">9, </w:t>
      </w:r>
      <w:r w:rsidR="00041019">
        <w:rPr>
          <w:rFonts w:ascii="Times New Roman" w:eastAsia="Calibri" w:hAnsi="Times New Roman" w:cs="Times New Roman"/>
          <w:sz w:val="24"/>
          <w:szCs w:val="24"/>
        </w:rPr>
        <w:t>§</w:t>
      </w:r>
      <w:r w:rsidRPr="007404FA">
        <w:rPr>
          <w:rFonts w:ascii="Times New Roman" w:eastAsia="Calibri" w:hAnsi="Times New Roman" w:cs="Times New Roman"/>
          <w:sz w:val="24"/>
          <w:szCs w:val="24"/>
        </w:rPr>
        <w:t>2, предприемане на технически и организационни мерки, извършване оценка на въздействието върху защитата на личните данни и т.н.).</w:t>
      </w:r>
    </w:p>
    <w:p w:rsidR="00E42714" w:rsidRPr="007404FA" w:rsidRDefault="00E42714"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През</w:t>
      </w:r>
      <w:r w:rsidR="00F87C08" w:rsidRPr="007404FA">
        <w:rPr>
          <w:rFonts w:ascii="Times New Roman" w:eastAsia="Calibri" w:hAnsi="Times New Roman" w:cs="Times New Roman"/>
          <w:sz w:val="24"/>
          <w:szCs w:val="24"/>
        </w:rPr>
        <w:t xml:space="preserve"> отчетната година в КЗЛД постъпва</w:t>
      </w:r>
      <w:r w:rsidRPr="007404FA">
        <w:rPr>
          <w:rFonts w:ascii="Times New Roman" w:eastAsia="Calibri" w:hAnsi="Times New Roman" w:cs="Times New Roman"/>
          <w:sz w:val="24"/>
          <w:szCs w:val="24"/>
        </w:rPr>
        <w:t xml:space="preserve"> писмо от длъжностното лице по защита на личните данни на </w:t>
      </w:r>
      <w:r w:rsidR="00EB7FCF">
        <w:rPr>
          <w:rFonts w:ascii="Times New Roman" w:eastAsia="Calibri" w:hAnsi="Times New Roman" w:cs="Times New Roman"/>
          <w:sz w:val="24"/>
          <w:szCs w:val="24"/>
        </w:rPr>
        <w:t>община Карлово</w:t>
      </w:r>
      <w:r w:rsidRPr="007404FA">
        <w:rPr>
          <w:rFonts w:ascii="Times New Roman" w:eastAsia="Calibri" w:hAnsi="Times New Roman" w:cs="Times New Roman"/>
          <w:sz w:val="24"/>
          <w:szCs w:val="24"/>
        </w:rPr>
        <w:t xml:space="preserve"> във връзка с публикувани списъци на официалната </w:t>
      </w:r>
      <w:r w:rsidRPr="007404FA">
        <w:rPr>
          <w:rFonts w:ascii="Times New Roman" w:eastAsia="Calibri" w:hAnsi="Times New Roman" w:cs="Times New Roman"/>
          <w:sz w:val="24"/>
          <w:szCs w:val="24"/>
        </w:rPr>
        <w:lastRenderedPageBreak/>
        <w:t>страница на общината на пострадалите от наводненията лица (по инициали и адрес) на територията</w:t>
      </w:r>
      <w:r w:rsidR="00157B49">
        <w:rPr>
          <w:rFonts w:ascii="Times New Roman" w:eastAsia="Calibri" w:hAnsi="Times New Roman" w:cs="Times New Roman"/>
          <w:sz w:val="24"/>
          <w:szCs w:val="24"/>
        </w:rPr>
        <w:t xml:space="preserve"> </w:t>
      </w:r>
      <w:r w:rsidR="00EB7FCF">
        <w:rPr>
          <w:rFonts w:ascii="Times New Roman" w:eastAsia="Calibri" w:hAnsi="Times New Roman" w:cs="Times New Roman"/>
          <w:sz w:val="24"/>
          <w:szCs w:val="24"/>
        </w:rPr>
        <w:t>на община Карлово</w:t>
      </w:r>
      <w:r w:rsidRPr="007404FA">
        <w:rPr>
          <w:rFonts w:ascii="Times New Roman" w:eastAsia="Calibri" w:hAnsi="Times New Roman" w:cs="Times New Roman"/>
          <w:sz w:val="24"/>
          <w:szCs w:val="24"/>
        </w:rPr>
        <w:t xml:space="preserve"> с разпределени суми от организираната дарителска кампания. В</w:t>
      </w:r>
      <w:r w:rsidR="00EB7FCF">
        <w:rPr>
          <w:rFonts w:ascii="Times New Roman" w:eastAsia="Calibri" w:hAnsi="Times New Roman" w:cs="Times New Roman"/>
          <w:sz w:val="24"/>
          <w:szCs w:val="24"/>
        </w:rPr>
        <w:t>ъпреки направеното оповестяване</w:t>
      </w:r>
      <w:r w:rsidRPr="007404FA">
        <w:rPr>
          <w:rFonts w:ascii="Times New Roman" w:eastAsia="Calibri" w:hAnsi="Times New Roman" w:cs="Times New Roman"/>
          <w:sz w:val="24"/>
          <w:szCs w:val="24"/>
        </w:rPr>
        <w:t xml:space="preserve"> в Общинска администрация</w:t>
      </w:r>
      <w:r w:rsidR="00EB7FCF">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 xml:space="preserve"> Карлово</w:t>
      </w:r>
      <w:r w:rsidR="00EB7FCF">
        <w:rPr>
          <w:rFonts w:ascii="Times New Roman" w:eastAsia="Calibri" w:hAnsi="Times New Roman" w:cs="Times New Roman"/>
          <w:sz w:val="24"/>
          <w:szCs w:val="24"/>
        </w:rPr>
        <w:t>,</w:t>
      </w:r>
      <w:r w:rsidRPr="007404FA">
        <w:rPr>
          <w:rFonts w:ascii="Times New Roman" w:eastAsia="Calibri" w:hAnsi="Times New Roman" w:cs="Times New Roman"/>
          <w:sz w:val="24"/>
          <w:szCs w:val="24"/>
        </w:rPr>
        <w:t xml:space="preserve"> постъпват оплаквания от граждани,</w:t>
      </w:r>
      <w:r w:rsidR="003059CB" w:rsidRPr="007404FA">
        <w:rPr>
          <w:rFonts w:ascii="Times New Roman" w:eastAsia="Calibri" w:hAnsi="Times New Roman" w:cs="Times New Roman"/>
          <w:sz w:val="24"/>
          <w:szCs w:val="24"/>
        </w:rPr>
        <w:t xml:space="preserve"> че от публикуваната информация</w:t>
      </w:r>
      <w:r w:rsidRPr="007404FA">
        <w:rPr>
          <w:rFonts w:ascii="Times New Roman" w:eastAsia="Calibri" w:hAnsi="Times New Roman" w:cs="Times New Roman"/>
          <w:sz w:val="24"/>
          <w:szCs w:val="24"/>
        </w:rPr>
        <w:t xml:space="preserve"> не могат да установят в коя категория попадат. Във връзка с това в своя отговор КЗЛД посочва, че с оглед</w:t>
      </w:r>
      <w:r w:rsidR="003059CB" w:rsidRPr="007404FA">
        <w:rPr>
          <w:rFonts w:ascii="Times New Roman" w:eastAsia="Calibri" w:hAnsi="Times New Roman" w:cs="Times New Roman"/>
          <w:sz w:val="24"/>
          <w:szCs w:val="24"/>
        </w:rPr>
        <w:t xml:space="preserve"> липсата на</w:t>
      </w:r>
      <w:r w:rsidR="00157B49">
        <w:rPr>
          <w:rFonts w:ascii="Times New Roman" w:eastAsia="Calibri" w:hAnsi="Times New Roman" w:cs="Times New Roman"/>
          <w:sz w:val="24"/>
          <w:szCs w:val="24"/>
        </w:rPr>
        <w:t xml:space="preserve"> </w:t>
      </w:r>
      <w:r w:rsidR="003059CB" w:rsidRPr="007404FA">
        <w:rPr>
          <w:rFonts w:ascii="Times New Roman" w:eastAsia="Calibri" w:hAnsi="Times New Roman" w:cs="Times New Roman"/>
          <w:sz w:val="24"/>
          <w:szCs w:val="24"/>
        </w:rPr>
        <w:t xml:space="preserve">достатъчна яснота </w:t>
      </w:r>
      <w:r w:rsidRPr="007404FA">
        <w:rPr>
          <w:rFonts w:ascii="Times New Roman" w:eastAsia="Calibri" w:hAnsi="Times New Roman" w:cs="Times New Roman"/>
          <w:sz w:val="24"/>
          <w:szCs w:val="24"/>
        </w:rPr>
        <w:t>при посочване единствено на и</w:t>
      </w:r>
      <w:r w:rsidR="00EB7FCF">
        <w:rPr>
          <w:rFonts w:ascii="Times New Roman" w:eastAsia="Calibri" w:hAnsi="Times New Roman" w:cs="Times New Roman"/>
          <w:sz w:val="24"/>
          <w:szCs w:val="24"/>
        </w:rPr>
        <w:t>нициалите на лицето и адреса му</w:t>
      </w:r>
      <w:r w:rsidRPr="007404FA">
        <w:rPr>
          <w:rFonts w:ascii="Times New Roman" w:eastAsia="Calibri" w:hAnsi="Times New Roman" w:cs="Times New Roman"/>
          <w:sz w:val="24"/>
          <w:szCs w:val="24"/>
        </w:rPr>
        <w:t xml:space="preserve"> не съществува пречка да бъдат публикувани пълните имена на лицата, за да бъде постигната целта, заложена в програмата, както и да се подсигури упражняването на официалните правомощия на Общински съвет, свързани с осигуряване на защита при бедствия (чл. 20, във вр. с</w:t>
      </w:r>
      <w:r w:rsidR="00F06583" w:rsidRPr="007404FA">
        <w:rPr>
          <w:rFonts w:ascii="Times New Roman" w:eastAsia="Calibri" w:hAnsi="Times New Roman" w:cs="Times New Roman"/>
          <w:sz w:val="24"/>
          <w:szCs w:val="24"/>
        </w:rPr>
        <w:t xml:space="preserve"> чл. </w:t>
      </w:r>
      <w:r w:rsidRPr="007404FA">
        <w:rPr>
          <w:rFonts w:ascii="Times New Roman" w:eastAsia="Calibri" w:hAnsi="Times New Roman" w:cs="Times New Roman"/>
          <w:sz w:val="24"/>
          <w:szCs w:val="24"/>
        </w:rPr>
        <w:t>17,</w:t>
      </w:r>
      <w:r w:rsidR="00F06583" w:rsidRPr="007404FA">
        <w:rPr>
          <w:rFonts w:ascii="Times New Roman" w:eastAsia="Calibri" w:hAnsi="Times New Roman" w:cs="Times New Roman"/>
          <w:sz w:val="24"/>
          <w:szCs w:val="24"/>
        </w:rPr>
        <w:t xml:space="preserve"> ал. </w:t>
      </w:r>
      <w:r w:rsidRPr="007404FA">
        <w:rPr>
          <w:rFonts w:ascii="Times New Roman" w:eastAsia="Calibri" w:hAnsi="Times New Roman" w:cs="Times New Roman"/>
          <w:sz w:val="24"/>
          <w:szCs w:val="24"/>
        </w:rPr>
        <w:t>1,</w:t>
      </w:r>
      <w:r w:rsidR="00F06583" w:rsidRPr="007404FA">
        <w:rPr>
          <w:rFonts w:ascii="Times New Roman" w:eastAsia="Calibri" w:hAnsi="Times New Roman" w:cs="Times New Roman"/>
          <w:sz w:val="24"/>
          <w:szCs w:val="24"/>
        </w:rPr>
        <w:t xml:space="preserve"> т. </w:t>
      </w:r>
      <w:r w:rsidRPr="007404FA">
        <w:rPr>
          <w:rFonts w:ascii="Times New Roman" w:eastAsia="Calibri" w:hAnsi="Times New Roman" w:cs="Times New Roman"/>
          <w:sz w:val="24"/>
          <w:szCs w:val="24"/>
        </w:rPr>
        <w:t xml:space="preserve">11 от </w:t>
      </w:r>
      <w:r w:rsidRPr="007404FA">
        <w:rPr>
          <w:rFonts w:ascii="Times New Roman" w:eastAsia="Calibri" w:hAnsi="Times New Roman" w:cs="Times New Roman"/>
          <w:bCs/>
          <w:sz w:val="24"/>
          <w:szCs w:val="24"/>
        </w:rPr>
        <w:t>Закон за местното самоуправление и местната администрация</w:t>
      </w:r>
      <w:r w:rsidRPr="007404FA">
        <w:rPr>
          <w:rFonts w:ascii="Times New Roman" w:eastAsia="Calibri" w:hAnsi="Times New Roman" w:cs="Times New Roman"/>
          <w:sz w:val="24"/>
          <w:szCs w:val="24"/>
        </w:rPr>
        <w:t>).</w:t>
      </w:r>
      <w:r w:rsidR="00157B49">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Съобразявайки се с принципа за ограничение на съхранението, КЗЛД подчертава, че въпросните списъци не може да останат безсрочно публикувани в интернет.</w:t>
      </w:r>
    </w:p>
    <w:p w:rsidR="00A32EBE" w:rsidRPr="007404FA" w:rsidRDefault="00A32EBE" w:rsidP="00DB6B05">
      <w:pPr>
        <w:spacing w:line="259" w:lineRule="auto"/>
        <w:rPr>
          <w:rFonts w:ascii="Times New Roman" w:eastAsia="Calibri" w:hAnsi="Times New Roman" w:cs="Times New Roman"/>
          <w:sz w:val="24"/>
          <w:szCs w:val="24"/>
        </w:rPr>
      </w:pPr>
      <w:r w:rsidRPr="007404FA">
        <w:rPr>
          <w:rFonts w:ascii="Times New Roman" w:eastAsia="Calibri" w:hAnsi="Times New Roman" w:cs="Times New Roman"/>
          <w:sz w:val="24"/>
          <w:szCs w:val="24"/>
        </w:rPr>
        <w:br w:type="page"/>
      </w:r>
    </w:p>
    <w:p w:rsidR="00E42714" w:rsidRPr="00457EE0" w:rsidRDefault="00E42714" w:rsidP="00457EE0">
      <w:pPr>
        <w:pStyle w:val="Heading1"/>
        <w:spacing w:before="0" w:line="360" w:lineRule="auto"/>
        <w:ind w:firstLine="709"/>
        <w:jc w:val="both"/>
        <w:rPr>
          <w:rFonts w:ascii="Times New Roman" w:hAnsi="Times New Roman" w:cs="Times New Roman"/>
          <w:sz w:val="24"/>
          <w:szCs w:val="24"/>
        </w:rPr>
      </w:pPr>
      <w:bookmarkStart w:id="5" w:name="_Toc130915382"/>
      <w:r w:rsidRPr="00457EE0">
        <w:rPr>
          <w:rFonts w:ascii="Times New Roman" w:hAnsi="Times New Roman" w:cs="Times New Roman"/>
          <w:sz w:val="24"/>
          <w:szCs w:val="24"/>
        </w:rPr>
        <w:lastRenderedPageBreak/>
        <w:t>VI. УЧАСТИЕ В МЕХАНИЗМИТЕ ЗА СЪГЛАСУВАНОСТ И СЪТРУДНИЧЕСТВО В РАМКИТЕ НА ЕВРОПЕЙСКИЯ КОМИТЕТ ЗА ЗАЩИТА НА ДАННИТЕ</w:t>
      </w:r>
      <w:bookmarkEnd w:id="5"/>
    </w:p>
    <w:p w:rsidR="00E42714" w:rsidRPr="007404FA" w:rsidRDefault="009C7E75"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През отчетния </w:t>
      </w:r>
      <w:r w:rsidR="00EB7FCF">
        <w:rPr>
          <w:rFonts w:ascii="Times New Roman" w:hAnsi="Times New Roman" w:cs="Times New Roman"/>
          <w:sz w:val="24"/>
          <w:szCs w:val="24"/>
        </w:rPr>
        <w:t>период е осъществено участие в</w:t>
      </w:r>
      <w:r w:rsidRPr="007404FA">
        <w:rPr>
          <w:rFonts w:ascii="Times New Roman" w:hAnsi="Times New Roman" w:cs="Times New Roman"/>
          <w:sz w:val="24"/>
          <w:szCs w:val="24"/>
        </w:rPr>
        <w:t xml:space="preserve"> </w:t>
      </w:r>
      <w:r w:rsidR="00C217F7" w:rsidRPr="007404FA">
        <w:rPr>
          <w:rFonts w:ascii="Times New Roman" w:hAnsi="Times New Roman" w:cs="Times New Roman"/>
          <w:sz w:val="24"/>
          <w:szCs w:val="24"/>
        </w:rPr>
        <w:t>173</w:t>
      </w:r>
      <w:r w:rsidR="00D1189D" w:rsidRPr="007404FA">
        <w:rPr>
          <w:rFonts w:ascii="Times New Roman" w:hAnsi="Times New Roman" w:cs="Times New Roman"/>
          <w:sz w:val="24"/>
          <w:szCs w:val="24"/>
        </w:rPr>
        <w:t> бр.</w:t>
      </w:r>
      <w:r w:rsidR="00C217F7" w:rsidRPr="007404FA">
        <w:rPr>
          <w:rFonts w:ascii="Times New Roman" w:hAnsi="Times New Roman" w:cs="Times New Roman"/>
          <w:sz w:val="24"/>
          <w:szCs w:val="24"/>
        </w:rPr>
        <w:t xml:space="preserve"> заседания на</w:t>
      </w:r>
      <w:r w:rsidRPr="007404FA">
        <w:rPr>
          <w:rFonts w:ascii="Times New Roman" w:hAnsi="Times New Roman" w:cs="Times New Roman"/>
          <w:sz w:val="24"/>
          <w:szCs w:val="24"/>
        </w:rPr>
        <w:t xml:space="preserve"> формати, обединяващи сродни органи по</w:t>
      </w:r>
      <w:r w:rsidR="00EB7FCF">
        <w:rPr>
          <w:rFonts w:ascii="Times New Roman" w:hAnsi="Times New Roman" w:cs="Times New Roman"/>
          <w:sz w:val="24"/>
          <w:szCs w:val="24"/>
        </w:rPr>
        <w:t xml:space="preserve"> защита на данните на държавите – </w:t>
      </w:r>
      <w:r w:rsidRPr="007404FA">
        <w:rPr>
          <w:rFonts w:ascii="Times New Roman" w:hAnsi="Times New Roman" w:cs="Times New Roman"/>
          <w:sz w:val="24"/>
          <w:szCs w:val="24"/>
        </w:rPr>
        <w:t>членки на ЕС, включително пленарни заседания на Европейския комитет по защита на данните</w:t>
      </w:r>
      <w:r w:rsidR="0007250D" w:rsidRPr="007404FA">
        <w:rPr>
          <w:rFonts w:ascii="Times New Roman" w:hAnsi="Times New Roman" w:cs="Times New Roman"/>
          <w:sz w:val="24"/>
          <w:szCs w:val="24"/>
        </w:rPr>
        <w:t xml:space="preserve"> (ЕКЗД)</w:t>
      </w:r>
      <w:r w:rsidRPr="007404FA">
        <w:rPr>
          <w:rFonts w:ascii="Times New Roman" w:hAnsi="Times New Roman" w:cs="Times New Roman"/>
          <w:sz w:val="24"/>
          <w:szCs w:val="24"/>
        </w:rPr>
        <w:t xml:space="preserve">, заседанията на изпълнителното бюро на консултативния комитет </w:t>
      </w:r>
      <w:r w:rsidR="00C8161D" w:rsidRPr="007404FA">
        <w:rPr>
          <w:rFonts w:ascii="Times New Roman" w:hAnsi="Times New Roman" w:cs="Times New Roman"/>
          <w:sz w:val="24"/>
          <w:szCs w:val="24"/>
        </w:rPr>
        <w:t>към</w:t>
      </w:r>
      <w:r w:rsidRPr="007404FA">
        <w:rPr>
          <w:rFonts w:ascii="Times New Roman" w:hAnsi="Times New Roman" w:cs="Times New Roman"/>
          <w:sz w:val="24"/>
          <w:szCs w:val="24"/>
        </w:rPr>
        <w:t xml:space="preserve"> Конвенция 108+ на Съвета на Европа и на Работна група „Обмен на информация и защита на данните“ (DAPIX), формат „Защита на данните</w:t>
      </w:r>
      <w:r w:rsidR="00EB7FCF">
        <w:rPr>
          <w:rFonts w:ascii="Times New Roman" w:hAnsi="Times New Roman" w:cs="Times New Roman"/>
          <w:sz w:val="24"/>
          <w:szCs w:val="24"/>
        </w:rPr>
        <w:t>“</w:t>
      </w:r>
      <w:r w:rsidRPr="007404FA">
        <w:rPr>
          <w:rFonts w:ascii="Times New Roman" w:hAnsi="Times New Roman" w:cs="Times New Roman"/>
          <w:sz w:val="24"/>
          <w:szCs w:val="24"/>
        </w:rPr>
        <w:t>.</w:t>
      </w:r>
      <w:r w:rsidR="00025FCF" w:rsidRPr="007404FA">
        <w:rPr>
          <w:rFonts w:ascii="Times New Roman" w:hAnsi="Times New Roman" w:cs="Times New Roman"/>
          <w:sz w:val="24"/>
          <w:szCs w:val="24"/>
        </w:rPr>
        <w:t xml:space="preserve"> Подробна информация за това участие е представена в настоящия раздел и в раздел VII. </w:t>
      </w:r>
    </w:p>
    <w:p w:rsidR="00E42714" w:rsidRPr="007404FA" w:rsidRDefault="00E42714" w:rsidP="00DB6B05">
      <w:pPr>
        <w:numPr>
          <w:ilvl w:val="0"/>
          <w:numId w:val="1"/>
        </w:numPr>
        <w:tabs>
          <w:tab w:val="left" w:pos="709"/>
        </w:tabs>
        <w:spacing w:line="360" w:lineRule="auto"/>
        <w:ind w:left="0" w:firstLine="709"/>
        <w:contextualSpacing/>
        <w:jc w:val="both"/>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Участие в заседанията на Европейския комитет по защита на данните и на експертните подгрупи към него.</w:t>
      </w:r>
    </w:p>
    <w:p w:rsidR="00E42714" w:rsidRPr="007404FA" w:rsidRDefault="00E42714" w:rsidP="00DB6B05">
      <w:pPr>
        <w:tabs>
          <w:tab w:val="left" w:pos="993"/>
        </w:tabs>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През отчетния период представителите на КЗЛД продължават активно да участват във всички текущи процеси по изпълнение задачите от създадения със започване прилагането на Регламент (ЕС) 2016/679 Европейски комитет по защита на данните. Сред осъществените дейности от страна на КЗЛД са подготовката и участието на нейни представители във всяко едно от 15-те пленарни заседания на ЕКЗД, проведени през отчетния период</w:t>
      </w:r>
      <w:r w:rsidR="00EB7FCF">
        <w:rPr>
          <w:rFonts w:ascii="Times New Roman" w:hAnsi="Times New Roman" w:cs="Times New Roman"/>
          <w:sz w:val="24"/>
          <w:szCs w:val="24"/>
        </w:rPr>
        <w:t xml:space="preserve"> в</w:t>
      </w:r>
      <w:r w:rsidRPr="007404FA">
        <w:rPr>
          <w:rFonts w:ascii="Times New Roman" w:hAnsi="Times New Roman" w:cs="Times New Roman"/>
          <w:sz w:val="24"/>
          <w:szCs w:val="24"/>
        </w:rPr>
        <w:t xml:space="preserve"> </w:t>
      </w:r>
      <w:r w:rsidR="001C7CA3" w:rsidRPr="007404FA">
        <w:rPr>
          <w:rFonts w:ascii="Times New Roman" w:hAnsi="Times New Roman" w:cs="Times New Roman"/>
          <w:sz w:val="24"/>
          <w:szCs w:val="24"/>
        </w:rPr>
        <w:t>Брюксел, Кралство Белгия</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 xml:space="preserve">онлайн </w:t>
      </w:r>
      <w:r w:rsidR="001C7CA3" w:rsidRPr="007404FA">
        <w:rPr>
          <w:rFonts w:ascii="Times New Roman" w:hAnsi="Times New Roman" w:cs="Times New Roman"/>
          <w:sz w:val="24"/>
          <w:szCs w:val="24"/>
        </w:rPr>
        <w:t>са</w:t>
      </w:r>
      <w:r w:rsidRPr="007404FA">
        <w:rPr>
          <w:rFonts w:ascii="Times New Roman" w:hAnsi="Times New Roman" w:cs="Times New Roman"/>
          <w:sz w:val="24"/>
          <w:szCs w:val="24"/>
        </w:rPr>
        <w:t xml:space="preserve"> реализирани 11</w:t>
      </w:r>
      <w:r w:rsidR="00385D32" w:rsidRPr="007404FA">
        <w:rPr>
          <w:rFonts w:ascii="Times New Roman" w:hAnsi="Times New Roman" w:cs="Times New Roman"/>
          <w:sz w:val="24"/>
          <w:szCs w:val="24"/>
        </w:rPr>
        <w:t xml:space="preserve"> заседания</w:t>
      </w:r>
      <w:r w:rsidRPr="007404FA">
        <w:rPr>
          <w:rFonts w:ascii="Times New Roman" w:hAnsi="Times New Roman" w:cs="Times New Roman"/>
          <w:sz w:val="24"/>
          <w:szCs w:val="24"/>
        </w:rPr>
        <w:t>, а останалите 4</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присъствено</w:t>
      </w:r>
      <w:r w:rsidR="001C7CA3" w:rsidRPr="007404FA">
        <w:rPr>
          <w:rFonts w:ascii="Times New Roman" w:hAnsi="Times New Roman" w:cs="Times New Roman"/>
          <w:sz w:val="24"/>
          <w:szCs w:val="24"/>
        </w:rPr>
        <w:t xml:space="preserve">. </w:t>
      </w:r>
    </w:p>
    <w:p w:rsidR="00E42714" w:rsidRPr="007404FA" w:rsidRDefault="00E42714" w:rsidP="00DB6B05">
      <w:pPr>
        <w:tabs>
          <w:tab w:val="left" w:pos="993"/>
        </w:tabs>
        <w:spacing w:line="360" w:lineRule="auto"/>
        <w:ind w:firstLine="709"/>
        <w:jc w:val="both"/>
        <w:rPr>
          <w:rFonts w:ascii="Times New Roman" w:hAnsi="Times New Roman" w:cs="Times New Roman"/>
          <w:bCs/>
          <w:sz w:val="24"/>
          <w:szCs w:val="24"/>
        </w:rPr>
      </w:pPr>
      <w:r w:rsidRPr="007404FA">
        <w:rPr>
          <w:rFonts w:ascii="Times New Roman" w:hAnsi="Times New Roman" w:cs="Times New Roman"/>
          <w:sz w:val="24"/>
          <w:szCs w:val="24"/>
        </w:rPr>
        <w:t>През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продължава поддържането на устойчивост в дейността на Комитета, както и активното взаимодействие между експертите от националните органи по защита на данните в работните групи, подпомагащи ЕКЗД. Постигнатото пълно техническо съответствие с комуникационните системи на Комитета през предходните отчетни периоди позволява участие на заседанията по отделните работни групи без отделянето на определените от КЗЛД експерти от работното им място за дните на обсъжданията, обичайно провеждани в гр. Брюксел. В резултат на проведените над 143 заседания на отделните експертни подгрупи </w:t>
      </w:r>
      <w:r w:rsidRPr="007404FA">
        <w:rPr>
          <w:rFonts w:ascii="Times New Roman" w:hAnsi="Times New Roman" w:cs="Times New Roman"/>
          <w:bCs/>
          <w:sz w:val="24"/>
          <w:szCs w:val="24"/>
        </w:rPr>
        <w:t>през 2022</w:t>
      </w:r>
      <w:r w:rsidR="00F06583" w:rsidRPr="007404FA">
        <w:rPr>
          <w:rFonts w:ascii="Times New Roman" w:hAnsi="Times New Roman" w:cs="Times New Roman"/>
          <w:bCs/>
          <w:sz w:val="24"/>
          <w:szCs w:val="24"/>
        </w:rPr>
        <w:t> г.</w:t>
      </w:r>
      <w:r w:rsidR="00EB7FCF">
        <w:rPr>
          <w:rFonts w:ascii="Times New Roman" w:hAnsi="Times New Roman" w:cs="Times New Roman"/>
          <w:bCs/>
          <w:sz w:val="24"/>
          <w:szCs w:val="24"/>
        </w:rPr>
        <w:t xml:space="preserve"> след обществено обсъждане</w:t>
      </w:r>
      <w:r w:rsidRPr="007404FA">
        <w:rPr>
          <w:rFonts w:ascii="Times New Roman" w:hAnsi="Times New Roman" w:cs="Times New Roman"/>
          <w:bCs/>
          <w:sz w:val="24"/>
          <w:szCs w:val="24"/>
        </w:rPr>
        <w:t xml:space="preserve"> са приети следните документи, по които активно участват експерти на КЗЛД, като водещи докладчици и съдокладчици:</w:t>
      </w:r>
    </w:p>
    <w:p w:rsidR="00E42714" w:rsidRPr="007404FA" w:rsidRDefault="00EB7FCF" w:rsidP="00DB6B05">
      <w:pPr>
        <w:numPr>
          <w:ilvl w:val="0"/>
          <w:numId w:val="22"/>
        </w:numPr>
        <w:suppressAutoHyphens/>
        <w:autoSpaceDN w:val="0"/>
        <w:spacing w:line="360" w:lineRule="auto"/>
        <w:ind w:left="0" w:firstLine="709"/>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Съвместно становище на №</w:t>
      </w:r>
      <w:r w:rsidR="00E42714" w:rsidRPr="007404FA">
        <w:rPr>
          <w:rFonts w:ascii="Times New Roman" w:eastAsia="Times New Roman" w:hAnsi="Times New Roman" w:cs="Times New Roman"/>
          <w:bCs/>
          <w:sz w:val="24"/>
          <w:szCs w:val="24"/>
        </w:rPr>
        <w:t xml:space="preserve">3/2022 ЕКЗД и </w:t>
      </w:r>
      <w:r w:rsidR="003409C0" w:rsidRPr="007404FA">
        <w:rPr>
          <w:rFonts w:ascii="Times New Roman" w:eastAsia="Times New Roman" w:hAnsi="Times New Roman" w:cs="Times New Roman"/>
          <w:bCs/>
          <w:sz w:val="24"/>
          <w:szCs w:val="24"/>
        </w:rPr>
        <w:t>Европейския надзорен орган по защита на данните (</w:t>
      </w:r>
      <w:r w:rsidR="00E42714" w:rsidRPr="007404FA">
        <w:rPr>
          <w:rFonts w:ascii="Times New Roman" w:eastAsia="Times New Roman" w:hAnsi="Times New Roman" w:cs="Times New Roman"/>
          <w:bCs/>
          <w:sz w:val="24"/>
          <w:szCs w:val="24"/>
        </w:rPr>
        <w:t>ЕНОЗД</w:t>
      </w:r>
      <w:r w:rsidR="003409C0" w:rsidRPr="007404FA">
        <w:rPr>
          <w:rFonts w:ascii="Times New Roman" w:eastAsia="Times New Roman" w:hAnsi="Times New Roman" w:cs="Times New Roman"/>
          <w:bCs/>
          <w:sz w:val="24"/>
          <w:szCs w:val="24"/>
        </w:rPr>
        <w:t>)</w:t>
      </w:r>
      <w:r w:rsidR="00E42714" w:rsidRPr="007404FA">
        <w:rPr>
          <w:rFonts w:ascii="Times New Roman" w:eastAsia="Times New Roman" w:hAnsi="Times New Roman" w:cs="Times New Roman"/>
          <w:bCs/>
          <w:sz w:val="24"/>
          <w:szCs w:val="24"/>
        </w:rPr>
        <w:t xml:space="preserve"> относно законодателното предложение за Регламент относно европейското пространство на здравните данни;</w:t>
      </w:r>
    </w:p>
    <w:p w:rsidR="00E42714" w:rsidRPr="007404FA" w:rsidRDefault="00EB7FCF" w:rsidP="00DB6B05">
      <w:pPr>
        <w:numPr>
          <w:ilvl w:val="0"/>
          <w:numId w:val="22"/>
        </w:numPr>
        <w:suppressAutoHyphens/>
        <w:autoSpaceDN w:val="0"/>
        <w:spacing w:line="360" w:lineRule="auto"/>
        <w:ind w:left="0" w:firstLine="709"/>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Съвместно становище №</w:t>
      </w:r>
      <w:r w:rsidR="00E42714" w:rsidRPr="007404FA">
        <w:rPr>
          <w:rFonts w:ascii="Times New Roman" w:eastAsia="Times New Roman" w:hAnsi="Times New Roman" w:cs="Times New Roman"/>
          <w:bCs/>
          <w:sz w:val="24"/>
          <w:szCs w:val="24"/>
        </w:rPr>
        <w:t>2/2022 на ЕКЗД и ЕНОЗД относно законодателното предложение за Регламент относно хармонизираните правила за справедлив достъп до данни и тяхното използване (Законодателен акт за данните);</w:t>
      </w:r>
    </w:p>
    <w:p w:rsidR="00E42714" w:rsidRPr="007404FA" w:rsidRDefault="00EB7FCF" w:rsidP="00DB6B05">
      <w:pPr>
        <w:numPr>
          <w:ilvl w:val="0"/>
          <w:numId w:val="22"/>
        </w:numPr>
        <w:suppressAutoHyphens/>
        <w:autoSpaceDN w:val="0"/>
        <w:spacing w:line="360" w:lineRule="auto"/>
        <w:ind w:left="0" w:firstLine="709"/>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Съвместното становище №</w:t>
      </w:r>
      <w:r w:rsidR="00E42714" w:rsidRPr="007404FA">
        <w:rPr>
          <w:rFonts w:ascii="Times New Roman" w:eastAsia="Times New Roman" w:hAnsi="Times New Roman" w:cs="Times New Roman"/>
          <w:bCs/>
          <w:sz w:val="24"/>
          <w:szCs w:val="24"/>
        </w:rPr>
        <w:t>1/2022 на ЕКЗД и ЕНОЗД относно законодателното предложение за удължаване срока на действие на Регламент (ЕС) 2021/953 относно рамка за издаването, проверката и приемането на оперативно съвместими сертификати за ваксинация срещу, направено изследване за и преболедуване на COVID-19 (Цифров COVID сертификат на ЕС) с цел улесняване на свободното движение по време на пандемията от COVID-19;</w:t>
      </w:r>
    </w:p>
    <w:p w:rsidR="00E42714" w:rsidRPr="007404FA" w:rsidRDefault="00DB6B05" w:rsidP="00DB6B05">
      <w:pPr>
        <w:numPr>
          <w:ilvl w:val="0"/>
          <w:numId w:val="22"/>
        </w:numPr>
        <w:suppressAutoHyphens/>
        <w:autoSpaceDN w:val="0"/>
        <w:spacing w:line="360" w:lineRule="auto"/>
        <w:ind w:left="0" w:firstLine="709"/>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w:t>
      </w:r>
      <w:r w:rsidR="00E42714" w:rsidRPr="007404FA">
        <w:rPr>
          <w:rFonts w:ascii="Times New Roman" w:eastAsia="Times New Roman" w:hAnsi="Times New Roman" w:cs="Times New Roman"/>
          <w:bCs/>
          <w:sz w:val="24"/>
          <w:szCs w:val="24"/>
        </w:rPr>
        <w:t>5/2022 на ЕКЗД със задължителен характер по член 65 от ОРЗД относно WhatsApp Ireland Limited;</w:t>
      </w:r>
    </w:p>
    <w:p w:rsidR="00E42714" w:rsidRPr="007404FA" w:rsidRDefault="00E42714" w:rsidP="00DB6B05">
      <w:pPr>
        <w:numPr>
          <w:ilvl w:val="0"/>
          <w:numId w:val="22"/>
        </w:numPr>
        <w:suppressAutoHyphens/>
        <w:autoSpaceDN w:val="0"/>
        <w:spacing w:line="360" w:lineRule="auto"/>
        <w:ind w:left="0" w:firstLine="709"/>
        <w:jc w:val="both"/>
        <w:textAlignment w:val="baseline"/>
        <w:rPr>
          <w:rFonts w:ascii="Times New Roman" w:eastAsia="Times New Roman" w:hAnsi="Times New Roman" w:cs="Times New Roman"/>
          <w:bCs/>
          <w:sz w:val="24"/>
          <w:szCs w:val="24"/>
        </w:rPr>
      </w:pPr>
      <w:r w:rsidRPr="007404FA">
        <w:rPr>
          <w:rFonts w:ascii="Times New Roman" w:eastAsia="Times New Roman" w:hAnsi="Times New Roman" w:cs="Times New Roman"/>
          <w:bCs/>
          <w:sz w:val="24"/>
          <w:szCs w:val="24"/>
        </w:rPr>
        <w:t>Писмо на ЕКЗД до ЕК относно необходимостта от осигуряване гаранции за независимостта на белгийския надзорен орган;</w:t>
      </w:r>
    </w:p>
    <w:p w:rsidR="00E42714" w:rsidRPr="007404FA" w:rsidRDefault="00E42714" w:rsidP="00DB6B05">
      <w:pPr>
        <w:numPr>
          <w:ilvl w:val="0"/>
          <w:numId w:val="22"/>
        </w:numPr>
        <w:suppressAutoHyphens/>
        <w:autoSpaceDN w:val="0"/>
        <w:spacing w:line="360" w:lineRule="auto"/>
        <w:ind w:left="0" w:firstLine="709"/>
        <w:jc w:val="both"/>
        <w:textAlignment w:val="baseline"/>
        <w:rPr>
          <w:rFonts w:ascii="Times New Roman" w:eastAsia="Times New Roman" w:hAnsi="Times New Roman" w:cs="Times New Roman"/>
          <w:bCs/>
          <w:sz w:val="24"/>
          <w:szCs w:val="24"/>
        </w:rPr>
      </w:pPr>
      <w:r w:rsidRPr="007404FA">
        <w:rPr>
          <w:rFonts w:ascii="Times New Roman" w:eastAsia="Times New Roman" w:hAnsi="Times New Roman" w:cs="Times New Roman"/>
          <w:bCs/>
          <w:sz w:val="24"/>
          <w:szCs w:val="24"/>
        </w:rPr>
        <w:t>Становище на ЕКЗД по проекта на решение на Полския орган за защита на данните относно критериите за акредитация на органи за сертификация съгласно чл.</w:t>
      </w:r>
      <w:r w:rsidR="00DB6B05">
        <w:rPr>
          <w:rFonts w:ascii="Times New Roman" w:eastAsia="Times New Roman" w:hAnsi="Times New Roman" w:cs="Times New Roman"/>
          <w:bCs/>
          <w:sz w:val="24"/>
          <w:szCs w:val="24"/>
        </w:rPr>
        <w:t xml:space="preserve"> </w:t>
      </w:r>
      <w:r w:rsidRPr="007404FA">
        <w:rPr>
          <w:rFonts w:ascii="Times New Roman" w:eastAsia="Times New Roman" w:hAnsi="Times New Roman" w:cs="Times New Roman"/>
          <w:bCs/>
          <w:sz w:val="24"/>
          <w:szCs w:val="24"/>
        </w:rPr>
        <w:t>43 (3) от ОРЗД.</w:t>
      </w:r>
    </w:p>
    <w:p w:rsidR="00E42714" w:rsidRPr="007404FA" w:rsidRDefault="00E42714" w:rsidP="00DB6B05">
      <w:pPr>
        <w:spacing w:line="360" w:lineRule="auto"/>
        <w:ind w:firstLine="709"/>
        <w:jc w:val="both"/>
        <w:rPr>
          <w:rFonts w:ascii="Times New Roman" w:hAnsi="Times New Roman" w:cs="Times New Roman"/>
          <w:bCs/>
          <w:sz w:val="24"/>
          <w:szCs w:val="24"/>
        </w:rPr>
      </w:pPr>
    </w:p>
    <w:p w:rsidR="00E42714" w:rsidRPr="007404FA" w:rsidRDefault="00E42714" w:rsidP="00DB6B05">
      <w:pPr>
        <w:tabs>
          <w:tab w:val="left" w:pos="993"/>
        </w:tabs>
        <w:spacing w:line="360" w:lineRule="auto"/>
        <w:ind w:firstLine="709"/>
        <w:jc w:val="both"/>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2. Обмен на информация през Информационната система за вътрешния пазар</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b/>
          <w:sz w:val="24"/>
          <w:szCs w:val="24"/>
        </w:rPr>
        <w:t>статистика и анализ.</w:t>
      </w:r>
    </w:p>
    <w:p w:rsidR="0063284A" w:rsidRPr="007404FA" w:rsidRDefault="0063284A" w:rsidP="00DB6B05">
      <w:pPr>
        <w:spacing w:line="360" w:lineRule="auto"/>
        <w:ind w:firstLine="709"/>
        <w:jc w:val="both"/>
        <w:rPr>
          <w:rFonts w:ascii="Times New Roman" w:eastAsia="Calibri" w:hAnsi="Times New Roman"/>
          <w:sz w:val="24"/>
          <w:szCs w:val="24"/>
        </w:rPr>
      </w:pPr>
      <w:r w:rsidRPr="007404FA">
        <w:rPr>
          <w:rFonts w:ascii="Times New Roman" w:eastAsia="Calibri" w:hAnsi="Times New Roman"/>
          <w:sz w:val="24"/>
          <w:szCs w:val="24"/>
        </w:rPr>
        <w:t>Регламент (ЕС) 2016/679 определя правилата за защита на правата на физическите лица във връзка с личните им данни във всички държави</w:t>
      </w:r>
      <w:r w:rsidR="00DB6B05">
        <w:rPr>
          <w:rFonts w:ascii="Times New Roman" w:eastAsia="Calibri" w:hAnsi="Times New Roman"/>
          <w:sz w:val="24"/>
          <w:szCs w:val="24"/>
        </w:rPr>
        <w:t xml:space="preserve"> –</w:t>
      </w:r>
      <w:r w:rsidRPr="007404FA">
        <w:rPr>
          <w:rFonts w:ascii="Times New Roman" w:eastAsia="Calibri" w:hAnsi="Times New Roman"/>
          <w:sz w:val="24"/>
          <w:szCs w:val="24"/>
        </w:rPr>
        <w:t xml:space="preserve"> членки на ЕС. С оглед улесняването на комуникацията и сътрудничеството между надзорните органи на държавите </w:t>
      </w:r>
      <w:r w:rsidR="00DB6B05">
        <w:rPr>
          <w:rFonts w:ascii="Times New Roman" w:eastAsia="Calibri" w:hAnsi="Times New Roman"/>
          <w:sz w:val="24"/>
          <w:szCs w:val="24"/>
        </w:rPr>
        <w:t xml:space="preserve">– </w:t>
      </w:r>
      <w:r w:rsidRPr="007404FA">
        <w:rPr>
          <w:rFonts w:ascii="Times New Roman" w:eastAsia="Calibri" w:hAnsi="Times New Roman"/>
          <w:sz w:val="24"/>
          <w:szCs w:val="24"/>
        </w:rPr>
        <w:t>членки в ЕС</w:t>
      </w:r>
      <w:r w:rsidR="00DB6B05">
        <w:rPr>
          <w:rFonts w:ascii="Times New Roman" w:eastAsia="Calibri" w:hAnsi="Times New Roman"/>
          <w:sz w:val="24"/>
          <w:szCs w:val="24"/>
        </w:rPr>
        <w:t>,</w:t>
      </w:r>
      <w:r w:rsidRPr="007404FA">
        <w:rPr>
          <w:rFonts w:ascii="Times New Roman" w:eastAsia="Calibri" w:hAnsi="Times New Roman"/>
          <w:sz w:val="24"/>
          <w:szCs w:val="24"/>
        </w:rPr>
        <w:t xml:space="preserve"> при наличието на </w:t>
      </w:r>
      <w:r w:rsidR="00DB6B05">
        <w:rPr>
          <w:rFonts w:ascii="Times New Roman" w:eastAsia="Calibri" w:hAnsi="Times New Roman"/>
          <w:sz w:val="24"/>
          <w:szCs w:val="24"/>
        </w:rPr>
        <w:t>случаи с трансграничен характер</w:t>
      </w:r>
      <w:r w:rsidRPr="007404FA">
        <w:rPr>
          <w:rFonts w:ascii="Times New Roman" w:eastAsia="Calibri" w:hAnsi="Times New Roman"/>
          <w:sz w:val="24"/>
          <w:szCs w:val="24"/>
        </w:rPr>
        <w:t xml:space="preserve"> се използва т.нар. Информационна система на вътрешния пазар (ИСВП). Тя се явява сигурен, многоезичен онлайн инструмент за осъществяване на обмен на информация между публичните администрации в държавите от Европейското икономическо пространство (ЕИП) и европейските институции и органи, занимаващи се с практическото прилагане на законодателството на Европейския съюз. </w:t>
      </w:r>
    </w:p>
    <w:p w:rsidR="0063284A" w:rsidRPr="007404FA" w:rsidRDefault="0063284A" w:rsidP="00DB6B05">
      <w:pPr>
        <w:spacing w:line="360" w:lineRule="auto"/>
        <w:ind w:firstLine="709"/>
        <w:jc w:val="both"/>
        <w:rPr>
          <w:rFonts w:ascii="Times New Roman" w:eastAsia="Calibri" w:hAnsi="Times New Roman"/>
          <w:sz w:val="24"/>
          <w:szCs w:val="24"/>
        </w:rPr>
      </w:pPr>
      <w:r w:rsidRPr="007404FA">
        <w:rPr>
          <w:rFonts w:ascii="Times New Roman" w:eastAsia="Calibri" w:hAnsi="Times New Roman"/>
          <w:sz w:val="24"/>
          <w:szCs w:val="24"/>
        </w:rPr>
        <w:t>В ИСВП се осъществява управление на случаи в съответствие с процедурите от</w:t>
      </w:r>
      <w:r w:rsidR="00F06583" w:rsidRPr="007404FA">
        <w:rPr>
          <w:rFonts w:ascii="Times New Roman" w:eastAsia="Calibri" w:hAnsi="Times New Roman"/>
          <w:sz w:val="24"/>
          <w:szCs w:val="24"/>
        </w:rPr>
        <w:t xml:space="preserve"> чл. </w:t>
      </w:r>
      <w:r w:rsidRPr="007404FA">
        <w:rPr>
          <w:rFonts w:ascii="Times New Roman" w:eastAsia="Calibri" w:hAnsi="Times New Roman"/>
          <w:sz w:val="24"/>
          <w:szCs w:val="24"/>
        </w:rPr>
        <w:t>56 до</w:t>
      </w:r>
      <w:r w:rsidR="00F06583" w:rsidRPr="007404FA">
        <w:rPr>
          <w:rFonts w:ascii="Times New Roman" w:eastAsia="Calibri" w:hAnsi="Times New Roman"/>
          <w:sz w:val="24"/>
          <w:szCs w:val="24"/>
        </w:rPr>
        <w:t xml:space="preserve"> чл. </w:t>
      </w:r>
      <w:r w:rsidRPr="007404FA">
        <w:rPr>
          <w:rFonts w:ascii="Times New Roman" w:eastAsia="Calibri" w:hAnsi="Times New Roman"/>
          <w:sz w:val="24"/>
          <w:szCs w:val="24"/>
        </w:rPr>
        <w:t>70 от Регламента, които обхващат: определяне на водещия надзорен орган (ВНО) и засегнати надзорни органи (ЗНО) като част от сътрудничеството на принципа „на едно гише“,</w:t>
      </w:r>
      <w:r w:rsidR="00157B49">
        <w:rPr>
          <w:rFonts w:ascii="Times New Roman" w:eastAsia="Calibri" w:hAnsi="Times New Roman"/>
          <w:sz w:val="24"/>
          <w:szCs w:val="24"/>
        </w:rPr>
        <w:t xml:space="preserve"> </w:t>
      </w:r>
      <w:r w:rsidRPr="007404FA">
        <w:rPr>
          <w:rFonts w:ascii="Times New Roman" w:eastAsia="Calibri" w:hAnsi="Times New Roman"/>
          <w:sz w:val="24"/>
          <w:szCs w:val="24"/>
        </w:rPr>
        <w:t>искане за местен случай, искане за взаимопомощ или за доброволна взаимопомощ, съвместни операции на надзорни органи, за становище на ЕКЗД или разрешаване на спорове от ЕКЗД, процедура по спешност (издаване на становище или решение на ЕКЗД) или писмени процедури.</w:t>
      </w:r>
    </w:p>
    <w:p w:rsidR="0063284A" w:rsidRPr="007404FA" w:rsidRDefault="0063284A" w:rsidP="00DB6B05">
      <w:pPr>
        <w:spacing w:line="360" w:lineRule="auto"/>
        <w:ind w:firstLine="709"/>
        <w:jc w:val="both"/>
        <w:rPr>
          <w:rFonts w:ascii="Times New Roman" w:eastAsia="Calibri" w:hAnsi="Times New Roman"/>
          <w:sz w:val="24"/>
          <w:szCs w:val="24"/>
        </w:rPr>
      </w:pPr>
      <w:r w:rsidRPr="007404FA">
        <w:rPr>
          <w:rFonts w:ascii="Times New Roman" w:eastAsia="Calibri" w:hAnsi="Times New Roman"/>
          <w:sz w:val="24"/>
          <w:szCs w:val="24"/>
        </w:rPr>
        <w:t>Към 31.12.2022</w:t>
      </w:r>
      <w:r w:rsidR="00F06583" w:rsidRPr="007404FA">
        <w:rPr>
          <w:rFonts w:ascii="Times New Roman" w:eastAsia="Calibri" w:hAnsi="Times New Roman"/>
          <w:sz w:val="24"/>
          <w:szCs w:val="24"/>
        </w:rPr>
        <w:t> г.</w:t>
      </w:r>
      <w:r w:rsidRPr="007404FA">
        <w:rPr>
          <w:rFonts w:ascii="Times New Roman" w:eastAsia="Calibri" w:hAnsi="Times New Roman"/>
          <w:sz w:val="24"/>
          <w:szCs w:val="24"/>
        </w:rPr>
        <w:t xml:space="preserve"> в регистъра на случаите, поддържани в ИСВП за всички държави от ЕИП, има 2180</w:t>
      </w:r>
      <w:r w:rsidR="00157B49">
        <w:rPr>
          <w:rFonts w:ascii="Times New Roman" w:eastAsia="Calibri" w:hAnsi="Times New Roman"/>
          <w:sz w:val="24"/>
          <w:szCs w:val="24"/>
        </w:rPr>
        <w:t xml:space="preserve"> </w:t>
      </w:r>
      <w:r w:rsidRPr="007404FA">
        <w:rPr>
          <w:rFonts w:ascii="Times New Roman" w:eastAsia="Calibri" w:hAnsi="Times New Roman"/>
          <w:sz w:val="24"/>
          <w:szCs w:val="24"/>
        </w:rPr>
        <w:t>активни случая на трансгранично сътрудничество, като:</w:t>
      </w:r>
    </w:p>
    <w:p w:rsidR="0063284A" w:rsidRPr="007404FA" w:rsidRDefault="0063284A" w:rsidP="00DB6B05">
      <w:pPr>
        <w:numPr>
          <w:ilvl w:val="0"/>
          <w:numId w:val="23"/>
        </w:numPr>
        <w:spacing w:line="360" w:lineRule="auto"/>
        <w:ind w:left="0" w:firstLine="709"/>
        <w:jc w:val="both"/>
        <w:rPr>
          <w:rFonts w:ascii="Times New Roman" w:eastAsia="Calibri" w:hAnsi="Times New Roman"/>
          <w:sz w:val="24"/>
          <w:szCs w:val="24"/>
        </w:rPr>
      </w:pPr>
      <w:r w:rsidRPr="007404FA">
        <w:rPr>
          <w:rFonts w:ascii="Times New Roman" w:eastAsia="Calibri" w:hAnsi="Times New Roman"/>
          <w:sz w:val="24"/>
          <w:szCs w:val="24"/>
        </w:rPr>
        <w:t>1608</w:t>
      </w:r>
      <w:r w:rsidR="00D1189D" w:rsidRPr="007404FA">
        <w:rPr>
          <w:rFonts w:ascii="Times New Roman" w:eastAsia="Calibri" w:hAnsi="Times New Roman"/>
          <w:sz w:val="24"/>
          <w:szCs w:val="24"/>
        </w:rPr>
        <w:t> бр.</w:t>
      </w:r>
      <w:r w:rsidRPr="007404FA">
        <w:rPr>
          <w:rFonts w:ascii="Times New Roman" w:eastAsia="Calibri" w:hAnsi="Times New Roman"/>
          <w:sz w:val="24"/>
          <w:szCs w:val="24"/>
        </w:rPr>
        <w:t xml:space="preserve"> са инициирани в резултат на получени жалби; </w:t>
      </w:r>
    </w:p>
    <w:p w:rsidR="0063284A" w:rsidRPr="007404FA" w:rsidRDefault="0063284A" w:rsidP="00DB6B05">
      <w:pPr>
        <w:numPr>
          <w:ilvl w:val="0"/>
          <w:numId w:val="23"/>
        </w:numPr>
        <w:spacing w:line="360" w:lineRule="auto"/>
        <w:ind w:left="0" w:firstLine="709"/>
        <w:jc w:val="both"/>
        <w:rPr>
          <w:rFonts w:ascii="Times New Roman" w:eastAsia="Calibri" w:hAnsi="Times New Roman"/>
          <w:sz w:val="24"/>
          <w:szCs w:val="24"/>
        </w:rPr>
      </w:pPr>
      <w:r w:rsidRPr="007404FA">
        <w:rPr>
          <w:rFonts w:ascii="Times New Roman" w:eastAsia="Calibri" w:hAnsi="Times New Roman"/>
          <w:sz w:val="24"/>
          <w:szCs w:val="24"/>
        </w:rPr>
        <w:lastRenderedPageBreak/>
        <w:t>572</w:t>
      </w:r>
      <w:r w:rsidR="00D1189D" w:rsidRPr="007404FA">
        <w:rPr>
          <w:rFonts w:ascii="Times New Roman" w:eastAsia="Calibri" w:hAnsi="Times New Roman"/>
          <w:sz w:val="24"/>
          <w:szCs w:val="24"/>
        </w:rPr>
        <w:t> бр.</w:t>
      </w:r>
      <w:r w:rsidRPr="007404FA">
        <w:rPr>
          <w:rFonts w:ascii="Times New Roman" w:eastAsia="Calibri" w:hAnsi="Times New Roman"/>
          <w:sz w:val="24"/>
          <w:szCs w:val="24"/>
        </w:rPr>
        <w:t>, произтичащи от други източници като инициатива</w:t>
      </w:r>
      <w:r w:rsidR="00E06D6E">
        <w:rPr>
          <w:rFonts w:ascii="Times New Roman" w:eastAsia="Calibri" w:hAnsi="Times New Roman"/>
          <w:sz w:val="24"/>
          <w:szCs w:val="24"/>
        </w:rPr>
        <w:t xml:space="preserve"> – </w:t>
      </w:r>
      <w:r w:rsidRPr="007404FA">
        <w:rPr>
          <w:rFonts w:ascii="Times New Roman" w:eastAsia="Calibri" w:hAnsi="Times New Roman"/>
          <w:sz w:val="24"/>
          <w:szCs w:val="24"/>
        </w:rPr>
        <w:t>напр. разследвания и инициативи на национален надзорен орган, правно задължение, информация</w:t>
      </w:r>
      <w:r w:rsidR="00DB6B05">
        <w:rPr>
          <w:rFonts w:ascii="Times New Roman" w:eastAsia="Calibri" w:hAnsi="Times New Roman"/>
          <w:sz w:val="24"/>
          <w:szCs w:val="24"/>
        </w:rPr>
        <w:t>,</w:t>
      </w:r>
      <w:r w:rsidRPr="007404FA">
        <w:rPr>
          <w:rFonts w:ascii="Times New Roman" w:eastAsia="Calibri" w:hAnsi="Times New Roman"/>
          <w:sz w:val="24"/>
          <w:szCs w:val="24"/>
        </w:rPr>
        <w:t xml:space="preserve"> разпространена от средствата за масово осведомяване</w:t>
      </w:r>
      <w:r w:rsidR="00DB6B05">
        <w:rPr>
          <w:rFonts w:ascii="Times New Roman" w:eastAsia="Calibri" w:hAnsi="Times New Roman"/>
          <w:sz w:val="24"/>
          <w:szCs w:val="24"/>
        </w:rPr>
        <w:t>,</w:t>
      </w:r>
      <w:r w:rsidRPr="007404FA">
        <w:rPr>
          <w:rFonts w:ascii="Times New Roman" w:eastAsia="Calibri" w:hAnsi="Times New Roman"/>
          <w:sz w:val="24"/>
          <w:szCs w:val="24"/>
        </w:rPr>
        <w:t xml:space="preserve"> и др. </w:t>
      </w:r>
    </w:p>
    <w:p w:rsidR="0063284A" w:rsidRPr="007404FA" w:rsidRDefault="0063284A" w:rsidP="00DB6B05">
      <w:pPr>
        <w:pStyle w:val="ListParagraph"/>
        <w:numPr>
          <w:ilvl w:val="0"/>
          <w:numId w:val="23"/>
        </w:numPr>
        <w:spacing w:after="0" w:line="360" w:lineRule="auto"/>
        <w:ind w:left="0" w:firstLine="709"/>
        <w:jc w:val="both"/>
        <w:rPr>
          <w:rFonts w:ascii="Times New Roman" w:eastAsia="Calibri" w:hAnsi="Times New Roman"/>
          <w:sz w:val="24"/>
          <w:szCs w:val="24"/>
          <w:lang w:val="bg-BG"/>
        </w:rPr>
      </w:pPr>
      <w:r w:rsidRPr="007404FA">
        <w:rPr>
          <w:rFonts w:ascii="Times New Roman" w:eastAsia="Calibri" w:hAnsi="Times New Roman"/>
          <w:sz w:val="24"/>
          <w:szCs w:val="24"/>
          <w:lang w:val="bg-BG"/>
        </w:rPr>
        <w:t>В резултат на гореспоменатите случаи са започнати действия по:</w:t>
      </w:r>
    </w:p>
    <w:p w:rsidR="0063284A" w:rsidRPr="007404FA" w:rsidRDefault="0063284A" w:rsidP="00DB6B05">
      <w:pPr>
        <w:numPr>
          <w:ilvl w:val="0"/>
          <w:numId w:val="23"/>
        </w:numPr>
        <w:spacing w:line="360" w:lineRule="auto"/>
        <w:ind w:left="0" w:firstLine="709"/>
        <w:jc w:val="both"/>
        <w:rPr>
          <w:rFonts w:ascii="Times New Roman" w:eastAsia="Calibri" w:hAnsi="Times New Roman"/>
          <w:sz w:val="24"/>
          <w:szCs w:val="24"/>
        </w:rPr>
      </w:pPr>
      <w:r w:rsidRPr="007404FA">
        <w:rPr>
          <w:rFonts w:ascii="Times New Roman" w:eastAsia="Calibri" w:hAnsi="Times New Roman"/>
          <w:sz w:val="24"/>
          <w:szCs w:val="24"/>
        </w:rPr>
        <w:t>850</w:t>
      </w:r>
      <w:r w:rsidR="00157B49">
        <w:rPr>
          <w:rFonts w:ascii="Times New Roman" w:eastAsia="Calibri" w:hAnsi="Times New Roman"/>
          <w:sz w:val="24"/>
          <w:szCs w:val="24"/>
        </w:rPr>
        <w:t xml:space="preserve"> </w:t>
      </w:r>
      <w:r w:rsidRPr="007404FA">
        <w:rPr>
          <w:rFonts w:ascii="Times New Roman" w:eastAsia="Calibri" w:hAnsi="Times New Roman"/>
          <w:sz w:val="24"/>
          <w:szCs w:val="24"/>
        </w:rPr>
        <w:t>процедури по сътрудничество (чл. 61) за отчетния период, докато общият им брой от началото на функциониране на системата през 2018</w:t>
      </w:r>
      <w:r w:rsidR="00DB6B05">
        <w:rPr>
          <w:rFonts w:ascii="Times New Roman" w:eastAsia="Calibri" w:hAnsi="Times New Roman"/>
          <w:sz w:val="24"/>
          <w:szCs w:val="24"/>
        </w:rPr>
        <w:t xml:space="preserve"> </w:t>
      </w:r>
      <w:r w:rsidRPr="007404FA">
        <w:rPr>
          <w:rFonts w:ascii="Times New Roman" w:eastAsia="Calibri" w:hAnsi="Times New Roman"/>
          <w:sz w:val="24"/>
          <w:szCs w:val="24"/>
        </w:rPr>
        <w:t>г. е 10</w:t>
      </w:r>
      <w:r w:rsidR="00DB6B05">
        <w:rPr>
          <w:rFonts w:ascii="Times New Roman" w:eastAsia="Calibri" w:hAnsi="Times New Roman"/>
          <w:sz w:val="24"/>
          <w:szCs w:val="24"/>
        </w:rPr>
        <w:t xml:space="preserve"> </w:t>
      </w:r>
      <w:r w:rsidRPr="007404FA">
        <w:rPr>
          <w:rFonts w:ascii="Times New Roman" w:eastAsia="Calibri" w:hAnsi="Times New Roman"/>
          <w:sz w:val="24"/>
          <w:szCs w:val="24"/>
        </w:rPr>
        <w:t>138;</w:t>
      </w:r>
    </w:p>
    <w:p w:rsidR="0063284A" w:rsidRPr="007404FA" w:rsidRDefault="0063284A" w:rsidP="00DB6B05">
      <w:pPr>
        <w:numPr>
          <w:ilvl w:val="0"/>
          <w:numId w:val="23"/>
        </w:numPr>
        <w:spacing w:line="360" w:lineRule="auto"/>
        <w:ind w:left="0" w:firstLine="709"/>
        <w:jc w:val="both"/>
        <w:rPr>
          <w:rFonts w:ascii="Times New Roman" w:eastAsia="Calibri" w:hAnsi="Times New Roman"/>
          <w:sz w:val="24"/>
          <w:szCs w:val="24"/>
        </w:rPr>
      </w:pPr>
      <w:r w:rsidRPr="007404FA">
        <w:rPr>
          <w:rFonts w:ascii="Times New Roman" w:eastAsia="Calibri" w:hAnsi="Times New Roman"/>
          <w:sz w:val="24"/>
          <w:szCs w:val="24"/>
        </w:rPr>
        <w:t>1575</w:t>
      </w:r>
      <w:r w:rsidR="00157B49">
        <w:rPr>
          <w:rFonts w:ascii="Times New Roman" w:eastAsia="Calibri" w:hAnsi="Times New Roman"/>
          <w:sz w:val="24"/>
          <w:szCs w:val="24"/>
        </w:rPr>
        <w:t xml:space="preserve"> </w:t>
      </w:r>
      <w:r w:rsidRPr="007404FA">
        <w:rPr>
          <w:rFonts w:ascii="Times New Roman" w:eastAsia="Calibri" w:hAnsi="Times New Roman"/>
          <w:sz w:val="24"/>
          <w:szCs w:val="24"/>
        </w:rPr>
        <w:t>процедури, базирани на обслужване „на едно гише“ (чл. 60), от които по 639</w:t>
      </w:r>
      <w:r w:rsidR="00157B49">
        <w:rPr>
          <w:rFonts w:ascii="Times New Roman" w:eastAsia="Calibri" w:hAnsi="Times New Roman"/>
          <w:sz w:val="24"/>
          <w:szCs w:val="24"/>
        </w:rPr>
        <w:t xml:space="preserve"> </w:t>
      </w:r>
      <w:r w:rsidRPr="007404FA">
        <w:rPr>
          <w:rFonts w:ascii="Times New Roman" w:eastAsia="Calibri" w:hAnsi="Times New Roman"/>
          <w:sz w:val="24"/>
          <w:szCs w:val="24"/>
        </w:rPr>
        <w:t>случая има изготвено окончателно решение;</w:t>
      </w:r>
    </w:p>
    <w:p w:rsidR="0063284A" w:rsidRPr="007404FA" w:rsidRDefault="0063284A" w:rsidP="00DB6B05">
      <w:pPr>
        <w:numPr>
          <w:ilvl w:val="0"/>
          <w:numId w:val="23"/>
        </w:numPr>
        <w:spacing w:line="360" w:lineRule="auto"/>
        <w:ind w:left="0" w:firstLine="709"/>
        <w:jc w:val="both"/>
        <w:rPr>
          <w:rFonts w:ascii="Times New Roman" w:eastAsia="Calibri" w:hAnsi="Times New Roman"/>
          <w:sz w:val="24"/>
          <w:szCs w:val="24"/>
        </w:rPr>
      </w:pPr>
      <w:r w:rsidRPr="007404FA">
        <w:rPr>
          <w:rFonts w:ascii="Times New Roman" w:eastAsia="Calibri" w:hAnsi="Times New Roman"/>
          <w:sz w:val="24"/>
          <w:szCs w:val="24"/>
        </w:rPr>
        <w:t>103</w:t>
      </w:r>
      <w:r w:rsidR="00157B49">
        <w:rPr>
          <w:rFonts w:ascii="Times New Roman" w:eastAsia="Calibri" w:hAnsi="Times New Roman"/>
          <w:sz w:val="24"/>
          <w:szCs w:val="24"/>
        </w:rPr>
        <w:t xml:space="preserve"> </w:t>
      </w:r>
      <w:r w:rsidRPr="007404FA">
        <w:rPr>
          <w:rFonts w:ascii="Times New Roman" w:eastAsia="Calibri" w:hAnsi="Times New Roman"/>
          <w:sz w:val="24"/>
          <w:szCs w:val="24"/>
        </w:rPr>
        <w:t>искания за разглеждане на случая като национален (местен) по</w:t>
      </w:r>
      <w:r w:rsidR="00F06583" w:rsidRPr="007404FA">
        <w:rPr>
          <w:rFonts w:ascii="Times New Roman" w:eastAsia="Calibri" w:hAnsi="Times New Roman"/>
          <w:sz w:val="24"/>
          <w:szCs w:val="24"/>
        </w:rPr>
        <w:t xml:space="preserve"> чл. </w:t>
      </w:r>
      <w:r w:rsidRPr="007404FA">
        <w:rPr>
          <w:rFonts w:ascii="Times New Roman" w:eastAsia="Calibri" w:hAnsi="Times New Roman"/>
          <w:sz w:val="24"/>
          <w:szCs w:val="24"/>
        </w:rPr>
        <w:t xml:space="preserve">56, </w:t>
      </w:r>
      <w:r w:rsidR="00DB6B05">
        <w:rPr>
          <w:rFonts w:ascii="Times New Roman" w:eastAsia="Calibri" w:hAnsi="Times New Roman"/>
          <w:sz w:val="24"/>
          <w:szCs w:val="24"/>
        </w:rPr>
        <w:t>§</w:t>
      </w:r>
      <w:r w:rsidRPr="007404FA">
        <w:rPr>
          <w:rFonts w:ascii="Times New Roman" w:eastAsia="Calibri" w:hAnsi="Times New Roman"/>
          <w:sz w:val="24"/>
          <w:szCs w:val="24"/>
        </w:rPr>
        <w:t>2;</w:t>
      </w:r>
    </w:p>
    <w:p w:rsidR="0063284A" w:rsidRPr="007404FA" w:rsidRDefault="0063284A" w:rsidP="00DB6B05">
      <w:pPr>
        <w:numPr>
          <w:ilvl w:val="0"/>
          <w:numId w:val="23"/>
        </w:numPr>
        <w:spacing w:line="360" w:lineRule="auto"/>
        <w:ind w:left="0" w:firstLine="709"/>
        <w:jc w:val="both"/>
        <w:rPr>
          <w:rFonts w:ascii="Times New Roman" w:eastAsia="Calibri" w:hAnsi="Times New Roman"/>
          <w:sz w:val="24"/>
          <w:szCs w:val="24"/>
        </w:rPr>
      </w:pPr>
      <w:r w:rsidRPr="007404FA">
        <w:rPr>
          <w:rFonts w:ascii="Times New Roman" w:eastAsia="Calibri" w:hAnsi="Times New Roman"/>
          <w:sz w:val="24"/>
          <w:szCs w:val="24"/>
        </w:rPr>
        <w:t>1 проце</w:t>
      </w:r>
      <w:r w:rsidR="00DB6B05">
        <w:rPr>
          <w:rFonts w:ascii="Times New Roman" w:eastAsia="Calibri" w:hAnsi="Times New Roman"/>
          <w:sz w:val="24"/>
          <w:szCs w:val="24"/>
        </w:rPr>
        <w:t>дура относно съвместна операция.</w:t>
      </w:r>
    </w:p>
    <w:p w:rsidR="0063284A" w:rsidRPr="007404FA" w:rsidRDefault="0063284A" w:rsidP="00DB6B05">
      <w:pPr>
        <w:spacing w:line="360" w:lineRule="auto"/>
        <w:ind w:firstLine="709"/>
        <w:jc w:val="both"/>
        <w:rPr>
          <w:rFonts w:ascii="Times New Roman" w:eastAsia="Calibri" w:hAnsi="Times New Roman"/>
          <w:sz w:val="24"/>
          <w:szCs w:val="24"/>
        </w:rPr>
      </w:pPr>
      <w:r w:rsidRPr="007404FA">
        <w:rPr>
          <w:rFonts w:ascii="Times New Roman" w:eastAsia="Calibri" w:hAnsi="Times New Roman"/>
          <w:sz w:val="24"/>
          <w:szCs w:val="24"/>
        </w:rPr>
        <w:t>Процедури, открити по механизма за съгласуваност:</w:t>
      </w:r>
    </w:p>
    <w:p w:rsidR="0063284A" w:rsidRPr="007404FA" w:rsidRDefault="0063284A" w:rsidP="00DB6B05">
      <w:pPr>
        <w:numPr>
          <w:ilvl w:val="0"/>
          <w:numId w:val="24"/>
        </w:numPr>
        <w:spacing w:line="360" w:lineRule="auto"/>
        <w:ind w:left="0" w:firstLine="709"/>
        <w:jc w:val="both"/>
        <w:rPr>
          <w:rFonts w:ascii="Times New Roman" w:eastAsia="Calibri" w:hAnsi="Times New Roman"/>
          <w:sz w:val="24"/>
          <w:szCs w:val="24"/>
        </w:rPr>
      </w:pPr>
      <w:r w:rsidRPr="007404FA">
        <w:rPr>
          <w:rFonts w:ascii="Times New Roman" w:eastAsia="Calibri" w:hAnsi="Times New Roman"/>
          <w:sz w:val="24"/>
          <w:szCs w:val="24"/>
        </w:rPr>
        <w:t>153</w:t>
      </w:r>
      <w:r w:rsidR="00157B49">
        <w:rPr>
          <w:rFonts w:ascii="Times New Roman" w:eastAsia="Calibri" w:hAnsi="Times New Roman"/>
          <w:sz w:val="24"/>
          <w:szCs w:val="24"/>
        </w:rPr>
        <w:t xml:space="preserve"> </w:t>
      </w:r>
      <w:r w:rsidRPr="007404FA">
        <w:rPr>
          <w:rFonts w:ascii="Times New Roman" w:eastAsia="Calibri" w:hAnsi="Times New Roman"/>
          <w:sz w:val="24"/>
          <w:szCs w:val="24"/>
        </w:rPr>
        <w:t>процедури, свързани с изразяването на становище от страна на ЕКЗД;</w:t>
      </w:r>
    </w:p>
    <w:p w:rsidR="0063284A" w:rsidRPr="007404FA" w:rsidRDefault="0063284A" w:rsidP="00DB6B05">
      <w:pPr>
        <w:numPr>
          <w:ilvl w:val="0"/>
          <w:numId w:val="24"/>
        </w:numPr>
        <w:spacing w:line="360" w:lineRule="auto"/>
        <w:ind w:left="0" w:firstLine="709"/>
        <w:jc w:val="both"/>
        <w:rPr>
          <w:rFonts w:ascii="Times New Roman" w:eastAsia="Calibri" w:hAnsi="Times New Roman"/>
          <w:sz w:val="24"/>
          <w:szCs w:val="24"/>
        </w:rPr>
      </w:pPr>
      <w:r w:rsidRPr="007404FA">
        <w:rPr>
          <w:rFonts w:ascii="Times New Roman" w:eastAsia="Calibri" w:hAnsi="Times New Roman"/>
          <w:sz w:val="24"/>
          <w:szCs w:val="24"/>
        </w:rPr>
        <w:t>7 процедури по разрешаване на спорове и седем</w:t>
      </w:r>
      <w:r w:rsidR="00157B49">
        <w:rPr>
          <w:rFonts w:ascii="Times New Roman" w:eastAsia="Calibri" w:hAnsi="Times New Roman"/>
          <w:sz w:val="24"/>
          <w:szCs w:val="24"/>
        </w:rPr>
        <w:t xml:space="preserve"> </w:t>
      </w:r>
      <w:r w:rsidRPr="007404FA">
        <w:rPr>
          <w:rFonts w:ascii="Times New Roman" w:eastAsia="Calibri" w:hAnsi="Times New Roman"/>
          <w:sz w:val="24"/>
          <w:szCs w:val="24"/>
        </w:rPr>
        <w:t>окончателни решения по тях;</w:t>
      </w:r>
    </w:p>
    <w:p w:rsidR="0063284A" w:rsidRPr="007404FA" w:rsidRDefault="0063284A" w:rsidP="00DB6B05">
      <w:pPr>
        <w:numPr>
          <w:ilvl w:val="0"/>
          <w:numId w:val="24"/>
        </w:numPr>
        <w:spacing w:line="360" w:lineRule="auto"/>
        <w:ind w:left="0" w:firstLine="709"/>
        <w:jc w:val="both"/>
        <w:rPr>
          <w:rFonts w:ascii="Times New Roman" w:eastAsia="Calibri" w:hAnsi="Times New Roman"/>
          <w:sz w:val="24"/>
          <w:szCs w:val="24"/>
        </w:rPr>
      </w:pPr>
      <w:r w:rsidRPr="007404FA">
        <w:rPr>
          <w:rFonts w:ascii="Times New Roman" w:eastAsia="Calibri" w:hAnsi="Times New Roman"/>
          <w:sz w:val="24"/>
          <w:szCs w:val="24"/>
        </w:rPr>
        <w:t>приети са 5 временни мерки по</w:t>
      </w:r>
      <w:r w:rsidR="00F06583" w:rsidRPr="007404FA">
        <w:rPr>
          <w:rFonts w:ascii="Times New Roman" w:eastAsia="Calibri" w:hAnsi="Times New Roman"/>
          <w:sz w:val="24"/>
          <w:szCs w:val="24"/>
        </w:rPr>
        <w:t xml:space="preserve"> чл. </w:t>
      </w:r>
      <w:r w:rsidRPr="007404FA">
        <w:rPr>
          <w:rFonts w:ascii="Times New Roman" w:eastAsia="Calibri" w:hAnsi="Times New Roman"/>
          <w:sz w:val="24"/>
          <w:szCs w:val="24"/>
        </w:rPr>
        <w:t>66;</w:t>
      </w:r>
    </w:p>
    <w:p w:rsidR="0063284A" w:rsidRPr="007404FA" w:rsidRDefault="0063284A" w:rsidP="00DB6B05">
      <w:pPr>
        <w:numPr>
          <w:ilvl w:val="0"/>
          <w:numId w:val="24"/>
        </w:numPr>
        <w:spacing w:line="360" w:lineRule="auto"/>
        <w:ind w:left="0" w:firstLine="709"/>
        <w:jc w:val="both"/>
        <w:rPr>
          <w:rFonts w:ascii="Times New Roman" w:eastAsia="Calibri" w:hAnsi="Times New Roman"/>
          <w:sz w:val="24"/>
          <w:szCs w:val="24"/>
        </w:rPr>
      </w:pPr>
      <w:r w:rsidRPr="007404FA">
        <w:rPr>
          <w:rFonts w:ascii="Times New Roman" w:eastAsia="Calibri" w:hAnsi="Times New Roman"/>
          <w:sz w:val="24"/>
          <w:szCs w:val="24"/>
        </w:rPr>
        <w:t>1 окончателно решение по</w:t>
      </w:r>
      <w:r w:rsidR="00F06583" w:rsidRPr="007404FA">
        <w:rPr>
          <w:rFonts w:ascii="Times New Roman" w:eastAsia="Calibri" w:hAnsi="Times New Roman"/>
          <w:sz w:val="24"/>
          <w:szCs w:val="24"/>
        </w:rPr>
        <w:t xml:space="preserve"> чл. </w:t>
      </w:r>
      <w:r w:rsidRPr="007404FA">
        <w:rPr>
          <w:rFonts w:ascii="Times New Roman" w:eastAsia="Calibri" w:hAnsi="Times New Roman"/>
          <w:sz w:val="24"/>
          <w:szCs w:val="24"/>
        </w:rPr>
        <w:t>66;</w:t>
      </w:r>
    </w:p>
    <w:p w:rsidR="0063284A" w:rsidRPr="007404FA" w:rsidRDefault="0063284A" w:rsidP="00DB6B05">
      <w:pPr>
        <w:numPr>
          <w:ilvl w:val="0"/>
          <w:numId w:val="24"/>
        </w:numPr>
        <w:spacing w:line="360" w:lineRule="auto"/>
        <w:ind w:left="0" w:firstLine="709"/>
        <w:jc w:val="both"/>
        <w:rPr>
          <w:rFonts w:ascii="Times New Roman" w:eastAsia="Calibri" w:hAnsi="Times New Roman"/>
          <w:sz w:val="24"/>
          <w:szCs w:val="24"/>
        </w:rPr>
      </w:pPr>
      <w:r w:rsidRPr="007404FA">
        <w:rPr>
          <w:rFonts w:ascii="Times New Roman" w:eastAsia="Calibri" w:hAnsi="Times New Roman"/>
          <w:sz w:val="24"/>
          <w:szCs w:val="24"/>
        </w:rPr>
        <w:t>1 решение съгласно процедурата по спешност по</w:t>
      </w:r>
      <w:r w:rsidR="00F06583" w:rsidRPr="007404FA">
        <w:rPr>
          <w:rFonts w:ascii="Times New Roman" w:eastAsia="Calibri" w:hAnsi="Times New Roman"/>
          <w:sz w:val="24"/>
          <w:szCs w:val="24"/>
        </w:rPr>
        <w:t xml:space="preserve"> чл. </w:t>
      </w:r>
      <w:r w:rsidRPr="007404FA">
        <w:rPr>
          <w:rFonts w:ascii="Times New Roman" w:eastAsia="Calibri" w:hAnsi="Times New Roman"/>
          <w:sz w:val="24"/>
          <w:szCs w:val="24"/>
        </w:rPr>
        <w:t xml:space="preserve">66. </w:t>
      </w:r>
    </w:p>
    <w:p w:rsidR="0063284A" w:rsidRPr="007404FA" w:rsidRDefault="00DB6B05" w:rsidP="00DB6B05">
      <w:pPr>
        <w:spacing w:line="360" w:lineRule="auto"/>
        <w:ind w:firstLine="709"/>
        <w:jc w:val="both"/>
        <w:rPr>
          <w:rFonts w:ascii="Times New Roman" w:eastAsia="Calibri" w:hAnsi="Times New Roman"/>
          <w:sz w:val="24"/>
          <w:szCs w:val="24"/>
        </w:rPr>
      </w:pPr>
      <w:r>
        <w:rPr>
          <w:rFonts w:ascii="Times New Roman" w:eastAsia="Calibri" w:hAnsi="Times New Roman"/>
          <w:sz w:val="24"/>
          <w:szCs w:val="24"/>
        </w:rPr>
        <w:t>В допълнение</w:t>
      </w:r>
      <w:r w:rsidR="0063284A" w:rsidRPr="007404FA">
        <w:rPr>
          <w:rFonts w:ascii="Times New Roman" w:eastAsia="Calibri" w:hAnsi="Times New Roman"/>
          <w:sz w:val="24"/>
          <w:szCs w:val="24"/>
        </w:rPr>
        <w:t xml:space="preserve"> общият брой на започнатите процедури от 2018</w:t>
      </w:r>
      <w:r>
        <w:rPr>
          <w:rFonts w:ascii="Times New Roman" w:eastAsia="Calibri" w:hAnsi="Times New Roman"/>
          <w:sz w:val="24"/>
          <w:szCs w:val="24"/>
        </w:rPr>
        <w:t xml:space="preserve"> </w:t>
      </w:r>
      <w:r w:rsidR="0063284A" w:rsidRPr="007404FA">
        <w:rPr>
          <w:rFonts w:ascii="Times New Roman" w:eastAsia="Calibri" w:hAnsi="Times New Roman"/>
          <w:sz w:val="24"/>
          <w:szCs w:val="24"/>
        </w:rPr>
        <w:t>г. за идентифициране на водещ и заинтересовани органи за защита на данните е 3252, от които 109</w:t>
      </w:r>
      <w:r w:rsidR="00157B49">
        <w:rPr>
          <w:rFonts w:ascii="Times New Roman" w:eastAsia="Calibri" w:hAnsi="Times New Roman"/>
          <w:sz w:val="24"/>
          <w:szCs w:val="24"/>
        </w:rPr>
        <w:t xml:space="preserve"> </w:t>
      </w:r>
      <w:r w:rsidR="0063284A" w:rsidRPr="007404FA">
        <w:rPr>
          <w:rFonts w:ascii="Times New Roman" w:eastAsia="Calibri" w:hAnsi="Times New Roman"/>
          <w:sz w:val="24"/>
          <w:szCs w:val="24"/>
        </w:rPr>
        <w:t>са текущи, а 3143</w:t>
      </w:r>
      <w:r w:rsidR="00553661" w:rsidRPr="007404FA">
        <w:rPr>
          <w:rFonts w:ascii="Times New Roman" w:eastAsia="Calibri" w:hAnsi="Times New Roman"/>
          <w:sz w:val="24"/>
          <w:szCs w:val="24"/>
        </w:rPr>
        <w:t xml:space="preserve"> – </w:t>
      </w:r>
      <w:r w:rsidR="0063284A" w:rsidRPr="007404FA">
        <w:rPr>
          <w:rFonts w:ascii="Times New Roman" w:eastAsia="Calibri" w:hAnsi="Times New Roman"/>
          <w:sz w:val="24"/>
          <w:szCs w:val="24"/>
        </w:rPr>
        <w:t>приключени.</w:t>
      </w:r>
    </w:p>
    <w:p w:rsidR="00AF7EB2" w:rsidRPr="007404FA" w:rsidRDefault="00731A22" w:rsidP="00DB6B05">
      <w:pPr>
        <w:spacing w:line="360" w:lineRule="auto"/>
        <w:ind w:firstLine="709"/>
        <w:jc w:val="both"/>
        <w:rPr>
          <w:rFonts w:ascii="Times New Roman" w:eastAsia="Calibri" w:hAnsi="Times New Roman"/>
          <w:sz w:val="24"/>
          <w:szCs w:val="24"/>
        </w:rPr>
      </w:pPr>
      <w:r w:rsidRPr="007404FA">
        <w:rPr>
          <w:rFonts w:ascii="Times New Roman" w:eastAsia="Calibri" w:hAnsi="Times New Roman"/>
          <w:sz w:val="24"/>
          <w:szCs w:val="24"/>
        </w:rPr>
        <w:t>Пр</w:t>
      </w:r>
      <w:r w:rsidR="002452E7" w:rsidRPr="007404FA">
        <w:rPr>
          <w:rFonts w:ascii="Times New Roman" w:eastAsia="Calibri" w:hAnsi="Times New Roman"/>
          <w:sz w:val="24"/>
          <w:szCs w:val="24"/>
        </w:rPr>
        <w:t>ез 2022</w:t>
      </w:r>
      <w:r w:rsidR="00F06583" w:rsidRPr="007404FA">
        <w:rPr>
          <w:rFonts w:ascii="Times New Roman" w:eastAsia="Calibri" w:hAnsi="Times New Roman"/>
          <w:sz w:val="24"/>
          <w:szCs w:val="24"/>
        </w:rPr>
        <w:t> г.</w:t>
      </w:r>
      <w:r w:rsidR="002452E7" w:rsidRPr="007404FA">
        <w:rPr>
          <w:rFonts w:ascii="Times New Roman" w:eastAsia="Calibri" w:hAnsi="Times New Roman"/>
          <w:sz w:val="24"/>
          <w:szCs w:val="24"/>
        </w:rPr>
        <w:t xml:space="preserve"> КЗЛД е била адресат/</w:t>
      </w:r>
      <w:r w:rsidR="00090E04" w:rsidRPr="007404FA">
        <w:rPr>
          <w:rFonts w:ascii="Times New Roman" w:eastAsia="Calibri" w:hAnsi="Times New Roman"/>
          <w:sz w:val="24"/>
          <w:szCs w:val="24"/>
        </w:rPr>
        <w:t xml:space="preserve">инициатор/участник </w:t>
      </w:r>
      <w:r w:rsidR="00584DB4" w:rsidRPr="007404FA">
        <w:rPr>
          <w:rFonts w:ascii="Times New Roman" w:eastAsia="Calibri" w:hAnsi="Times New Roman"/>
          <w:sz w:val="24"/>
          <w:szCs w:val="24"/>
        </w:rPr>
        <w:t>в механизма за сътрудничество и съгласуваност чрез ИСВП в 100</w:t>
      </w:r>
      <w:r w:rsidR="00D1189D" w:rsidRPr="007404FA">
        <w:rPr>
          <w:rFonts w:ascii="Times New Roman" w:eastAsia="Calibri" w:hAnsi="Times New Roman"/>
          <w:sz w:val="24"/>
          <w:szCs w:val="24"/>
        </w:rPr>
        <w:t> бр.</w:t>
      </w:r>
      <w:r w:rsidR="00584DB4" w:rsidRPr="007404FA">
        <w:rPr>
          <w:rFonts w:ascii="Times New Roman" w:eastAsia="Calibri" w:hAnsi="Times New Roman"/>
          <w:sz w:val="24"/>
          <w:szCs w:val="24"/>
        </w:rPr>
        <w:t xml:space="preserve"> процедури. вкл. п</w:t>
      </w:r>
      <w:r w:rsidRPr="007404FA">
        <w:rPr>
          <w:rFonts w:ascii="Times New Roman" w:eastAsia="Calibri" w:hAnsi="Times New Roman"/>
          <w:sz w:val="24"/>
          <w:szCs w:val="24"/>
        </w:rPr>
        <w:t>о</w:t>
      </w:r>
      <w:r w:rsidR="00F06583" w:rsidRPr="007404FA">
        <w:rPr>
          <w:rFonts w:ascii="Times New Roman" w:eastAsia="Calibri" w:hAnsi="Times New Roman"/>
          <w:sz w:val="24"/>
          <w:szCs w:val="24"/>
        </w:rPr>
        <w:t xml:space="preserve"> чл. </w:t>
      </w:r>
      <w:r w:rsidRPr="007404FA">
        <w:rPr>
          <w:rFonts w:ascii="Times New Roman" w:eastAsia="Calibri" w:hAnsi="Times New Roman"/>
          <w:sz w:val="24"/>
          <w:szCs w:val="24"/>
        </w:rPr>
        <w:t xml:space="preserve">56 от Регламент (ЕС) 2016/679 (определяне на водещ </w:t>
      </w:r>
      <w:r w:rsidR="00584DB4" w:rsidRPr="007404FA">
        <w:rPr>
          <w:rFonts w:ascii="Times New Roman" w:eastAsia="Calibri" w:hAnsi="Times New Roman"/>
          <w:sz w:val="24"/>
          <w:szCs w:val="24"/>
        </w:rPr>
        <w:t xml:space="preserve">и засегнат надзорен орган), </w:t>
      </w:r>
      <w:r w:rsidRPr="007404FA">
        <w:rPr>
          <w:rFonts w:ascii="Times New Roman" w:eastAsia="Calibri" w:hAnsi="Times New Roman"/>
          <w:sz w:val="24"/>
          <w:szCs w:val="24"/>
        </w:rPr>
        <w:t>по</w:t>
      </w:r>
      <w:r w:rsidR="00F06583" w:rsidRPr="007404FA">
        <w:rPr>
          <w:rFonts w:ascii="Times New Roman" w:eastAsia="Calibri" w:hAnsi="Times New Roman"/>
          <w:sz w:val="24"/>
          <w:szCs w:val="24"/>
        </w:rPr>
        <w:t xml:space="preserve"> чл. </w:t>
      </w:r>
      <w:r w:rsidRPr="007404FA">
        <w:rPr>
          <w:rFonts w:ascii="Times New Roman" w:eastAsia="Calibri" w:hAnsi="Times New Roman"/>
          <w:sz w:val="24"/>
          <w:szCs w:val="24"/>
        </w:rPr>
        <w:t>60 (сътрудничество между воде</w:t>
      </w:r>
      <w:r w:rsidR="002452E7" w:rsidRPr="007404FA">
        <w:rPr>
          <w:rFonts w:ascii="Times New Roman" w:eastAsia="Calibri" w:hAnsi="Times New Roman"/>
          <w:sz w:val="24"/>
          <w:szCs w:val="24"/>
        </w:rPr>
        <w:t>щ и засегнат надзорен орган</w:t>
      </w:r>
      <w:r w:rsidR="00584DB4" w:rsidRPr="007404FA">
        <w:rPr>
          <w:rFonts w:ascii="Times New Roman" w:eastAsia="Calibri" w:hAnsi="Times New Roman"/>
          <w:sz w:val="24"/>
          <w:szCs w:val="24"/>
        </w:rPr>
        <w:t xml:space="preserve">) и </w:t>
      </w:r>
      <w:r w:rsidRPr="007404FA">
        <w:rPr>
          <w:rFonts w:ascii="Times New Roman" w:eastAsia="Calibri" w:hAnsi="Times New Roman"/>
          <w:sz w:val="24"/>
          <w:szCs w:val="24"/>
        </w:rPr>
        <w:t>по</w:t>
      </w:r>
      <w:r w:rsidR="00F06583" w:rsidRPr="007404FA">
        <w:rPr>
          <w:rFonts w:ascii="Times New Roman" w:eastAsia="Calibri" w:hAnsi="Times New Roman"/>
          <w:sz w:val="24"/>
          <w:szCs w:val="24"/>
        </w:rPr>
        <w:t xml:space="preserve"> чл. </w:t>
      </w:r>
      <w:r w:rsidR="00AF7EB2" w:rsidRPr="007404FA">
        <w:rPr>
          <w:rFonts w:ascii="Times New Roman" w:eastAsia="Calibri" w:hAnsi="Times New Roman"/>
          <w:sz w:val="24"/>
          <w:szCs w:val="24"/>
        </w:rPr>
        <w:t>72</w:t>
      </w:r>
      <w:r w:rsidR="00157B49">
        <w:rPr>
          <w:rFonts w:ascii="Times New Roman" w:eastAsia="Calibri" w:hAnsi="Times New Roman"/>
          <w:sz w:val="24"/>
          <w:szCs w:val="24"/>
        </w:rPr>
        <w:t xml:space="preserve"> </w:t>
      </w:r>
      <w:r w:rsidR="00584DB4" w:rsidRPr="007404FA">
        <w:rPr>
          <w:rFonts w:ascii="Times New Roman" w:eastAsia="Calibri" w:hAnsi="Times New Roman"/>
          <w:sz w:val="24"/>
          <w:szCs w:val="24"/>
        </w:rPr>
        <w:t>(процедура по вземане на решения от ЕКЗД</w:t>
      </w:r>
      <w:r w:rsidR="002452E7" w:rsidRPr="007404FA">
        <w:rPr>
          <w:rFonts w:ascii="Times New Roman" w:eastAsia="Calibri" w:hAnsi="Times New Roman"/>
          <w:sz w:val="24"/>
          <w:szCs w:val="24"/>
        </w:rPr>
        <w:t>)</w:t>
      </w:r>
      <w:r w:rsidR="00AF7EB2" w:rsidRPr="007404FA">
        <w:rPr>
          <w:rFonts w:ascii="Times New Roman" w:eastAsia="Calibri" w:hAnsi="Times New Roman"/>
          <w:sz w:val="24"/>
          <w:szCs w:val="24"/>
        </w:rPr>
        <w:t xml:space="preserve">. </w:t>
      </w:r>
    </w:p>
    <w:p w:rsidR="0063284A" w:rsidRDefault="0063284A" w:rsidP="00DB6B05">
      <w:pPr>
        <w:spacing w:line="360" w:lineRule="auto"/>
        <w:ind w:firstLine="709"/>
        <w:jc w:val="both"/>
        <w:rPr>
          <w:rFonts w:ascii="Times New Roman" w:eastAsia="Calibri" w:hAnsi="Times New Roman"/>
          <w:sz w:val="24"/>
          <w:szCs w:val="24"/>
        </w:rPr>
      </w:pPr>
      <w:r w:rsidRPr="007404FA">
        <w:rPr>
          <w:rFonts w:ascii="Times New Roman" w:eastAsia="Calibri" w:hAnsi="Times New Roman"/>
          <w:sz w:val="24"/>
          <w:szCs w:val="24"/>
        </w:rPr>
        <w:t>Някои от по-интересните случаи са следните:</w:t>
      </w:r>
    </w:p>
    <w:p w:rsidR="00D0177B" w:rsidRPr="007404FA" w:rsidRDefault="00D0177B" w:rsidP="00DB6B05">
      <w:pPr>
        <w:spacing w:line="360" w:lineRule="auto"/>
        <w:ind w:firstLine="709"/>
        <w:jc w:val="both"/>
        <w:rPr>
          <w:rFonts w:ascii="Times New Roman" w:eastAsia="Calibri" w:hAnsi="Times New Roman"/>
          <w:b/>
          <w:sz w:val="24"/>
          <w:szCs w:val="24"/>
        </w:rPr>
      </w:pPr>
      <w:r w:rsidRPr="007404FA">
        <w:rPr>
          <w:rFonts w:ascii="Times New Roman" w:eastAsia="Calibri" w:hAnsi="Times New Roman"/>
          <w:b/>
          <w:sz w:val="24"/>
          <w:szCs w:val="24"/>
        </w:rPr>
        <w:t>2.1. В качеството на ВНО:</w:t>
      </w:r>
    </w:p>
    <w:p w:rsidR="0063284A" w:rsidRPr="007404FA" w:rsidRDefault="00DB6B05" w:rsidP="00DB6B05">
      <w:pPr>
        <w:pStyle w:val="ListParagraph"/>
        <w:numPr>
          <w:ilvl w:val="0"/>
          <w:numId w:val="16"/>
        </w:numPr>
        <w:spacing w:after="0" w:line="360" w:lineRule="auto"/>
        <w:ind w:left="0" w:firstLine="709"/>
        <w:jc w:val="both"/>
        <w:rPr>
          <w:rFonts w:ascii="Times New Roman" w:eastAsia="Calibri" w:hAnsi="Times New Roman"/>
          <w:sz w:val="24"/>
          <w:szCs w:val="24"/>
          <w:lang w:val="bg-BG"/>
        </w:rPr>
      </w:pPr>
      <w:r>
        <w:rPr>
          <w:rFonts w:ascii="Times New Roman" w:eastAsia="Calibri" w:hAnsi="Times New Roman"/>
          <w:sz w:val="24"/>
          <w:szCs w:val="24"/>
          <w:lang w:val="bg-BG"/>
        </w:rPr>
        <w:t>КЗЛД в качеството си на ВНО</w:t>
      </w:r>
      <w:r w:rsidR="0063284A" w:rsidRPr="007404FA">
        <w:rPr>
          <w:rFonts w:ascii="Times New Roman" w:eastAsia="Calibri" w:hAnsi="Times New Roman"/>
          <w:sz w:val="24"/>
          <w:szCs w:val="24"/>
          <w:lang w:val="bg-BG"/>
        </w:rPr>
        <w:t xml:space="preserve"> </w:t>
      </w:r>
      <w:r w:rsidR="005217FD" w:rsidRPr="007404FA">
        <w:rPr>
          <w:rFonts w:ascii="Times New Roman" w:eastAsia="Calibri" w:hAnsi="Times New Roman"/>
          <w:sz w:val="24"/>
          <w:szCs w:val="24"/>
          <w:lang w:val="bg-BG"/>
        </w:rPr>
        <w:t>открива</w:t>
      </w:r>
      <w:r w:rsidR="0063284A" w:rsidRPr="007404FA">
        <w:rPr>
          <w:rFonts w:ascii="Times New Roman" w:eastAsia="Calibri" w:hAnsi="Times New Roman"/>
          <w:sz w:val="24"/>
          <w:szCs w:val="24"/>
          <w:lang w:val="bg-BG"/>
        </w:rPr>
        <w:t xml:space="preserve"> процедура по</w:t>
      </w:r>
      <w:r w:rsidR="00F06583" w:rsidRPr="007404FA">
        <w:rPr>
          <w:rFonts w:ascii="Times New Roman" w:eastAsia="Calibri" w:hAnsi="Times New Roman"/>
          <w:sz w:val="24"/>
          <w:szCs w:val="24"/>
          <w:lang w:val="bg-BG"/>
        </w:rPr>
        <w:t xml:space="preserve"> чл. </w:t>
      </w:r>
      <w:r>
        <w:rPr>
          <w:rFonts w:ascii="Times New Roman" w:eastAsia="Calibri" w:hAnsi="Times New Roman"/>
          <w:sz w:val="24"/>
          <w:szCs w:val="24"/>
          <w:lang w:val="bg-BG"/>
        </w:rPr>
        <w:t>56 от ОРЗД</w:t>
      </w:r>
      <w:r w:rsidR="0063284A" w:rsidRPr="007404FA">
        <w:rPr>
          <w:rFonts w:ascii="Times New Roman" w:eastAsia="Calibri" w:hAnsi="Times New Roman"/>
          <w:sz w:val="24"/>
          <w:szCs w:val="24"/>
          <w:lang w:val="bg-BG"/>
        </w:rPr>
        <w:t xml:space="preserve"> във връзка с уведомление за нарушение на сигурността на данните по</w:t>
      </w:r>
      <w:r w:rsidR="00F06583" w:rsidRPr="007404FA">
        <w:rPr>
          <w:rFonts w:ascii="Times New Roman" w:eastAsia="Calibri" w:hAnsi="Times New Roman"/>
          <w:sz w:val="24"/>
          <w:szCs w:val="24"/>
          <w:lang w:val="bg-BG"/>
        </w:rPr>
        <w:t xml:space="preserve"> чл. </w:t>
      </w:r>
      <w:r w:rsidR="0063284A" w:rsidRPr="007404FA">
        <w:rPr>
          <w:rFonts w:ascii="Times New Roman" w:eastAsia="Calibri" w:hAnsi="Times New Roman"/>
          <w:sz w:val="24"/>
          <w:szCs w:val="24"/>
          <w:lang w:val="bg-BG"/>
        </w:rPr>
        <w:t>33 от ОРЗД, депозирано от администратор, предлагащ услуги в областта на разработването на софтуер и информационните технологии. Системите за наблюдение на администратора и служителите му отчитат подозрителни и неоторизирани действия</w:t>
      </w:r>
      <w:r w:rsidR="00E06D6E">
        <w:rPr>
          <w:rFonts w:ascii="Times New Roman" w:eastAsia="Calibri" w:hAnsi="Times New Roman"/>
          <w:sz w:val="24"/>
          <w:szCs w:val="24"/>
          <w:lang w:val="bg-BG"/>
        </w:rPr>
        <w:t xml:space="preserve"> – </w:t>
      </w:r>
      <w:r w:rsidR="0063284A" w:rsidRPr="007404FA">
        <w:rPr>
          <w:rFonts w:ascii="Times New Roman" w:eastAsia="Calibri" w:hAnsi="Times New Roman"/>
          <w:sz w:val="24"/>
          <w:szCs w:val="24"/>
          <w:lang w:val="bg-BG"/>
        </w:rPr>
        <w:t>имейл известяване, получено от негова партньорска платформа, сигнализира на дежурен служител за неспазен алгоритъм на работа при направата на хотелски резервации. След детайлно разглеждане на случая се установява, че в действителност става дума за пробив в сигурността на данните</w:t>
      </w:r>
      <w:r w:rsidR="00E06D6E">
        <w:rPr>
          <w:rFonts w:ascii="Times New Roman" w:eastAsia="Calibri" w:hAnsi="Times New Roman"/>
          <w:sz w:val="24"/>
          <w:szCs w:val="24"/>
          <w:lang w:val="bg-BG"/>
        </w:rPr>
        <w:t xml:space="preserve"> – </w:t>
      </w:r>
      <w:r w:rsidR="0063284A" w:rsidRPr="007404FA">
        <w:rPr>
          <w:rFonts w:ascii="Times New Roman" w:eastAsia="Calibri" w:hAnsi="Times New Roman"/>
          <w:sz w:val="24"/>
          <w:szCs w:val="24"/>
          <w:lang w:val="bg-BG"/>
        </w:rPr>
        <w:t>персонален компютър на служител на админ</w:t>
      </w:r>
      <w:r>
        <w:rPr>
          <w:rFonts w:ascii="Times New Roman" w:eastAsia="Calibri" w:hAnsi="Times New Roman"/>
          <w:sz w:val="24"/>
          <w:szCs w:val="24"/>
          <w:lang w:val="bg-BG"/>
        </w:rPr>
        <w:t>истратора е бил компрометиран в</w:t>
      </w:r>
      <w:r w:rsidR="0063284A" w:rsidRPr="007404FA">
        <w:rPr>
          <w:rFonts w:ascii="Times New Roman" w:eastAsia="Calibri" w:hAnsi="Times New Roman"/>
          <w:sz w:val="24"/>
          <w:szCs w:val="24"/>
          <w:lang w:val="bg-BG"/>
        </w:rPr>
        <w:t xml:space="preserve">следствие на </w:t>
      </w:r>
      <w:r w:rsidR="0063284A" w:rsidRPr="007404FA">
        <w:rPr>
          <w:rFonts w:ascii="Times New Roman" w:eastAsia="Calibri" w:hAnsi="Times New Roman"/>
          <w:sz w:val="24"/>
          <w:szCs w:val="24"/>
          <w:lang w:val="bg-BG"/>
        </w:rPr>
        <w:lastRenderedPageBreak/>
        <w:t xml:space="preserve">свързването му към публична Wi-Fi мрежа. В резултат на това са изтекли пароли за достъп към споделени вътрешни пространства и платформи на партньори на дружеството. Засегнати са голям брой субекти на данните, граждани на държави </w:t>
      </w:r>
      <w:r w:rsidR="00C12E6B">
        <w:rPr>
          <w:rFonts w:ascii="Times New Roman" w:eastAsia="Calibri" w:hAnsi="Times New Roman"/>
          <w:sz w:val="24"/>
          <w:szCs w:val="24"/>
          <w:lang w:val="bg-BG"/>
        </w:rPr>
        <w:t xml:space="preserve">– </w:t>
      </w:r>
      <w:r w:rsidR="0063284A" w:rsidRPr="007404FA">
        <w:rPr>
          <w:rFonts w:ascii="Times New Roman" w:eastAsia="Calibri" w:hAnsi="Times New Roman"/>
          <w:sz w:val="24"/>
          <w:szCs w:val="24"/>
          <w:lang w:val="bg-BG"/>
        </w:rPr>
        <w:t>членки на ЕС. С оглед на факта, че единственото място на установяване на администратора е на територията на Република Бъ</w:t>
      </w:r>
      <w:r w:rsidR="00C12E6B">
        <w:rPr>
          <w:rFonts w:ascii="Times New Roman" w:eastAsia="Calibri" w:hAnsi="Times New Roman"/>
          <w:sz w:val="24"/>
          <w:szCs w:val="24"/>
          <w:lang w:val="bg-BG"/>
        </w:rPr>
        <w:t>лгария, КЗЛД е ВНО по казуса. В</w:t>
      </w:r>
      <w:r w:rsidR="0063284A" w:rsidRPr="007404FA">
        <w:rPr>
          <w:rFonts w:ascii="Times New Roman" w:eastAsia="Calibri" w:hAnsi="Times New Roman"/>
          <w:sz w:val="24"/>
          <w:szCs w:val="24"/>
          <w:lang w:val="bg-BG"/>
        </w:rPr>
        <w:t>последствие е открита процедура по</w:t>
      </w:r>
      <w:r w:rsidR="00F06583" w:rsidRPr="007404FA">
        <w:rPr>
          <w:rFonts w:ascii="Times New Roman" w:eastAsia="Calibri" w:hAnsi="Times New Roman"/>
          <w:sz w:val="24"/>
          <w:szCs w:val="24"/>
          <w:lang w:val="bg-BG"/>
        </w:rPr>
        <w:t xml:space="preserve"> чл. </w:t>
      </w:r>
      <w:r w:rsidR="0063284A" w:rsidRPr="007404FA">
        <w:rPr>
          <w:rFonts w:ascii="Times New Roman" w:eastAsia="Calibri" w:hAnsi="Times New Roman"/>
          <w:sz w:val="24"/>
          <w:szCs w:val="24"/>
          <w:lang w:val="bg-BG"/>
        </w:rPr>
        <w:t>60 от Регламента</w:t>
      </w:r>
      <w:r w:rsidR="00553661" w:rsidRPr="007404FA">
        <w:rPr>
          <w:rFonts w:ascii="Times New Roman" w:eastAsia="Calibri" w:hAnsi="Times New Roman"/>
          <w:sz w:val="24"/>
          <w:szCs w:val="24"/>
          <w:lang w:val="bg-BG"/>
        </w:rPr>
        <w:t xml:space="preserve"> – </w:t>
      </w:r>
      <w:r w:rsidR="0063284A" w:rsidRPr="007404FA">
        <w:rPr>
          <w:rFonts w:ascii="Times New Roman" w:eastAsia="Calibri" w:hAnsi="Times New Roman"/>
          <w:sz w:val="24"/>
          <w:szCs w:val="24"/>
          <w:lang w:val="bg-BG"/>
        </w:rPr>
        <w:t>проект на решение, при която се дава възможност на ЗНО да дадат своите коментари и/или относимо и обосновано възражение по него. Решението на КЗЛД се състои в отправяне на официално предупреждение за допуснатите нарушения и разпореждане към администратора да съобрази операциите по обработване на данни с разпоредбите на регламента посредством прилагане на подходящи технически и организационни мерки за защита на данните с конкретна насоченост и срок за изпълнение. Постъпва коментар в подкрепа на решението</w:t>
      </w:r>
      <w:r w:rsidR="007C3520" w:rsidRPr="007404FA">
        <w:rPr>
          <w:rFonts w:ascii="Times New Roman" w:eastAsia="Calibri" w:hAnsi="Times New Roman"/>
          <w:sz w:val="24"/>
          <w:szCs w:val="24"/>
          <w:lang w:val="bg-BG"/>
        </w:rPr>
        <w:t xml:space="preserve">. </w:t>
      </w:r>
      <w:r w:rsidR="0063284A" w:rsidRPr="007404FA">
        <w:rPr>
          <w:rFonts w:ascii="Times New Roman" w:eastAsia="Calibri" w:hAnsi="Times New Roman"/>
          <w:sz w:val="24"/>
          <w:szCs w:val="24"/>
          <w:lang w:val="bg-BG"/>
        </w:rPr>
        <w:t>Решението е</w:t>
      </w:r>
      <w:r w:rsidR="00C12E6B">
        <w:rPr>
          <w:rFonts w:ascii="Times New Roman" w:eastAsia="Calibri" w:hAnsi="Times New Roman"/>
          <w:sz w:val="24"/>
          <w:szCs w:val="24"/>
          <w:lang w:val="bg-BG"/>
        </w:rPr>
        <w:t xml:space="preserve"> публикувано като окончателно</w:t>
      </w:r>
      <w:r w:rsidR="0063284A" w:rsidRPr="007404FA">
        <w:rPr>
          <w:rFonts w:ascii="Times New Roman" w:eastAsia="Calibri" w:hAnsi="Times New Roman"/>
          <w:sz w:val="24"/>
          <w:szCs w:val="24"/>
          <w:lang w:val="bg-BG"/>
        </w:rPr>
        <w:t xml:space="preserve"> съгласно процедурата по</w:t>
      </w:r>
      <w:r w:rsidR="00F06583" w:rsidRPr="007404FA">
        <w:rPr>
          <w:rFonts w:ascii="Times New Roman" w:eastAsia="Calibri" w:hAnsi="Times New Roman"/>
          <w:sz w:val="24"/>
          <w:szCs w:val="24"/>
          <w:lang w:val="bg-BG"/>
        </w:rPr>
        <w:t xml:space="preserve"> чл. </w:t>
      </w:r>
      <w:r w:rsidR="0063284A" w:rsidRPr="007404FA">
        <w:rPr>
          <w:rFonts w:ascii="Times New Roman" w:eastAsia="Calibri" w:hAnsi="Times New Roman"/>
          <w:sz w:val="24"/>
          <w:szCs w:val="24"/>
          <w:lang w:val="bg-BG"/>
        </w:rPr>
        <w:t>60 от Регламента.</w:t>
      </w:r>
      <w:r w:rsidR="00157B49">
        <w:rPr>
          <w:rFonts w:ascii="Times New Roman" w:eastAsia="Calibri" w:hAnsi="Times New Roman"/>
          <w:sz w:val="24"/>
          <w:szCs w:val="24"/>
          <w:lang w:val="bg-BG"/>
        </w:rPr>
        <w:t xml:space="preserve"> </w:t>
      </w:r>
    </w:p>
    <w:p w:rsidR="0063284A" w:rsidRPr="007404FA" w:rsidRDefault="0063284A" w:rsidP="00DB6B05">
      <w:pPr>
        <w:pStyle w:val="ListParagraph"/>
        <w:numPr>
          <w:ilvl w:val="0"/>
          <w:numId w:val="16"/>
        </w:numPr>
        <w:spacing w:after="0" w:line="360" w:lineRule="auto"/>
        <w:ind w:left="0" w:firstLine="709"/>
        <w:jc w:val="both"/>
        <w:rPr>
          <w:rFonts w:ascii="Times New Roman" w:eastAsia="Calibri" w:hAnsi="Times New Roman"/>
          <w:sz w:val="24"/>
          <w:szCs w:val="24"/>
          <w:lang w:val="bg-BG"/>
        </w:rPr>
      </w:pPr>
      <w:r w:rsidRPr="007404FA">
        <w:rPr>
          <w:rFonts w:ascii="Times New Roman" w:eastAsia="Calibri" w:hAnsi="Times New Roman"/>
          <w:sz w:val="24"/>
          <w:szCs w:val="24"/>
          <w:lang w:val="bg-BG"/>
        </w:rPr>
        <w:t>КЗЛД става адресат на процедура по</w:t>
      </w:r>
      <w:r w:rsidR="00F06583" w:rsidRPr="007404FA">
        <w:rPr>
          <w:rFonts w:ascii="Times New Roman" w:eastAsia="Calibri" w:hAnsi="Times New Roman"/>
          <w:sz w:val="24"/>
          <w:szCs w:val="24"/>
          <w:lang w:val="bg-BG"/>
        </w:rPr>
        <w:t xml:space="preserve"> чл. </w:t>
      </w:r>
      <w:r w:rsidRPr="007404FA">
        <w:rPr>
          <w:rFonts w:ascii="Times New Roman" w:eastAsia="Calibri" w:hAnsi="Times New Roman"/>
          <w:sz w:val="24"/>
          <w:szCs w:val="24"/>
          <w:lang w:val="bg-BG"/>
        </w:rPr>
        <w:t>56 за определяне на ВНО, която е инициирана</w:t>
      </w:r>
      <w:r w:rsidR="00C12E6B">
        <w:rPr>
          <w:rFonts w:ascii="Times New Roman" w:eastAsia="Calibri" w:hAnsi="Times New Roman"/>
          <w:sz w:val="24"/>
          <w:szCs w:val="24"/>
          <w:lang w:val="bg-BG"/>
        </w:rPr>
        <w:t xml:space="preserve"> от надзорния орган на Ирландия във връзка с депозирана жалба</w:t>
      </w:r>
      <w:r w:rsidRPr="007404FA">
        <w:rPr>
          <w:rFonts w:ascii="Times New Roman" w:eastAsia="Calibri" w:hAnsi="Times New Roman"/>
          <w:sz w:val="24"/>
          <w:szCs w:val="24"/>
          <w:lang w:val="bg-BG"/>
        </w:rPr>
        <w:t xml:space="preserve"> срещу българско дружество, което оперира платформа за VoIP услуги, купува и продава телефонни номера от Националния номерационен план на Републ</w:t>
      </w:r>
      <w:r w:rsidR="00C12E6B">
        <w:rPr>
          <w:rFonts w:ascii="Times New Roman" w:eastAsia="Calibri" w:hAnsi="Times New Roman"/>
          <w:sz w:val="24"/>
          <w:szCs w:val="24"/>
          <w:lang w:val="bg-BG"/>
        </w:rPr>
        <w:t xml:space="preserve">ика България и от други държави – </w:t>
      </w:r>
      <w:r w:rsidRPr="007404FA">
        <w:rPr>
          <w:rFonts w:ascii="Times New Roman" w:eastAsia="Calibri" w:hAnsi="Times New Roman"/>
          <w:sz w:val="24"/>
          <w:szCs w:val="24"/>
          <w:lang w:val="bg-BG"/>
        </w:rPr>
        <w:t>членки на ЕС.</w:t>
      </w:r>
      <w:r w:rsidR="00F7319F" w:rsidRPr="007404FA">
        <w:rPr>
          <w:rFonts w:ascii="Times New Roman" w:eastAsia="Calibri" w:hAnsi="Times New Roman"/>
          <w:sz w:val="24"/>
          <w:szCs w:val="24"/>
          <w:lang w:val="bg-BG"/>
        </w:rPr>
        <w:t xml:space="preserve"> </w:t>
      </w:r>
      <w:r w:rsidRPr="007404FA">
        <w:rPr>
          <w:rFonts w:ascii="Times New Roman" w:eastAsia="Calibri" w:hAnsi="Times New Roman"/>
          <w:sz w:val="24"/>
          <w:szCs w:val="24"/>
          <w:lang w:val="bg-BG"/>
        </w:rPr>
        <w:t>Субектът на данни е закупил един от продуктите, предлагани от администратора, който не е получил. Поддръжката на сайта му дава информация, че поръчката му не е изпълнена, тъй като той е чуждестранен граж</w:t>
      </w:r>
      <w:r w:rsidR="00C12E6B">
        <w:rPr>
          <w:rFonts w:ascii="Times New Roman" w:eastAsia="Calibri" w:hAnsi="Times New Roman"/>
          <w:sz w:val="24"/>
          <w:szCs w:val="24"/>
          <w:lang w:val="bg-BG"/>
        </w:rPr>
        <w:t>данин. Във връзка с това субектът</w:t>
      </w:r>
      <w:r w:rsidRPr="007404FA">
        <w:rPr>
          <w:rFonts w:ascii="Times New Roman" w:eastAsia="Calibri" w:hAnsi="Times New Roman"/>
          <w:sz w:val="24"/>
          <w:szCs w:val="24"/>
          <w:lang w:val="bg-BG"/>
        </w:rPr>
        <w:t xml:space="preserve"> решава да упражни своето право на достъп до обработваните лични данни, свързани с него по</w:t>
      </w:r>
      <w:r w:rsidR="00F06583" w:rsidRPr="007404FA">
        <w:rPr>
          <w:rFonts w:ascii="Times New Roman" w:eastAsia="Calibri" w:hAnsi="Times New Roman"/>
          <w:sz w:val="24"/>
          <w:szCs w:val="24"/>
          <w:lang w:val="bg-BG"/>
        </w:rPr>
        <w:t xml:space="preserve"> чл. </w:t>
      </w:r>
      <w:r w:rsidRPr="007404FA">
        <w:rPr>
          <w:rFonts w:ascii="Times New Roman" w:eastAsia="Calibri" w:hAnsi="Times New Roman"/>
          <w:sz w:val="24"/>
          <w:szCs w:val="24"/>
          <w:lang w:val="bg-BG"/>
        </w:rPr>
        <w:t>15 от Регламента, което не е било удовлетворено в законоустановения срок от един месец.</w:t>
      </w:r>
      <w:r w:rsidR="00F7319F" w:rsidRPr="007404FA">
        <w:rPr>
          <w:rFonts w:ascii="Times New Roman" w:eastAsia="Calibri" w:hAnsi="Times New Roman"/>
          <w:sz w:val="24"/>
          <w:szCs w:val="24"/>
          <w:lang w:val="bg-BG"/>
        </w:rPr>
        <w:t xml:space="preserve"> </w:t>
      </w:r>
      <w:r w:rsidRPr="007404FA">
        <w:rPr>
          <w:rFonts w:ascii="Times New Roman" w:eastAsia="Calibri" w:hAnsi="Times New Roman"/>
          <w:sz w:val="24"/>
          <w:szCs w:val="24"/>
          <w:lang w:val="bg-BG"/>
        </w:rPr>
        <w:t>Администраторът предоставя информация, че поради поемане на договорно задължение спрямо операторите, от които дружеството купува номера от номерационния план на Бразилия, то няма право да предоставя съответните номера на бразилски граждани или дружества.</w:t>
      </w:r>
      <w:r w:rsidR="00F7319F" w:rsidRPr="007404FA">
        <w:rPr>
          <w:rFonts w:ascii="Times New Roman" w:eastAsia="Calibri" w:hAnsi="Times New Roman"/>
          <w:sz w:val="24"/>
          <w:szCs w:val="24"/>
          <w:lang w:val="bg-BG"/>
        </w:rPr>
        <w:t xml:space="preserve"> </w:t>
      </w:r>
      <w:r w:rsidRPr="007404FA">
        <w:rPr>
          <w:rFonts w:ascii="Times New Roman" w:eastAsia="Calibri" w:hAnsi="Times New Roman"/>
          <w:sz w:val="24"/>
          <w:szCs w:val="24"/>
          <w:lang w:val="bg-BG"/>
        </w:rPr>
        <w:t>Още при първоначалното писмо от КЗЛД администраторът е извършил щателна вътрешна проверка за установяване на исканията за достъп, евентуални пропуски в сървърите/софтуера</w:t>
      </w:r>
      <w:r w:rsidR="00C12E6B">
        <w:rPr>
          <w:rFonts w:ascii="Times New Roman" w:eastAsia="Calibri" w:hAnsi="Times New Roman"/>
          <w:sz w:val="24"/>
          <w:szCs w:val="24"/>
          <w:lang w:val="bg-BG"/>
        </w:rPr>
        <w:t>,</w:t>
      </w:r>
      <w:r w:rsidRPr="007404FA">
        <w:rPr>
          <w:rFonts w:ascii="Times New Roman" w:eastAsia="Calibri" w:hAnsi="Times New Roman"/>
          <w:sz w:val="24"/>
          <w:szCs w:val="24"/>
          <w:lang w:val="bg-BG"/>
        </w:rPr>
        <w:t xml:space="preserve"> както и за наличие на човешка грешка. Той не е считал, че е неизправен, тъй като не са били установени пропуски от негова страна и не е открил или получил информация за съществуването на искането на субекта. Администраторът излага в становището си, че не е в състояние да докаже чрез писмени доказателства, че съответните съобщения са/не са били получени в папка „спам“ и в последствие са били автоматично изтрити. С решение на Комисията е открита процедура по</w:t>
      </w:r>
      <w:r w:rsidR="00F06583" w:rsidRPr="007404FA">
        <w:rPr>
          <w:rFonts w:ascii="Times New Roman" w:eastAsia="Calibri" w:hAnsi="Times New Roman"/>
          <w:sz w:val="24"/>
          <w:szCs w:val="24"/>
          <w:lang w:val="bg-BG"/>
        </w:rPr>
        <w:t xml:space="preserve"> чл. </w:t>
      </w:r>
      <w:r w:rsidRPr="007404FA">
        <w:rPr>
          <w:rFonts w:ascii="Times New Roman" w:eastAsia="Calibri" w:hAnsi="Times New Roman"/>
          <w:sz w:val="24"/>
          <w:szCs w:val="24"/>
          <w:lang w:val="bg-BG"/>
        </w:rPr>
        <w:t xml:space="preserve">60 от Регламент (ЕС) 2016/679, с която на засегнатите надзорни органи е представен </w:t>
      </w:r>
      <w:r w:rsidRPr="007404FA">
        <w:rPr>
          <w:rFonts w:ascii="Times New Roman" w:eastAsia="Calibri" w:hAnsi="Times New Roman"/>
          <w:sz w:val="24"/>
          <w:szCs w:val="24"/>
          <w:lang w:val="bg-BG"/>
        </w:rPr>
        <w:lastRenderedPageBreak/>
        <w:t>проект на решение по казуса. Взето е решение на администратора да бъде наложена имуществена санкция по</w:t>
      </w:r>
      <w:r w:rsidR="00F06583" w:rsidRPr="007404FA">
        <w:rPr>
          <w:rFonts w:ascii="Times New Roman" w:eastAsia="Calibri" w:hAnsi="Times New Roman"/>
          <w:sz w:val="24"/>
          <w:szCs w:val="24"/>
          <w:lang w:val="bg-BG"/>
        </w:rPr>
        <w:t xml:space="preserve"> чл. </w:t>
      </w:r>
      <w:r w:rsidRPr="007404FA">
        <w:rPr>
          <w:rFonts w:ascii="Times New Roman" w:eastAsia="Calibri" w:hAnsi="Times New Roman"/>
          <w:sz w:val="24"/>
          <w:szCs w:val="24"/>
          <w:lang w:val="bg-BG"/>
        </w:rPr>
        <w:t xml:space="preserve">83, </w:t>
      </w:r>
      <w:r w:rsidR="00C12E6B">
        <w:rPr>
          <w:rFonts w:ascii="Times New Roman" w:eastAsia="Calibri" w:hAnsi="Times New Roman"/>
          <w:sz w:val="24"/>
          <w:szCs w:val="24"/>
          <w:lang w:val="bg-BG"/>
        </w:rPr>
        <w:t>§5, б. „б“ от Регламента</w:t>
      </w:r>
      <w:r w:rsidRPr="007404FA">
        <w:rPr>
          <w:rFonts w:ascii="Times New Roman" w:eastAsia="Calibri" w:hAnsi="Times New Roman"/>
          <w:sz w:val="24"/>
          <w:szCs w:val="24"/>
          <w:lang w:val="bg-BG"/>
        </w:rPr>
        <w:t xml:space="preserve"> в размер на 1000</w:t>
      </w:r>
      <w:r w:rsidR="003742EB" w:rsidRPr="007404FA">
        <w:rPr>
          <w:rFonts w:ascii="Times New Roman" w:eastAsia="Calibri" w:hAnsi="Times New Roman"/>
          <w:sz w:val="24"/>
          <w:szCs w:val="24"/>
          <w:lang w:val="bg-BG"/>
        </w:rPr>
        <w:t> лв.</w:t>
      </w:r>
    </w:p>
    <w:p w:rsidR="00F10CA7" w:rsidRPr="007404FA" w:rsidRDefault="00F10CA7" w:rsidP="00DB6B05">
      <w:pPr>
        <w:spacing w:line="360" w:lineRule="auto"/>
        <w:ind w:firstLine="709"/>
        <w:jc w:val="both"/>
        <w:rPr>
          <w:rFonts w:ascii="Times New Roman" w:eastAsia="Calibri" w:hAnsi="Times New Roman"/>
          <w:b/>
          <w:sz w:val="24"/>
          <w:szCs w:val="24"/>
        </w:rPr>
      </w:pPr>
      <w:r w:rsidRPr="007404FA">
        <w:rPr>
          <w:rFonts w:ascii="Times New Roman" w:eastAsia="Calibri" w:hAnsi="Times New Roman"/>
          <w:b/>
          <w:sz w:val="24"/>
          <w:szCs w:val="24"/>
        </w:rPr>
        <w:t>2.2. В качеството на ЗНО:</w:t>
      </w:r>
    </w:p>
    <w:p w:rsidR="0063284A" w:rsidRPr="007404FA" w:rsidRDefault="0063284A" w:rsidP="00DB6B05">
      <w:pPr>
        <w:spacing w:line="360" w:lineRule="auto"/>
        <w:ind w:firstLine="709"/>
        <w:jc w:val="both"/>
        <w:rPr>
          <w:rFonts w:ascii="Times New Roman" w:eastAsia="Calibri" w:hAnsi="Times New Roman"/>
          <w:sz w:val="24"/>
          <w:szCs w:val="24"/>
        </w:rPr>
      </w:pPr>
      <w:r w:rsidRPr="007404FA">
        <w:rPr>
          <w:rFonts w:ascii="Times New Roman" w:eastAsia="Calibri" w:hAnsi="Times New Roman"/>
          <w:sz w:val="24"/>
          <w:szCs w:val="24"/>
        </w:rPr>
        <w:t>КЗЛД се конституира като ЗНО по общо 17 случая, тъй като е възникнало обосновано предположение, че могат да бъдат засегнати правата на български граждани</w:t>
      </w:r>
      <w:r w:rsidR="00C12E6B">
        <w:rPr>
          <w:rFonts w:ascii="Times New Roman" w:eastAsia="Calibri" w:hAnsi="Times New Roman"/>
          <w:sz w:val="24"/>
          <w:szCs w:val="24"/>
        </w:rPr>
        <w:t>,</w:t>
      </w:r>
      <w:r w:rsidR="00157B49">
        <w:rPr>
          <w:rFonts w:ascii="Times New Roman" w:eastAsia="Calibri" w:hAnsi="Times New Roman"/>
          <w:sz w:val="24"/>
          <w:szCs w:val="24"/>
        </w:rPr>
        <w:t xml:space="preserve"> </w:t>
      </w:r>
      <w:r w:rsidRPr="007404FA">
        <w:rPr>
          <w:rFonts w:ascii="Times New Roman" w:eastAsia="Calibri" w:hAnsi="Times New Roman"/>
          <w:sz w:val="24"/>
          <w:szCs w:val="24"/>
        </w:rPr>
        <w:t>от тях 9 са били инициирани от българския надзорен орган. Някои от по-интересните случаи са следните:</w:t>
      </w:r>
    </w:p>
    <w:p w:rsidR="0063284A" w:rsidRPr="007404FA" w:rsidRDefault="0063284A" w:rsidP="00DB6B05">
      <w:pPr>
        <w:pStyle w:val="ListParagraph"/>
        <w:numPr>
          <w:ilvl w:val="0"/>
          <w:numId w:val="15"/>
        </w:numPr>
        <w:spacing w:after="0" w:line="360" w:lineRule="auto"/>
        <w:ind w:left="0" w:firstLine="709"/>
        <w:jc w:val="both"/>
        <w:rPr>
          <w:rFonts w:ascii="Times New Roman" w:eastAsia="Calibri" w:hAnsi="Times New Roman"/>
          <w:sz w:val="24"/>
          <w:szCs w:val="24"/>
          <w:lang w:val="bg-BG" w:bidi="bg-BG"/>
        </w:rPr>
      </w:pPr>
      <w:r w:rsidRPr="007404FA">
        <w:rPr>
          <w:rFonts w:ascii="Times New Roman" w:eastAsia="Calibri" w:hAnsi="Times New Roman"/>
          <w:sz w:val="24"/>
          <w:szCs w:val="24"/>
          <w:lang w:val="bg-BG"/>
        </w:rPr>
        <w:t>КЗЛД бива сезирана с уведомление за нарушение на сигурността на данните от дружество, част от между</w:t>
      </w:r>
      <w:r w:rsidR="00C12E6B">
        <w:rPr>
          <w:rFonts w:ascii="Times New Roman" w:eastAsia="Calibri" w:hAnsi="Times New Roman"/>
          <w:sz w:val="24"/>
          <w:szCs w:val="24"/>
          <w:lang w:val="bg-BG"/>
        </w:rPr>
        <w:t>народна група. На глобално ниво</w:t>
      </w:r>
      <w:r w:rsidRPr="007404FA">
        <w:rPr>
          <w:rFonts w:ascii="Times New Roman" w:eastAsia="Calibri" w:hAnsi="Times New Roman"/>
          <w:sz w:val="24"/>
          <w:szCs w:val="24"/>
          <w:lang w:val="bg-BG"/>
        </w:rPr>
        <w:t xml:space="preserve"> последната става </w:t>
      </w:r>
      <w:r w:rsidRPr="007404FA">
        <w:rPr>
          <w:rFonts w:ascii="Times New Roman" w:eastAsia="Calibri" w:hAnsi="Times New Roman"/>
          <w:sz w:val="24"/>
          <w:szCs w:val="24"/>
          <w:lang w:val="bg-BG" w:bidi="bg-BG"/>
        </w:rPr>
        <w:t>жертва на кибератака от 17 октомври 2022</w:t>
      </w:r>
      <w:r w:rsidR="00F06583" w:rsidRPr="007404FA">
        <w:rPr>
          <w:rFonts w:ascii="Times New Roman" w:eastAsia="Calibri" w:hAnsi="Times New Roman"/>
          <w:sz w:val="24"/>
          <w:szCs w:val="24"/>
          <w:lang w:val="bg-BG" w:bidi="bg-BG"/>
        </w:rPr>
        <w:t> г.</w:t>
      </w:r>
      <w:r w:rsidR="00C12E6B">
        <w:rPr>
          <w:rFonts w:ascii="Times New Roman" w:eastAsia="Calibri" w:hAnsi="Times New Roman"/>
          <w:sz w:val="24"/>
          <w:szCs w:val="24"/>
          <w:lang w:val="bg-BG" w:bidi="bg-BG"/>
        </w:rPr>
        <w:t>,</w:t>
      </w:r>
      <w:r w:rsidRPr="007404FA">
        <w:rPr>
          <w:rFonts w:ascii="Times New Roman" w:eastAsia="Calibri" w:hAnsi="Times New Roman"/>
          <w:sz w:val="24"/>
          <w:szCs w:val="24"/>
          <w:lang w:val="bg-BG" w:bidi="bg-BG"/>
        </w:rPr>
        <w:t xml:space="preserve"> като всички нейни дъщерни дружества по света са засегнати. По време на атаката хост системите на редица виртуални сървъ</w:t>
      </w:r>
      <w:r w:rsidR="00C12E6B">
        <w:rPr>
          <w:rFonts w:ascii="Times New Roman" w:eastAsia="Calibri" w:hAnsi="Times New Roman"/>
          <w:sz w:val="24"/>
          <w:szCs w:val="24"/>
          <w:lang w:val="bg-BG" w:bidi="bg-BG"/>
        </w:rPr>
        <w:t>ри са били криптирани от крипто</w:t>
      </w:r>
      <w:r w:rsidRPr="007404FA">
        <w:rPr>
          <w:rFonts w:ascii="Times New Roman" w:eastAsia="Calibri" w:hAnsi="Times New Roman"/>
          <w:sz w:val="24"/>
          <w:szCs w:val="24"/>
          <w:lang w:val="bg-BG" w:bidi="bg-BG"/>
        </w:rPr>
        <w:t xml:space="preserve">вирус, в това число и виртуален сървър, на който се обработват лични данни. Това е т.нар. </w:t>
      </w:r>
      <w:r w:rsidRPr="007404FA">
        <w:rPr>
          <w:rFonts w:ascii="Times New Roman" w:eastAsia="Calibri" w:hAnsi="Times New Roman"/>
          <w:sz w:val="24"/>
          <w:szCs w:val="24"/>
          <w:lang w:val="bg-BG" w:bidi="en-US"/>
        </w:rPr>
        <w:t>Active</w:t>
      </w:r>
      <w:r w:rsidRPr="007404FA">
        <w:rPr>
          <w:rFonts w:ascii="Times New Roman" w:eastAsia="Calibri" w:hAnsi="Times New Roman"/>
          <w:sz w:val="24"/>
          <w:szCs w:val="24"/>
          <w:lang w:val="bg-BG"/>
        </w:rPr>
        <w:t xml:space="preserve"> </w:t>
      </w:r>
      <w:r w:rsidRPr="007404FA">
        <w:rPr>
          <w:rFonts w:ascii="Times New Roman" w:eastAsia="Calibri" w:hAnsi="Times New Roman"/>
          <w:sz w:val="24"/>
          <w:szCs w:val="24"/>
          <w:lang w:val="bg-BG" w:bidi="en-US"/>
        </w:rPr>
        <w:t>Directory</w:t>
      </w:r>
      <w:r w:rsidRPr="007404FA">
        <w:rPr>
          <w:rFonts w:ascii="Times New Roman" w:eastAsia="Calibri" w:hAnsi="Times New Roman"/>
          <w:sz w:val="24"/>
          <w:szCs w:val="24"/>
          <w:lang w:val="bg-BG"/>
        </w:rPr>
        <w:t xml:space="preserve"> (</w:t>
      </w:r>
      <w:r w:rsidRPr="007404FA">
        <w:rPr>
          <w:rFonts w:ascii="Times New Roman" w:eastAsia="Calibri" w:hAnsi="Times New Roman"/>
          <w:sz w:val="24"/>
          <w:szCs w:val="24"/>
          <w:lang w:val="bg-BG" w:bidi="en-US"/>
        </w:rPr>
        <w:t>AD</w:t>
      </w:r>
      <w:r w:rsidR="00C12E6B">
        <w:rPr>
          <w:rFonts w:ascii="Times New Roman" w:eastAsia="Calibri" w:hAnsi="Times New Roman"/>
          <w:sz w:val="24"/>
          <w:szCs w:val="24"/>
          <w:lang w:val="bg-BG"/>
        </w:rPr>
        <w:t>)</w:t>
      </w:r>
      <w:r w:rsidRPr="007404FA">
        <w:rPr>
          <w:rFonts w:ascii="Times New Roman" w:eastAsia="Calibri" w:hAnsi="Times New Roman"/>
          <w:sz w:val="24"/>
          <w:szCs w:val="24"/>
          <w:lang w:val="bg-BG"/>
        </w:rPr>
        <w:t xml:space="preserve">, </w:t>
      </w:r>
      <w:r w:rsidRPr="007404FA">
        <w:rPr>
          <w:rFonts w:ascii="Times New Roman" w:eastAsia="Calibri" w:hAnsi="Times New Roman"/>
          <w:sz w:val="24"/>
          <w:szCs w:val="24"/>
          <w:lang w:val="bg-BG" w:bidi="bg-BG"/>
        </w:rPr>
        <w:t xml:space="preserve">т.е. централната директорийна услуга на групата. На виртуалния сървър </w:t>
      </w:r>
      <w:r w:rsidRPr="007404FA">
        <w:rPr>
          <w:rFonts w:ascii="Times New Roman" w:eastAsia="Calibri" w:hAnsi="Times New Roman"/>
          <w:sz w:val="24"/>
          <w:szCs w:val="24"/>
          <w:lang w:val="bg-BG"/>
        </w:rPr>
        <w:t>Active</w:t>
      </w:r>
      <w:r w:rsidRPr="007404FA">
        <w:rPr>
          <w:rFonts w:ascii="Times New Roman" w:eastAsia="Calibri" w:hAnsi="Times New Roman"/>
          <w:sz w:val="24"/>
          <w:szCs w:val="24"/>
          <w:lang w:val="bg-BG" w:bidi="bg-BG"/>
        </w:rPr>
        <w:t xml:space="preserve"> </w:t>
      </w:r>
      <w:r w:rsidRPr="007404FA">
        <w:rPr>
          <w:rFonts w:ascii="Times New Roman" w:eastAsia="Calibri" w:hAnsi="Times New Roman"/>
          <w:sz w:val="24"/>
          <w:szCs w:val="24"/>
          <w:lang w:val="bg-BG"/>
        </w:rPr>
        <w:t>Directory</w:t>
      </w:r>
      <w:r w:rsidRPr="007404FA">
        <w:rPr>
          <w:rFonts w:ascii="Times New Roman" w:eastAsia="Calibri" w:hAnsi="Times New Roman"/>
          <w:sz w:val="24"/>
          <w:szCs w:val="24"/>
          <w:lang w:val="bg-BG" w:bidi="bg-BG"/>
        </w:rPr>
        <w:t xml:space="preserve"> се съхраняват данни</w:t>
      </w:r>
      <w:r w:rsidR="00701E91" w:rsidRPr="007404FA">
        <w:rPr>
          <w:rFonts w:ascii="Times New Roman" w:eastAsia="Calibri" w:hAnsi="Times New Roman"/>
          <w:sz w:val="24"/>
          <w:szCs w:val="24"/>
          <w:lang w:val="bg-BG" w:bidi="bg-BG"/>
        </w:rPr>
        <w:t xml:space="preserve"> на лица, работещи за компании</w:t>
      </w:r>
      <w:r w:rsidR="00553661" w:rsidRPr="007404FA">
        <w:rPr>
          <w:rFonts w:ascii="Times New Roman" w:eastAsia="Calibri" w:hAnsi="Times New Roman"/>
          <w:sz w:val="24"/>
          <w:szCs w:val="24"/>
          <w:lang w:val="bg-BG" w:bidi="bg-BG"/>
        </w:rPr>
        <w:t xml:space="preserve"> – </w:t>
      </w:r>
      <w:r w:rsidRPr="007404FA">
        <w:rPr>
          <w:rFonts w:ascii="Times New Roman" w:eastAsia="Calibri" w:hAnsi="Times New Roman"/>
          <w:sz w:val="24"/>
          <w:szCs w:val="24"/>
          <w:lang w:val="bg-BG" w:bidi="bg-BG"/>
        </w:rPr>
        <w:t xml:space="preserve">част от нея. Това включва по-специално: имена; служебни данни за контакт (телефон, електронна поща и др.); доброволно качени профилни снимки; организационни данни (напр. заемана длъжност в компанията, преки ръководители, отдел и др.); принадлежност в административни групи; регистрационни данни (напр. последно вписване в системата/ите, регистриране на работно време и др.). В резултат на атаката вътрешните </w:t>
      </w:r>
      <w:r w:rsidR="00C12E6B">
        <w:rPr>
          <w:rFonts w:ascii="Times New Roman" w:eastAsia="Calibri" w:hAnsi="Times New Roman"/>
          <w:sz w:val="24"/>
          <w:szCs w:val="24"/>
          <w:lang w:val="bg-BG" w:bidi="bg-BG"/>
        </w:rPr>
        <w:t>ѝ</w:t>
      </w:r>
      <w:r w:rsidRPr="007404FA">
        <w:rPr>
          <w:rFonts w:ascii="Times New Roman" w:eastAsia="Calibri" w:hAnsi="Times New Roman"/>
          <w:sz w:val="24"/>
          <w:szCs w:val="24"/>
          <w:lang w:val="bg-BG" w:bidi="bg-BG"/>
        </w:rPr>
        <w:t xml:space="preserve"> системи не са налични или са налични само в ограничена степен. Съобщава </w:t>
      </w:r>
      <w:r w:rsidR="00C12E6B">
        <w:rPr>
          <w:rFonts w:ascii="Times New Roman" w:eastAsia="Calibri" w:hAnsi="Times New Roman"/>
          <w:sz w:val="24"/>
          <w:szCs w:val="24"/>
          <w:lang w:val="bg-BG" w:bidi="bg-BG"/>
        </w:rPr>
        <w:t>се, че първоначалната ситуация</w:t>
      </w:r>
      <w:r w:rsidRPr="007404FA">
        <w:rPr>
          <w:rFonts w:ascii="Times New Roman" w:eastAsia="Calibri" w:hAnsi="Times New Roman"/>
          <w:sz w:val="24"/>
          <w:szCs w:val="24"/>
          <w:lang w:val="bg-BG" w:bidi="bg-BG"/>
        </w:rPr>
        <w:t xml:space="preserve"> не показва изтичане на лични данни. С оглед на факта, че основното място на установяване на международната компания е в гр. Дюселдорф, Германия, КЗЛД инициира процедура по</w:t>
      </w:r>
      <w:r w:rsidR="00F06583" w:rsidRPr="007404FA">
        <w:rPr>
          <w:rFonts w:ascii="Times New Roman" w:eastAsia="Calibri" w:hAnsi="Times New Roman"/>
          <w:sz w:val="24"/>
          <w:szCs w:val="24"/>
          <w:lang w:val="bg-BG" w:bidi="bg-BG"/>
        </w:rPr>
        <w:t xml:space="preserve"> чл. </w:t>
      </w:r>
      <w:r w:rsidRPr="007404FA">
        <w:rPr>
          <w:rFonts w:ascii="Times New Roman" w:eastAsia="Calibri" w:hAnsi="Times New Roman"/>
          <w:sz w:val="24"/>
          <w:szCs w:val="24"/>
          <w:lang w:val="bg-BG" w:bidi="bg-BG"/>
        </w:rPr>
        <w:t xml:space="preserve">56 от </w:t>
      </w:r>
      <w:r w:rsidR="00B4402C" w:rsidRPr="007404FA">
        <w:rPr>
          <w:rFonts w:ascii="Times New Roman" w:eastAsia="Calibri" w:hAnsi="Times New Roman"/>
          <w:sz w:val="24"/>
          <w:szCs w:val="24"/>
          <w:lang w:val="bg-BG" w:bidi="bg-BG"/>
        </w:rPr>
        <w:t>ОРЗД</w:t>
      </w:r>
      <w:r w:rsidRPr="007404FA">
        <w:rPr>
          <w:rFonts w:ascii="Times New Roman" w:eastAsia="Calibri" w:hAnsi="Times New Roman"/>
          <w:sz w:val="24"/>
          <w:szCs w:val="24"/>
          <w:lang w:val="bg-BG" w:bidi="bg-BG"/>
        </w:rPr>
        <w:t xml:space="preserve"> за определяне на ВНО. Надзорният орган на Северен Рейн-Вестфалия се припознава като такъв и уведомява останалите ЗНО, че извършва разследване по случая. </w:t>
      </w:r>
    </w:p>
    <w:p w:rsidR="0063284A" w:rsidRPr="007404FA" w:rsidRDefault="0063284A" w:rsidP="00DB6B05">
      <w:pPr>
        <w:pStyle w:val="ListParagraph"/>
        <w:numPr>
          <w:ilvl w:val="0"/>
          <w:numId w:val="15"/>
        </w:numPr>
        <w:spacing w:after="0" w:line="360" w:lineRule="auto"/>
        <w:ind w:left="0" w:firstLine="709"/>
        <w:jc w:val="both"/>
        <w:rPr>
          <w:rFonts w:ascii="Times New Roman" w:eastAsia="Calibri" w:hAnsi="Times New Roman"/>
          <w:sz w:val="24"/>
          <w:szCs w:val="24"/>
          <w:lang w:val="bg-BG" w:bidi="bg-BG"/>
        </w:rPr>
      </w:pPr>
      <w:r w:rsidRPr="007404FA">
        <w:rPr>
          <w:rFonts w:ascii="Times New Roman" w:eastAsia="Calibri" w:hAnsi="Times New Roman"/>
          <w:sz w:val="24"/>
          <w:szCs w:val="24"/>
          <w:lang w:val="bg-BG" w:bidi="bg-BG"/>
        </w:rPr>
        <w:t>КЗЛД открива процедура по</w:t>
      </w:r>
      <w:r w:rsidR="00F06583" w:rsidRPr="007404FA">
        <w:rPr>
          <w:rFonts w:ascii="Times New Roman" w:eastAsia="Calibri" w:hAnsi="Times New Roman"/>
          <w:sz w:val="24"/>
          <w:szCs w:val="24"/>
          <w:lang w:val="bg-BG" w:bidi="bg-BG"/>
        </w:rPr>
        <w:t xml:space="preserve"> чл. </w:t>
      </w:r>
      <w:r w:rsidRPr="007404FA">
        <w:rPr>
          <w:rFonts w:ascii="Times New Roman" w:eastAsia="Calibri" w:hAnsi="Times New Roman"/>
          <w:sz w:val="24"/>
          <w:szCs w:val="24"/>
          <w:lang w:val="bg-BG" w:bidi="bg-BG"/>
        </w:rPr>
        <w:t>56 от Регламент (ЕС) 2016/679, с която сезира надзорния орган на Малта като водещ надзорен орган. Жалбата е подадена във връзка с използването на снимки на субекта на данни без неговото разрешение в сайт за запознанства и съответно създаването на неистински профил чрез тях. Субектът е отправил искане до админи</w:t>
      </w:r>
      <w:r w:rsidR="00E746E4" w:rsidRPr="007404FA">
        <w:rPr>
          <w:rFonts w:ascii="Times New Roman" w:eastAsia="Calibri" w:hAnsi="Times New Roman"/>
          <w:sz w:val="24"/>
          <w:szCs w:val="24"/>
          <w:lang w:val="bg-BG" w:bidi="bg-BG"/>
        </w:rPr>
        <w:t>страторите на сайтове снимките му</w:t>
      </w:r>
      <w:r w:rsidRPr="007404FA">
        <w:rPr>
          <w:rFonts w:ascii="Times New Roman" w:eastAsia="Calibri" w:hAnsi="Times New Roman"/>
          <w:sz w:val="24"/>
          <w:szCs w:val="24"/>
          <w:lang w:val="bg-BG" w:bidi="bg-BG"/>
        </w:rPr>
        <w:t xml:space="preserve"> да бъдат премахнати и да бъде преустан</w:t>
      </w:r>
      <w:r w:rsidR="00E746E4" w:rsidRPr="007404FA">
        <w:rPr>
          <w:rFonts w:ascii="Times New Roman" w:eastAsia="Calibri" w:hAnsi="Times New Roman"/>
          <w:sz w:val="24"/>
          <w:szCs w:val="24"/>
          <w:lang w:val="bg-BG" w:bidi="bg-BG"/>
        </w:rPr>
        <w:t>овено обработването на личните му</w:t>
      </w:r>
      <w:r w:rsidRPr="007404FA">
        <w:rPr>
          <w:rFonts w:ascii="Times New Roman" w:eastAsia="Calibri" w:hAnsi="Times New Roman"/>
          <w:sz w:val="24"/>
          <w:szCs w:val="24"/>
          <w:lang w:val="bg-BG" w:bidi="bg-BG"/>
        </w:rPr>
        <w:t xml:space="preserve"> данни, на което не е получил отговор. Независимо от това при свободно търсене в интернет</w:t>
      </w:r>
      <w:r w:rsidRPr="007404FA">
        <w:rPr>
          <w:rFonts w:ascii="Times New Roman" w:eastAsia="Calibri" w:hAnsi="Times New Roman"/>
          <w:sz w:val="24"/>
          <w:szCs w:val="24"/>
          <w:lang w:val="bg-BG"/>
        </w:rPr>
        <w:t xml:space="preserve"> </w:t>
      </w:r>
      <w:r w:rsidR="00E746E4" w:rsidRPr="007404FA">
        <w:rPr>
          <w:rFonts w:ascii="Times New Roman" w:eastAsia="Calibri" w:hAnsi="Times New Roman"/>
          <w:sz w:val="24"/>
          <w:szCs w:val="24"/>
          <w:lang w:val="bg-BG" w:bidi="bg-BG"/>
        </w:rPr>
        <w:t xml:space="preserve">снимките и името на субекта на данни </w:t>
      </w:r>
      <w:r w:rsidRPr="007404FA">
        <w:rPr>
          <w:rFonts w:ascii="Times New Roman" w:eastAsia="Calibri" w:hAnsi="Times New Roman"/>
          <w:sz w:val="24"/>
          <w:szCs w:val="24"/>
          <w:lang w:val="bg-BG" w:bidi="bg-BG"/>
        </w:rPr>
        <w:t xml:space="preserve">излизат в търсачките, като първоизточникът е единият от въпросните сайтове. </w:t>
      </w:r>
      <w:r w:rsidR="00E746E4" w:rsidRPr="007404FA">
        <w:rPr>
          <w:rFonts w:ascii="Times New Roman" w:eastAsia="Calibri" w:hAnsi="Times New Roman"/>
          <w:sz w:val="24"/>
          <w:szCs w:val="24"/>
          <w:lang w:val="bg-BG" w:bidi="bg-BG"/>
        </w:rPr>
        <w:t>Физическото лице</w:t>
      </w:r>
      <w:r w:rsidRPr="007404FA">
        <w:rPr>
          <w:rFonts w:ascii="Times New Roman" w:eastAsia="Calibri" w:hAnsi="Times New Roman"/>
          <w:sz w:val="24"/>
          <w:szCs w:val="24"/>
          <w:lang w:val="bg-BG" w:bidi="bg-BG"/>
        </w:rPr>
        <w:t xml:space="preserve"> твърди, че не е качвал</w:t>
      </w:r>
      <w:r w:rsidR="00E746E4" w:rsidRPr="007404FA">
        <w:rPr>
          <w:rFonts w:ascii="Times New Roman" w:eastAsia="Calibri" w:hAnsi="Times New Roman"/>
          <w:sz w:val="24"/>
          <w:szCs w:val="24"/>
          <w:lang w:val="bg-BG" w:bidi="bg-BG"/>
        </w:rPr>
        <w:t>о</w:t>
      </w:r>
      <w:r w:rsidRPr="007404FA">
        <w:rPr>
          <w:rFonts w:ascii="Times New Roman" w:eastAsia="Calibri" w:hAnsi="Times New Roman"/>
          <w:sz w:val="24"/>
          <w:szCs w:val="24"/>
          <w:lang w:val="bg-BG" w:bidi="bg-BG"/>
        </w:rPr>
        <w:t xml:space="preserve"> свои лични снимки в те</w:t>
      </w:r>
      <w:r w:rsidR="00E746E4" w:rsidRPr="007404FA">
        <w:rPr>
          <w:rFonts w:ascii="Times New Roman" w:eastAsia="Calibri" w:hAnsi="Times New Roman"/>
          <w:sz w:val="24"/>
          <w:szCs w:val="24"/>
          <w:lang w:val="bg-BG" w:bidi="bg-BG"/>
        </w:rPr>
        <w:t>зи уебсайтове и не желае името му</w:t>
      </w:r>
      <w:r w:rsidRPr="007404FA">
        <w:rPr>
          <w:rFonts w:ascii="Times New Roman" w:eastAsia="Calibri" w:hAnsi="Times New Roman"/>
          <w:sz w:val="24"/>
          <w:szCs w:val="24"/>
          <w:lang w:val="bg-BG" w:bidi="bg-BG"/>
        </w:rPr>
        <w:t xml:space="preserve"> да се асоциира с тези сайтове, особено имайки предвид предназначението на онлайн платформите.</w:t>
      </w:r>
      <w:r w:rsidR="0051544F">
        <w:rPr>
          <w:rFonts w:ascii="Times New Roman" w:eastAsia="Calibri" w:hAnsi="Times New Roman"/>
          <w:sz w:val="24"/>
          <w:szCs w:val="24"/>
          <w:lang w:val="bg-BG" w:bidi="bg-BG"/>
        </w:rPr>
        <w:t xml:space="preserve"> </w:t>
      </w:r>
      <w:r w:rsidRPr="007404FA">
        <w:rPr>
          <w:rFonts w:ascii="Times New Roman" w:eastAsia="Calibri" w:hAnsi="Times New Roman"/>
          <w:sz w:val="24"/>
          <w:szCs w:val="24"/>
          <w:lang w:val="bg-BG" w:bidi="bg-BG"/>
        </w:rPr>
        <w:t xml:space="preserve">Надзорният </w:t>
      </w:r>
      <w:r w:rsidRPr="007404FA">
        <w:rPr>
          <w:rFonts w:ascii="Times New Roman" w:eastAsia="Calibri" w:hAnsi="Times New Roman"/>
          <w:sz w:val="24"/>
          <w:szCs w:val="24"/>
          <w:lang w:val="bg-BG" w:bidi="bg-BG"/>
        </w:rPr>
        <w:lastRenderedPageBreak/>
        <w:t xml:space="preserve">орган на Малта се припознава като ВНО и осъществява контакт с администратора на лични данни, който отговаря, че не е предоставял снимките или давал разрешение за използването им от страна на интернет търсачките. Също така той се е свързал с длъжностното лице по защита на данните на една от големите интернет търсачки с искане снимките на жалбоподателя да бъдат премахнати от базите данни и резултатите от търсенето. Към момента тази информация е подадена на жалбоподателя и се </w:t>
      </w:r>
      <w:r w:rsidR="00CA7ED5" w:rsidRPr="007404FA">
        <w:rPr>
          <w:rFonts w:ascii="Times New Roman" w:eastAsia="Calibri" w:hAnsi="Times New Roman"/>
          <w:sz w:val="24"/>
          <w:szCs w:val="24"/>
          <w:lang w:val="bg-BG" w:bidi="bg-BG"/>
        </w:rPr>
        <w:t>очаква</w:t>
      </w:r>
      <w:r w:rsidRPr="007404FA">
        <w:rPr>
          <w:rFonts w:ascii="Times New Roman" w:eastAsia="Calibri" w:hAnsi="Times New Roman"/>
          <w:sz w:val="24"/>
          <w:szCs w:val="24"/>
          <w:lang w:val="bg-BG" w:bidi="bg-BG"/>
        </w:rPr>
        <w:t xml:space="preserve"> неговото становище по отговора на администратора на лични данни.</w:t>
      </w:r>
    </w:p>
    <w:p w:rsidR="00E42714" w:rsidRPr="007404FA" w:rsidRDefault="00E42714" w:rsidP="00DB6B05">
      <w:pPr>
        <w:spacing w:line="360" w:lineRule="auto"/>
        <w:ind w:firstLine="709"/>
        <w:jc w:val="both"/>
        <w:rPr>
          <w:rFonts w:ascii="Times New Roman" w:hAnsi="Times New Roman" w:cs="Times New Roman"/>
          <w:color w:val="FF0000"/>
          <w:sz w:val="24"/>
          <w:szCs w:val="24"/>
        </w:rPr>
      </w:pPr>
      <w:r w:rsidRPr="007404FA">
        <w:rPr>
          <w:rFonts w:ascii="Times New Roman" w:hAnsi="Times New Roman" w:cs="Times New Roman"/>
          <w:sz w:val="24"/>
          <w:szCs w:val="24"/>
        </w:rPr>
        <w:t>Някои от п</w:t>
      </w:r>
      <w:r w:rsidR="00EE1235" w:rsidRPr="007404FA">
        <w:rPr>
          <w:rFonts w:ascii="Times New Roman" w:hAnsi="Times New Roman" w:cs="Times New Roman"/>
          <w:sz w:val="24"/>
          <w:szCs w:val="24"/>
        </w:rPr>
        <w:t xml:space="preserve">оставените по-интересни въпроси, свързани с взаимопомощ, </w:t>
      </w:r>
      <w:r w:rsidR="000D325E" w:rsidRPr="007404FA">
        <w:rPr>
          <w:rFonts w:ascii="Times New Roman" w:hAnsi="Times New Roman" w:cs="Times New Roman"/>
          <w:sz w:val="24"/>
          <w:szCs w:val="24"/>
        </w:rPr>
        <w:t>се отнасят до</w:t>
      </w:r>
      <w:r w:rsidRPr="007404FA">
        <w:rPr>
          <w:rFonts w:ascii="Times New Roman" w:hAnsi="Times New Roman" w:cs="Times New Roman"/>
          <w:sz w:val="24"/>
          <w:szCs w:val="24"/>
        </w:rPr>
        <w:t xml:space="preserve"> видеонаблюдението за целите на легитимния интерес и възможността за упражняване на правото на възражение; използването на корективни мерки при леки нарушения; обработването на лични данни при използване на вътрешни системи за докладване в автомобили и дронове; използването на видеонаблюдение от местното управление с оглед на защитата на обществения ред и сигурност; повторното използване на публикувани лични данни; предоставянето на достъп до информация, свързана с поддръжката/поправката на автомобил втора употреба; използването на камери по време на дистанционно провеждане на изпити в училищата и университетите; изпращането на непоискани електронни съобщения на физически лица; инсталирането на камери за видеонаблюдение в стаите на старчески домове, болници и детски градини; обработване на лични данни за идентификация на водач на автомобил, з</w:t>
      </w:r>
      <w:r w:rsidR="0051544F">
        <w:rPr>
          <w:rFonts w:ascii="Times New Roman" w:hAnsi="Times New Roman" w:cs="Times New Roman"/>
          <w:sz w:val="24"/>
          <w:szCs w:val="24"/>
        </w:rPr>
        <w:t>акупен на търг; тълкуването на „</w:t>
      </w:r>
      <w:r w:rsidRPr="007404FA">
        <w:rPr>
          <w:rFonts w:ascii="Times New Roman" w:hAnsi="Times New Roman" w:cs="Times New Roman"/>
          <w:sz w:val="24"/>
          <w:szCs w:val="24"/>
        </w:rPr>
        <w:t>систем</w:t>
      </w:r>
      <w:r w:rsidR="0051544F">
        <w:rPr>
          <w:rFonts w:ascii="Times New Roman" w:hAnsi="Times New Roman" w:cs="Times New Roman"/>
          <w:sz w:val="24"/>
          <w:szCs w:val="24"/>
        </w:rPr>
        <w:t>а за автоматизирано обработване“</w:t>
      </w:r>
      <w:r w:rsidRPr="007404FA">
        <w:rPr>
          <w:rFonts w:ascii="Times New Roman" w:hAnsi="Times New Roman" w:cs="Times New Roman"/>
          <w:sz w:val="24"/>
          <w:szCs w:val="24"/>
        </w:rPr>
        <w:t xml:space="preserve"> съгласно</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 xml:space="preserve">25 от </w:t>
      </w:r>
      <w:r w:rsidR="0051544F">
        <w:rPr>
          <w:rFonts w:ascii="Times New Roman" w:hAnsi="Times New Roman" w:cs="Times New Roman"/>
          <w:sz w:val="24"/>
          <w:szCs w:val="24"/>
        </w:rPr>
        <w:t>Д</w:t>
      </w:r>
      <w:r w:rsidRPr="007404FA">
        <w:rPr>
          <w:rFonts w:ascii="Times New Roman" w:hAnsi="Times New Roman" w:cs="Times New Roman"/>
          <w:sz w:val="24"/>
          <w:szCs w:val="24"/>
        </w:rPr>
        <w:t>иректива 2016/680; изискването за предоставяне на свидетелство за съдимост преди назначаване на работа; обработването на биометрични данни в затвора; определянето на отношенията между доставчик на платежни услуги и други фирми; възможността на длъжностното лице по защита на данните да представлява администратор/обработващ в производство пред националния надзорен орган; отчетността при изпращането на непоискани съобщения; приложението на</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4 от Директива 2002/58/ЕО относно обработката на лични данни и защита на правото на неприкосновеност на личния живот в сектора на електронните комуникации; практиката на КЗЛД по отношение на въвеждането на допълнителни мерки за защита при трансферирането на IP адрес в трета страна; освобождаването на длъжностното лице по защита на данните.</w:t>
      </w:r>
    </w:p>
    <w:p w:rsidR="00E42714" w:rsidRPr="007404FA" w:rsidRDefault="00E42714"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По отношение на писмените процедури за гласуване, проведени през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КЗЛД гласува по 65 документа на ЕКЗД, като основната част от тях са свързани със задълженията на Комитета по:</w:t>
      </w:r>
    </w:p>
    <w:p w:rsidR="00E42714" w:rsidRPr="007404FA" w:rsidRDefault="00E42714" w:rsidP="00DB6B05">
      <w:pPr>
        <w:numPr>
          <w:ilvl w:val="0"/>
          <w:numId w:val="25"/>
        </w:numPr>
        <w:suppressAutoHyphens/>
        <w:autoSpaceDN w:val="0"/>
        <w:spacing w:line="360" w:lineRule="auto"/>
        <w:ind w:left="0" w:firstLine="709"/>
        <w:jc w:val="both"/>
        <w:textAlignment w:val="baseline"/>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 xml:space="preserve">чл. 64, </w:t>
      </w:r>
      <w:r w:rsidR="0051544F">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1, б. „б“ от ОРЗД</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оценка на съответствието на проект на кодекс на поведение, негово изменение или допълнение с регламента;</w:t>
      </w:r>
    </w:p>
    <w:p w:rsidR="00E42714" w:rsidRPr="007404FA" w:rsidRDefault="00E42714" w:rsidP="00DB6B05">
      <w:pPr>
        <w:numPr>
          <w:ilvl w:val="0"/>
          <w:numId w:val="25"/>
        </w:numPr>
        <w:suppressAutoHyphens/>
        <w:autoSpaceDN w:val="0"/>
        <w:spacing w:line="360" w:lineRule="auto"/>
        <w:ind w:left="0" w:firstLine="709"/>
        <w:jc w:val="both"/>
        <w:textAlignment w:val="baseline"/>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lastRenderedPageBreak/>
        <w:t xml:space="preserve">чл. 64, </w:t>
      </w:r>
      <w:r w:rsidR="0051544F">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1, б. „в“ от ОРЗД</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одобряване на изискванията за акредитиране на орган за наблюдение на кодекс за поведение съгласно</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 xml:space="preserve">41, </w:t>
      </w:r>
      <w:r w:rsidR="0051544F">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3, респ. за акредитиране на сертифициращ орган съгласно</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 xml:space="preserve">43, </w:t>
      </w:r>
      <w:r w:rsidR="0051544F">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3 от Регламента или на критериите за сертифициране, посочени в</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 xml:space="preserve">42, </w:t>
      </w:r>
      <w:r w:rsidR="0051544F">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xml:space="preserve">5 от ОРЗД; </w:t>
      </w:r>
    </w:p>
    <w:p w:rsidR="00E42714" w:rsidRPr="007404FA" w:rsidRDefault="00E42714" w:rsidP="00DB6B05">
      <w:pPr>
        <w:numPr>
          <w:ilvl w:val="0"/>
          <w:numId w:val="25"/>
        </w:numPr>
        <w:suppressAutoHyphens/>
        <w:autoSpaceDN w:val="0"/>
        <w:spacing w:line="360" w:lineRule="auto"/>
        <w:ind w:left="0" w:firstLine="709"/>
        <w:jc w:val="both"/>
        <w:textAlignment w:val="baseline"/>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 xml:space="preserve">чл. 64, </w:t>
      </w:r>
      <w:r w:rsidR="0051544F">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1, б „е“</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одобряване на задължителни фирмени правила по смисъла на</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47 от ОРЗД.</w:t>
      </w:r>
    </w:p>
    <w:p w:rsidR="00E42714" w:rsidRPr="007404FA" w:rsidRDefault="00E42714"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С оглед насърчаване обществената информираност, макар че липсва изрично задължение за превод на документи, свързани с механизма за сътрудничество и съгласуваност, традиционно КЗЛД подпомага ЕКЗД и в това отношение. В резултат на тази дейност българските граждани имат възможност своевременно да се запознаят с текста на съответния документ на български език, което спомага за тяхното по-добро информиране и възможности за </w:t>
      </w:r>
      <w:r w:rsidR="00A84E0A" w:rsidRPr="007404FA">
        <w:rPr>
          <w:rFonts w:ascii="Times New Roman" w:hAnsi="Times New Roman" w:cs="Times New Roman"/>
          <w:sz w:val="24"/>
          <w:szCs w:val="24"/>
        </w:rPr>
        <w:t>запознаване с</w:t>
      </w:r>
      <w:r w:rsidRPr="007404FA">
        <w:rPr>
          <w:rFonts w:ascii="Times New Roman" w:hAnsi="Times New Roman" w:cs="Times New Roman"/>
          <w:sz w:val="24"/>
          <w:szCs w:val="24"/>
        </w:rPr>
        <w:t xml:space="preserve"> приетите документи на ЕКЗД, които са от значение за всички заинтересовани лица в сферата на защитата на личните данни и неприкосновеността на личния живот. За отчетния период са извършени 42 редакции на документи на ЕКЗД, като основната част от тях са представлявали насоки, становища, изявления и работни документи, които са част от основните инструменти на Комитета, свързани с неговите задачи съгласно</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70 от ОРЗД.</w:t>
      </w:r>
    </w:p>
    <w:p w:rsidR="00A32EBE" w:rsidRPr="007404FA" w:rsidRDefault="00A32EBE" w:rsidP="00DB6B05">
      <w:pPr>
        <w:spacing w:line="259" w:lineRule="auto"/>
        <w:rPr>
          <w:rFonts w:ascii="Times New Roman" w:hAnsi="Times New Roman" w:cs="Times New Roman"/>
          <w:sz w:val="24"/>
          <w:szCs w:val="24"/>
        </w:rPr>
      </w:pPr>
      <w:r w:rsidRPr="007404FA">
        <w:rPr>
          <w:rFonts w:ascii="Times New Roman" w:hAnsi="Times New Roman" w:cs="Times New Roman"/>
          <w:sz w:val="24"/>
          <w:szCs w:val="24"/>
        </w:rPr>
        <w:br w:type="page"/>
      </w:r>
    </w:p>
    <w:p w:rsidR="00E42714" w:rsidRPr="00783F99" w:rsidRDefault="00E42714" w:rsidP="00783F99">
      <w:pPr>
        <w:pStyle w:val="Heading1"/>
        <w:spacing w:before="0" w:line="360" w:lineRule="auto"/>
        <w:ind w:firstLine="709"/>
        <w:rPr>
          <w:rFonts w:ascii="Times New Roman" w:hAnsi="Times New Roman" w:cs="Times New Roman"/>
          <w:sz w:val="24"/>
          <w:szCs w:val="24"/>
        </w:rPr>
      </w:pPr>
      <w:bookmarkStart w:id="6" w:name="_Toc130915383"/>
      <w:r w:rsidRPr="00783F99">
        <w:rPr>
          <w:rFonts w:ascii="Times New Roman" w:hAnsi="Times New Roman" w:cs="Times New Roman"/>
          <w:sz w:val="24"/>
          <w:szCs w:val="24"/>
        </w:rPr>
        <w:lastRenderedPageBreak/>
        <w:t>VII. МЕЖДУНАРОДНА ДЕЙНОСТ</w:t>
      </w:r>
      <w:bookmarkEnd w:id="6"/>
    </w:p>
    <w:p w:rsidR="00E42714" w:rsidRPr="007404FA" w:rsidRDefault="00E42714" w:rsidP="00DB6B05">
      <w:pPr>
        <w:spacing w:line="360" w:lineRule="auto"/>
        <w:ind w:firstLine="709"/>
        <w:jc w:val="both"/>
        <w:rPr>
          <w:rFonts w:ascii="Times New Roman" w:eastAsia="Calibri" w:hAnsi="Times New Roman" w:cs="Times New Roman"/>
          <w:sz w:val="24"/>
          <w:szCs w:val="24"/>
        </w:rPr>
      </w:pPr>
    </w:p>
    <w:p w:rsidR="00E42714" w:rsidRPr="007404FA" w:rsidRDefault="00E42714"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През отчетния период</w:t>
      </w:r>
      <w:r w:rsidR="00B060EF" w:rsidRPr="007404FA">
        <w:rPr>
          <w:rFonts w:ascii="Times New Roman" w:eastAsia="Calibri" w:hAnsi="Times New Roman" w:cs="Times New Roman"/>
          <w:sz w:val="24"/>
          <w:szCs w:val="24"/>
        </w:rPr>
        <w:t>, както през 2021</w:t>
      </w:r>
      <w:r w:rsidR="00F06583" w:rsidRPr="007404FA">
        <w:rPr>
          <w:rFonts w:ascii="Times New Roman" w:eastAsia="Calibri" w:hAnsi="Times New Roman" w:cs="Times New Roman"/>
          <w:sz w:val="24"/>
          <w:szCs w:val="24"/>
        </w:rPr>
        <w:t> г.</w:t>
      </w:r>
      <w:r w:rsidR="00B060EF" w:rsidRPr="007404FA">
        <w:rPr>
          <w:rFonts w:ascii="Times New Roman" w:eastAsia="Calibri" w:hAnsi="Times New Roman" w:cs="Times New Roman"/>
          <w:sz w:val="24"/>
          <w:szCs w:val="24"/>
        </w:rPr>
        <w:t>,</w:t>
      </w:r>
      <w:r w:rsidRPr="007404FA">
        <w:rPr>
          <w:rFonts w:ascii="Times New Roman" w:eastAsia="Calibri" w:hAnsi="Times New Roman" w:cs="Times New Roman"/>
          <w:sz w:val="24"/>
          <w:szCs w:val="24"/>
        </w:rPr>
        <w:t xml:space="preserve"> приоритет остава участието във всички международни формати, обединяващи сродни органи по защита на данните, които са провеждали онлайн заседания или в рамките на които е обменена интензивна кореспонденция по актуални теми от сферата на защитата на личните данни. Обстоятелството, че през по-голямата част от отчетния период заседанията по международна линия се провеждат дистанционно, създава условия за активно участие в реално време в по-голям от очаквания брой международни мероприятия в сферата на защитата на личните данни. В резултат на тази активна международна дейност са изразени становища/позиции и е осъществено участие в различни международни инициативи, участия в заседания, подготвени позиции и подготвени отговори на чуждестранни запитвания</w:t>
      </w:r>
      <w:r w:rsidR="00496FCB" w:rsidRPr="007404FA">
        <w:rPr>
          <w:rFonts w:ascii="Times New Roman" w:eastAsia="Calibri" w:hAnsi="Times New Roman" w:cs="Times New Roman"/>
          <w:sz w:val="24"/>
          <w:szCs w:val="24"/>
        </w:rPr>
        <w:t>, вкл. и участие в механизма за сътрудничество и съгласуваност чрез ИВСП</w:t>
      </w:r>
      <w:r w:rsidR="00553661" w:rsidRPr="007404FA">
        <w:rPr>
          <w:rFonts w:ascii="Times New Roman" w:eastAsia="Calibri" w:hAnsi="Times New Roman" w:cs="Times New Roman"/>
          <w:sz w:val="24"/>
          <w:szCs w:val="24"/>
        </w:rPr>
        <w:t xml:space="preserve"> – </w:t>
      </w:r>
      <w:r w:rsidR="00496FCB" w:rsidRPr="007404FA">
        <w:rPr>
          <w:rFonts w:ascii="Times New Roman" w:eastAsia="Calibri" w:hAnsi="Times New Roman" w:cs="Times New Roman"/>
          <w:sz w:val="24"/>
          <w:szCs w:val="24"/>
        </w:rPr>
        <w:t>общо 658</w:t>
      </w:r>
      <w:r w:rsidR="00D1189D" w:rsidRPr="007404FA">
        <w:rPr>
          <w:rFonts w:ascii="Times New Roman" w:eastAsia="Calibri" w:hAnsi="Times New Roman" w:cs="Times New Roman"/>
          <w:sz w:val="24"/>
          <w:szCs w:val="24"/>
        </w:rPr>
        <w:t> бр.</w:t>
      </w:r>
      <w:r w:rsidR="00496FCB" w:rsidRPr="007404FA">
        <w:rPr>
          <w:rFonts w:ascii="Times New Roman" w:eastAsia="Calibri" w:hAnsi="Times New Roman" w:cs="Times New Roman"/>
          <w:sz w:val="24"/>
          <w:szCs w:val="24"/>
        </w:rPr>
        <w:t xml:space="preserve"> </w:t>
      </w:r>
    </w:p>
    <w:p w:rsidR="00B31E64" w:rsidRPr="007404FA" w:rsidRDefault="00B31E64" w:rsidP="00DB6B05">
      <w:pPr>
        <w:spacing w:line="360" w:lineRule="auto"/>
        <w:ind w:firstLine="709"/>
        <w:jc w:val="both"/>
        <w:rPr>
          <w:rFonts w:ascii="Times New Roman" w:eastAsia="Calibri" w:hAnsi="Times New Roman" w:cs="Times New Roman"/>
          <w:sz w:val="24"/>
          <w:szCs w:val="24"/>
        </w:rPr>
      </w:pPr>
    </w:p>
    <w:p w:rsidR="00E42714" w:rsidRPr="007404FA" w:rsidRDefault="00E42714" w:rsidP="00DB6B05">
      <w:pPr>
        <w:numPr>
          <w:ilvl w:val="0"/>
          <w:numId w:val="3"/>
        </w:numPr>
        <w:tabs>
          <w:tab w:val="left" w:pos="1134"/>
        </w:tabs>
        <w:suppressAutoHyphens/>
        <w:autoSpaceDN w:val="0"/>
        <w:spacing w:line="360" w:lineRule="auto"/>
        <w:ind w:left="0" w:firstLine="709"/>
        <w:jc w:val="both"/>
        <w:textAlignment w:val="baseline"/>
        <w:rPr>
          <w:rFonts w:ascii="Times New Roman" w:eastAsia="Calibri" w:hAnsi="Times New Roman" w:cs="Times New Roman"/>
          <w:b/>
          <w:sz w:val="24"/>
          <w:szCs w:val="24"/>
        </w:rPr>
      </w:pPr>
      <w:r w:rsidRPr="007404FA">
        <w:rPr>
          <w:rFonts w:ascii="Times New Roman" w:eastAsia="Calibri" w:hAnsi="Times New Roman" w:cs="Times New Roman"/>
          <w:b/>
          <w:sz w:val="24"/>
          <w:szCs w:val="24"/>
        </w:rPr>
        <w:t>Участие в механизма за координиран надзор на информационните системи на ЕС.</w:t>
      </w:r>
    </w:p>
    <w:p w:rsidR="00E42714" w:rsidRPr="007404FA" w:rsidRDefault="00E42714"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С оглед постигане фундаменталните цели на Европейския съюз са създадени редица европейски широкомащабни информационни системи. Някои от тези системи включват огромно количество данни</w:t>
      </w:r>
      <w:r w:rsidR="00E06D6E">
        <w:rPr>
          <w:rFonts w:ascii="Times New Roman" w:eastAsia="Calibri" w:hAnsi="Times New Roman" w:cs="Times New Roman"/>
          <w:sz w:val="24"/>
          <w:szCs w:val="24"/>
        </w:rPr>
        <w:t xml:space="preserve"> – </w:t>
      </w:r>
      <w:r w:rsidRPr="007404FA">
        <w:rPr>
          <w:rFonts w:ascii="Times New Roman" w:eastAsia="Calibri" w:hAnsi="Times New Roman" w:cs="Times New Roman"/>
          <w:sz w:val="24"/>
          <w:szCs w:val="24"/>
        </w:rPr>
        <w:t xml:space="preserve">например Евродак съдържа пръстови отпечатъци на повече от два милиона души, а </w:t>
      </w:r>
      <w:r w:rsidR="007E16E5" w:rsidRPr="007404FA">
        <w:rPr>
          <w:rFonts w:ascii="Times New Roman" w:eastAsia="Calibri" w:hAnsi="Times New Roman" w:cs="Times New Roman"/>
          <w:sz w:val="24"/>
          <w:szCs w:val="24"/>
        </w:rPr>
        <w:t>визовата информационна система (</w:t>
      </w:r>
      <w:r w:rsidRPr="007404FA">
        <w:rPr>
          <w:rFonts w:ascii="Times New Roman" w:eastAsia="Calibri" w:hAnsi="Times New Roman" w:cs="Times New Roman"/>
          <w:sz w:val="24"/>
          <w:szCs w:val="24"/>
        </w:rPr>
        <w:t>ВИС</w:t>
      </w:r>
      <w:r w:rsidR="007E16E5" w:rsidRPr="007404FA">
        <w:rPr>
          <w:rFonts w:ascii="Times New Roman" w:eastAsia="Calibri" w:hAnsi="Times New Roman" w:cs="Times New Roman"/>
          <w:sz w:val="24"/>
          <w:szCs w:val="24"/>
        </w:rPr>
        <w:t>)</w:t>
      </w:r>
      <w:r w:rsidRPr="007404FA">
        <w:rPr>
          <w:rFonts w:ascii="Times New Roman" w:eastAsia="Calibri" w:hAnsi="Times New Roman" w:cs="Times New Roman"/>
          <w:sz w:val="24"/>
          <w:szCs w:val="24"/>
        </w:rPr>
        <w:t xml:space="preserve"> проследява милиони молби за визи годишно. Осъществяването на надзор относно законосъобразното обработване на лични данни в тях се споделя между националните органи за защита на данните и ЕНОЗД. За да осигурят високо и постоянно ниво на защита, националните ОЗД и ЕНОЗД работят заедно в координация на надзора.</w:t>
      </w:r>
    </w:p>
    <w:p w:rsidR="00E42714" w:rsidRPr="007404FA" w:rsidRDefault="00E42714"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Сред общите теми на всички заседания на съвместните надзорни формати (съвместни надзорни органи, координационни групи за надзор, комитет за координира</w:t>
      </w:r>
      <w:r w:rsidR="00342777" w:rsidRPr="007404FA">
        <w:rPr>
          <w:rFonts w:ascii="Times New Roman" w:eastAsia="Calibri" w:hAnsi="Times New Roman" w:cs="Times New Roman"/>
          <w:sz w:val="24"/>
          <w:szCs w:val="24"/>
        </w:rPr>
        <w:t>н</w:t>
      </w:r>
      <w:r w:rsidRPr="007404FA">
        <w:rPr>
          <w:rFonts w:ascii="Times New Roman" w:eastAsia="Calibri" w:hAnsi="Times New Roman" w:cs="Times New Roman"/>
          <w:sz w:val="24"/>
          <w:szCs w:val="24"/>
        </w:rPr>
        <w:t xml:space="preserve"> надзор) през отчетната година са текущата промяна в осъществяването на координиран надзор над отделните широкомащабни информационни системи и преминаването му към Комитета за координиран надзор </w:t>
      </w:r>
      <w:r w:rsidR="00366260" w:rsidRPr="007404FA">
        <w:rPr>
          <w:rFonts w:ascii="Times New Roman" w:eastAsia="Calibri" w:hAnsi="Times New Roman" w:cs="Times New Roman"/>
          <w:sz w:val="24"/>
          <w:szCs w:val="24"/>
        </w:rPr>
        <w:t xml:space="preserve">(ККН) </w:t>
      </w:r>
      <w:r w:rsidR="00E94CB3" w:rsidRPr="007404FA">
        <w:rPr>
          <w:rFonts w:ascii="Times New Roman" w:eastAsia="Calibri" w:hAnsi="Times New Roman" w:cs="Times New Roman"/>
          <w:sz w:val="24"/>
          <w:szCs w:val="24"/>
        </w:rPr>
        <w:t>към</w:t>
      </w:r>
      <w:r w:rsidRPr="007404FA">
        <w:rPr>
          <w:rFonts w:ascii="Times New Roman" w:eastAsia="Calibri" w:hAnsi="Times New Roman" w:cs="Times New Roman"/>
          <w:sz w:val="24"/>
          <w:szCs w:val="24"/>
        </w:rPr>
        <w:t xml:space="preserve"> ЕКЗД. Акценти в работата на всички формати са докладването на одитните дейности на ЕНОЗД и дейностите по обработване на данни в различните системи от страна на Европейската агенция за оперативното управление на широкомащабни информационни системи в пространството на свобода, сигурност и правосъдие през 2022</w:t>
      </w:r>
      <w:r w:rsidR="00F06583" w:rsidRPr="007404FA">
        <w:rPr>
          <w:rFonts w:ascii="Times New Roman" w:eastAsia="Calibri" w:hAnsi="Times New Roman" w:cs="Times New Roman"/>
          <w:sz w:val="24"/>
          <w:szCs w:val="24"/>
        </w:rPr>
        <w:t> г.</w:t>
      </w:r>
    </w:p>
    <w:p w:rsidR="00E42714" w:rsidRPr="007404FA" w:rsidRDefault="00E42714"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lastRenderedPageBreak/>
        <w:t>На 31 май 2022</w:t>
      </w:r>
      <w:r w:rsidR="00F06583" w:rsidRPr="007404FA">
        <w:rPr>
          <w:rFonts w:ascii="Times New Roman" w:eastAsia="Calibri" w:hAnsi="Times New Roman" w:cs="Times New Roman"/>
          <w:sz w:val="24"/>
          <w:szCs w:val="24"/>
        </w:rPr>
        <w:t> г.</w:t>
      </w:r>
      <w:r w:rsidRPr="007404FA">
        <w:rPr>
          <w:rFonts w:ascii="Times New Roman" w:eastAsia="Calibri" w:hAnsi="Times New Roman" w:cs="Times New Roman"/>
          <w:sz w:val="24"/>
          <w:szCs w:val="24"/>
        </w:rPr>
        <w:t xml:space="preserve"> е проведено последното заседание на Съвета за сътрудничество на Eвропол. През изминали</w:t>
      </w:r>
      <w:r w:rsidR="00C764AC" w:rsidRPr="007404FA">
        <w:rPr>
          <w:rFonts w:ascii="Times New Roman" w:eastAsia="Calibri" w:hAnsi="Times New Roman" w:cs="Times New Roman"/>
          <w:sz w:val="24"/>
          <w:szCs w:val="24"/>
        </w:rPr>
        <w:t>те четири години той изпълнява</w:t>
      </w:r>
      <w:r w:rsidRPr="007404FA">
        <w:rPr>
          <w:rFonts w:ascii="Times New Roman" w:eastAsia="Calibri" w:hAnsi="Times New Roman" w:cs="Times New Roman"/>
          <w:sz w:val="24"/>
          <w:szCs w:val="24"/>
        </w:rPr>
        <w:t xml:space="preserve"> основната си цел по извършване на преглед на дейностите на Eвропол за гарантиране на правата на лицата при съхраняване, обработване и използване на лични данни и упражняване на контрол върху допустимостта на предаването на данни, постъпващи от Eвропол. Чрез надзора </w:t>
      </w:r>
      <w:r w:rsidR="0051544F">
        <w:rPr>
          <w:rFonts w:ascii="Times New Roman" w:eastAsia="Calibri" w:hAnsi="Times New Roman" w:cs="Times New Roman"/>
          <w:sz w:val="24"/>
          <w:szCs w:val="24"/>
        </w:rPr>
        <w:t>за защита на данните на Eвропол</w:t>
      </w:r>
      <w:r w:rsidRPr="007404FA">
        <w:rPr>
          <w:rFonts w:ascii="Times New Roman" w:eastAsia="Calibri" w:hAnsi="Times New Roman" w:cs="Times New Roman"/>
          <w:sz w:val="24"/>
          <w:szCs w:val="24"/>
        </w:rPr>
        <w:t xml:space="preserve"> се гарантира, че е намерен правилният баланс между правата за защита на данните и ключовия обществен интерес на сигурността. Съществен аспект на този надзор е сътрудничеството на Европейския надзорен орган по защита на данните с националните надзорни органи</w:t>
      </w:r>
      <w:r w:rsidR="0051544F">
        <w:rPr>
          <w:rFonts w:ascii="Times New Roman" w:eastAsia="Calibri" w:hAnsi="Times New Roman" w:cs="Times New Roman"/>
          <w:sz w:val="24"/>
          <w:szCs w:val="24"/>
        </w:rPr>
        <w:t>,</w:t>
      </w:r>
      <w:r w:rsidRPr="007404FA">
        <w:rPr>
          <w:rFonts w:ascii="Times New Roman" w:eastAsia="Calibri" w:hAnsi="Times New Roman" w:cs="Times New Roman"/>
          <w:sz w:val="24"/>
          <w:szCs w:val="24"/>
        </w:rPr>
        <w:t xml:space="preserve"> и по-специално</w:t>
      </w:r>
      <w:r w:rsidR="0051544F">
        <w:rPr>
          <w:rFonts w:ascii="Times New Roman" w:eastAsia="Calibri" w:hAnsi="Times New Roman" w:cs="Times New Roman"/>
          <w:sz w:val="24"/>
          <w:szCs w:val="24"/>
        </w:rPr>
        <w:t>,</w:t>
      </w:r>
      <w:r w:rsidRPr="007404FA">
        <w:rPr>
          <w:rFonts w:ascii="Times New Roman" w:eastAsia="Calibri" w:hAnsi="Times New Roman" w:cs="Times New Roman"/>
          <w:sz w:val="24"/>
          <w:szCs w:val="24"/>
        </w:rPr>
        <w:t xml:space="preserve"> в рамките на Съвета за сътрудничество на Eвропол, като форум със съвещателни функции за обсъждане на общи въпроси, разработване на насоки и обобщаване на добри практики. </w:t>
      </w:r>
    </w:p>
    <w:p w:rsidR="00E42714" w:rsidRPr="007404FA" w:rsidRDefault="00E42714"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По си</w:t>
      </w:r>
      <w:r w:rsidR="0051544F">
        <w:rPr>
          <w:rFonts w:ascii="Times New Roman" w:eastAsia="Calibri" w:hAnsi="Times New Roman" w:cs="Times New Roman"/>
          <w:sz w:val="24"/>
          <w:szCs w:val="24"/>
        </w:rPr>
        <w:t>лата на изменената правна рамка</w:t>
      </w:r>
      <w:r w:rsidRPr="007404FA">
        <w:rPr>
          <w:rFonts w:ascii="Times New Roman" w:eastAsia="Calibri" w:hAnsi="Times New Roman" w:cs="Times New Roman"/>
          <w:sz w:val="24"/>
          <w:szCs w:val="24"/>
        </w:rPr>
        <w:t xml:space="preserve"> координираният надзор на Европол се осъществява от Комитета за координиран надзор, създаден по силата на Регламент (ЕС) 2018/1725. По врем</w:t>
      </w:r>
      <w:r w:rsidR="0051544F">
        <w:rPr>
          <w:rFonts w:ascii="Times New Roman" w:eastAsia="Calibri" w:hAnsi="Times New Roman" w:cs="Times New Roman"/>
          <w:sz w:val="24"/>
          <w:szCs w:val="24"/>
        </w:rPr>
        <w:t>е на заседанието е приет Докладът</w:t>
      </w:r>
      <w:r w:rsidRPr="007404FA">
        <w:rPr>
          <w:rFonts w:ascii="Times New Roman" w:eastAsia="Calibri" w:hAnsi="Times New Roman" w:cs="Times New Roman"/>
          <w:sz w:val="24"/>
          <w:szCs w:val="24"/>
        </w:rPr>
        <w:t xml:space="preserve"> за дейността на Съвета за периода 2021</w:t>
      </w:r>
      <w:r w:rsidR="0051544F">
        <w:rPr>
          <w:rFonts w:ascii="Times New Roman" w:eastAsia="Calibri" w:hAnsi="Times New Roman" w:cs="Times New Roman"/>
          <w:sz w:val="24"/>
          <w:szCs w:val="24"/>
        </w:rPr>
        <w:t> </w:t>
      </w:r>
      <w:r w:rsidR="00553661" w:rsidRPr="007404FA">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2022</w:t>
      </w:r>
      <w:r w:rsidR="00F06583" w:rsidRPr="007404FA">
        <w:rPr>
          <w:rFonts w:ascii="Times New Roman" w:eastAsia="Calibri" w:hAnsi="Times New Roman" w:cs="Times New Roman"/>
          <w:sz w:val="24"/>
          <w:szCs w:val="24"/>
        </w:rPr>
        <w:t> г.</w:t>
      </w:r>
      <w:r w:rsidRPr="007404FA">
        <w:rPr>
          <w:rFonts w:ascii="Times New Roman" w:eastAsia="Calibri" w:hAnsi="Times New Roman" w:cs="Times New Roman"/>
          <w:sz w:val="24"/>
          <w:szCs w:val="24"/>
        </w:rPr>
        <w:t xml:space="preserve"> Представени са Становищата на ЕНОЗД относно: Предложението за Регламент за автоматизиран обмен на данни за целите на полицейското сътрудничество („Прюм II“) и Предварителната консултация на Европол относно пилотния проект за Европейската система за индексиране на полицейските регистри. В допълнение е представено и Решението на ЕНОЗД относно съхраняване от Европол на набори от данни на субекти на данни без категоризация, както и напред</w:t>
      </w:r>
      <w:r w:rsidR="0051544F">
        <w:rPr>
          <w:rFonts w:ascii="Times New Roman" w:eastAsia="Calibri" w:hAnsi="Times New Roman" w:cs="Times New Roman"/>
          <w:sz w:val="24"/>
          <w:szCs w:val="24"/>
        </w:rPr>
        <w:t>ъкът по изпълнението на проект SIRIUS</w:t>
      </w:r>
      <w:r w:rsidRPr="007404FA">
        <w:rPr>
          <w:rFonts w:ascii="Times New Roman" w:eastAsia="Calibri" w:hAnsi="Times New Roman" w:cs="Times New Roman"/>
          <w:sz w:val="24"/>
          <w:szCs w:val="24"/>
        </w:rPr>
        <w:t xml:space="preserve"> на Евроюст и Европол. Дейността на Съвета е прекратена след 27 юни 2022</w:t>
      </w:r>
      <w:r w:rsidR="00F06583" w:rsidRPr="007404FA">
        <w:rPr>
          <w:rFonts w:ascii="Times New Roman" w:eastAsia="Calibri" w:hAnsi="Times New Roman" w:cs="Times New Roman"/>
          <w:sz w:val="24"/>
          <w:szCs w:val="24"/>
        </w:rPr>
        <w:t> г.</w:t>
      </w:r>
      <w:r w:rsidRPr="007404FA">
        <w:rPr>
          <w:rFonts w:ascii="Times New Roman" w:eastAsia="Calibri" w:hAnsi="Times New Roman" w:cs="Times New Roman"/>
          <w:sz w:val="24"/>
          <w:szCs w:val="24"/>
        </w:rPr>
        <w:t xml:space="preserve"> В последното заседание е отправена молба към </w:t>
      </w:r>
      <w:r w:rsidR="00C917CF" w:rsidRPr="007404FA">
        <w:rPr>
          <w:rFonts w:ascii="Times New Roman" w:eastAsia="Calibri" w:hAnsi="Times New Roman" w:cs="Times New Roman"/>
          <w:sz w:val="24"/>
          <w:szCs w:val="24"/>
        </w:rPr>
        <w:t>координатора</w:t>
      </w:r>
      <w:r w:rsidRPr="007404FA">
        <w:rPr>
          <w:rFonts w:ascii="Times New Roman" w:eastAsia="Calibri" w:hAnsi="Times New Roman" w:cs="Times New Roman"/>
          <w:sz w:val="24"/>
          <w:szCs w:val="24"/>
        </w:rPr>
        <w:t xml:space="preserve"> на Комитета за координиран надзор за създаване на архивно пространство на интернет страницата на </w:t>
      </w:r>
      <w:r w:rsidR="00AC097B" w:rsidRPr="007404FA">
        <w:rPr>
          <w:rFonts w:ascii="Times New Roman" w:eastAsia="Calibri" w:hAnsi="Times New Roman" w:cs="Times New Roman"/>
          <w:sz w:val="24"/>
          <w:szCs w:val="24"/>
        </w:rPr>
        <w:t>ККН</w:t>
      </w:r>
      <w:r w:rsidRPr="007404FA">
        <w:rPr>
          <w:rFonts w:ascii="Times New Roman" w:eastAsia="Calibri" w:hAnsi="Times New Roman" w:cs="Times New Roman"/>
          <w:sz w:val="24"/>
          <w:szCs w:val="24"/>
        </w:rPr>
        <w:t>, откъдето да бъдат достъпни документите, създадени до този момент от Съвета. За удобство на посетителите на институциона</w:t>
      </w:r>
      <w:r w:rsidR="0051544F">
        <w:rPr>
          <w:rFonts w:ascii="Times New Roman" w:eastAsia="Calibri" w:hAnsi="Times New Roman" w:cs="Times New Roman"/>
          <w:sz w:val="24"/>
          <w:szCs w:val="24"/>
        </w:rPr>
        <w:t>лната интернет страница на КЗЛД</w:t>
      </w:r>
      <w:r w:rsidRPr="007404FA">
        <w:rPr>
          <w:rFonts w:ascii="Times New Roman" w:eastAsia="Calibri" w:hAnsi="Times New Roman" w:cs="Times New Roman"/>
          <w:sz w:val="24"/>
          <w:szCs w:val="24"/>
        </w:rPr>
        <w:t xml:space="preserve"> информацията за Съвместния надзорен орган на Eвропол, както и приетите документи, е достъпна и след 27 юни 2022</w:t>
      </w:r>
      <w:r w:rsidR="00F06583" w:rsidRPr="007404FA">
        <w:rPr>
          <w:rFonts w:ascii="Times New Roman" w:eastAsia="Calibri" w:hAnsi="Times New Roman" w:cs="Times New Roman"/>
          <w:sz w:val="24"/>
          <w:szCs w:val="24"/>
        </w:rPr>
        <w:t> г.</w:t>
      </w:r>
    </w:p>
    <w:p w:rsidR="00E42714" w:rsidRPr="007404FA" w:rsidRDefault="00E42714"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През отчетния период продължава утвърждаването на Комитета</w:t>
      </w:r>
      <w:r w:rsidR="00AC097B" w:rsidRPr="007404FA">
        <w:rPr>
          <w:rFonts w:ascii="Times New Roman" w:eastAsia="Calibri" w:hAnsi="Times New Roman" w:cs="Times New Roman"/>
          <w:sz w:val="24"/>
          <w:szCs w:val="24"/>
        </w:rPr>
        <w:t xml:space="preserve"> за координиран надзор</w:t>
      </w:r>
      <w:r w:rsidRPr="007404FA">
        <w:rPr>
          <w:rFonts w:ascii="Times New Roman" w:eastAsia="Calibri" w:hAnsi="Times New Roman" w:cs="Times New Roman"/>
          <w:sz w:val="24"/>
          <w:szCs w:val="24"/>
        </w:rPr>
        <w:t xml:space="preserve">. В инициативите на ККН активно участват и представители на националните органи за защита на данните на държави извън ЕС, които попадат в Шенгенското пространство. В действията, засягащи конкретна широкомащабна система или институция на ЕС, се включват представителите на националните органи за защита на данните, когато тази държава прилага правния акт на ЕС за създаване на широкомащабната система или европейска институция. На всеки две години ККН изготвя доклад от дейността си в съответствие с двугодишната си програма, който се предлага на ЕКЗД за представяне на </w:t>
      </w:r>
      <w:r w:rsidRPr="007404FA">
        <w:rPr>
          <w:rFonts w:ascii="Times New Roman" w:eastAsia="Calibri" w:hAnsi="Times New Roman" w:cs="Times New Roman"/>
          <w:sz w:val="24"/>
          <w:szCs w:val="24"/>
        </w:rPr>
        <w:lastRenderedPageBreak/>
        <w:t>Европейския парламент, Съвета, Комисията и други адресати, когато това е изрично изискано в правния акт на ЕС за създаване на широкомащабната система или органа, подлежащи на координиран надзор.</w:t>
      </w:r>
    </w:p>
    <w:p w:rsidR="00E42714" w:rsidRPr="007404FA" w:rsidRDefault="00E42714"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Към отчетния период ККН осъществява</w:t>
      </w:r>
      <w:r w:rsidR="00DF4A21">
        <w:rPr>
          <w:rFonts w:ascii="Times New Roman" w:eastAsia="Calibri" w:hAnsi="Times New Roman" w:cs="Times New Roman"/>
          <w:sz w:val="24"/>
          <w:szCs w:val="24"/>
        </w:rPr>
        <w:t>т</w:t>
      </w:r>
      <w:r w:rsidRPr="007404FA">
        <w:rPr>
          <w:rFonts w:ascii="Times New Roman" w:eastAsia="Calibri" w:hAnsi="Times New Roman" w:cs="Times New Roman"/>
          <w:sz w:val="24"/>
          <w:szCs w:val="24"/>
        </w:rPr>
        <w:t xml:space="preserve"> координация и надзор в рамките на обработването на лични данни от страна на Агенция</w:t>
      </w:r>
      <w:r w:rsidR="00DF4A21">
        <w:rPr>
          <w:rFonts w:ascii="Times New Roman" w:eastAsia="Calibri" w:hAnsi="Times New Roman" w:cs="Times New Roman"/>
          <w:sz w:val="24"/>
          <w:szCs w:val="24"/>
        </w:rPr>
        <w:t>та</w:t>
      </w:r>
      <w:r w:rsidRPr="007404FA">
        <w:rPr>
          <w:rFonts w:ascii="Times New Roman" w:eastAsia="Calibri" w:hAnsi="Times New Roman" w:cs="Times New Roman"/>
          <w:sz w:val="24"/>
          <w:szCs w:val="24"/>
        </w:rPr>
        <w:t xml:space="preserve"> на Европейския съюз за сътрудничество в областта на правоприлагането (Европол), в Информационната система за вътрешен пазар на ЕС, системата за съдебно сътрудничество по наказателноправни въпроси Е</w:t>
      </w:r>
      <w:r w:rsidR="00DF4A21">
        <w:rPr>
          <w:rFonts w:ascii="Times New Roman" w:eastAsia="Calibri" w:hAnsi="Times New Roman" w:cs="Times New Roman"/>
          <w:sz w:val="24"/>
          <w:szCs w:val="24"/>
        </w:rPr>
        <w:t>вроюст</w:t>
      </w:r>
      <w:r w:rsidRPr="007404FA">
        <w:rPr>
          <w:rFonts w:ascii="Times New Roman" w:eastAsia="Calibri" w:hAnsi="Times New Roman" w:cs="Times New Roman"/>
          <w:sz w:val="24"/>
          <w:szCs w:val="24"/>
        </w:rPr>
        <w:t>, както и обработването на лични данни при осъществяваните на действия от страна на Европейската прокуратура. Обработването на лични данни в следните широкомащабни системи и агенции на ЕС също ще попадне в обхвата на координиращите дейности на ККН, след като правният акт на ЕС, в който това е предвидено, започне да се прилага:</w:t>
      </w:r>
    </w:p>
    <w:p w:rsidR="00E42714" w:rsidRPr="007404FA" w:rsidRDefault="00E42714" w:rsidP="00DB6B05">
      <w:pPr>
        <w:pStyle w:val="ListParagraph"/>
        <w:numPr>
          <w:ilvl w:val="2"/>
          <w:numId w:val="26"/>
        </w:numPr>
        <w:spacing w:after="0" w:line="360" w:lineRule="auto"/>
        <w:ind w:left="0" w:firstLine="709"/>
        <w:jc w:val="both"/>
        <w:rPr>
          <w:rFonts w:ascii="Times New Roman" w:eastAsia="Calibri" w:hAnsi="Times New Roman"/>
          <w:sz w:val="24"/>
          <w:szCs w:val="24"/>
          <w:lang w:val="bg-BG"/>
        </w:rPr>
      </w:pPr>
      <w:r w:rsidRPr="007404FA">
        <w:rPr>
          <w:rFonts w:ascii="Times New Roman" w:eastAsia="Calibri" w:hAnsi="Times New Roman"/>
          <w:sz w:val="24"/>
          <w:szCs w:val="24"/>
          <w:lang w:val="bg-BG"/>
        </w:rPr>
        <w:t>Шенгенската информационна система от второ поколение;</w:t>
      </w:r>
    </w:p>
    <w:p w:rsidR="00E42714" w:rsidRPr="007404FA" w:rsidRDefault="00E42714" w:rsidP="00DB6B05">
      <w:pPr>
        <w:pStyle w:val="ListParagraph"/>
        <w:numPr>
          <w:ilvl w:val="2"/>
          <w:numId w:val="26"/>
        </w:numPr>
        <w:spacing w:after="0" w:line="360" w:lineRule="auto"/>
        <w:ind w:left="0" w:firstLine="709"/>
        <w:jc w:val="both"/>
        <w:rPr>
          <w:rFonts w:ascii="Times New Roman" w:eastAsia="Calibri" w:hAnsi="Times New Roman"/>
          <w:sz w:val="24"/>
          <w:szCs w:val="24"/>
          <w:lang w:val="bg-BG"/>
        </w:rPr>
      </w:pPr>
      <w:r w:rsidRPr="007404FA">
        <w:rPr>
          <w:rFonts w:ascii="Times New Roman" w:eastAsia="Calibri" w:hAnsi="Times New Roman"/>
          <w:sz w:val="24"/>
          <w:szCs w:val="24"/>
          <w:lang w:val="bg-BG"/>
        </w:rPr>
        <w:t>Система за влизане/излизане (СВИ);</w:t>
      </w:r>
    </w:p>
    <w:p w:rsidR="00E42714" w:rsidRPr="007404FA" w:rsidRDefault="00E42714" w:rsidP="00DB6B05">
      <w:pPr>
        <w:pStyle w:val="ListParagraph"/>
        <w:numPr>
          <w:ilvl w:val="2"/>
          <w:numId w:val="26"/>
        </w:numPr>
        <w:spacing w:after="0" w:line="360" w:lineRule="auto"/>
        <w:ind w:left="0" w:firstLine="709"/>
        <w:jc w:val="both"/>
        <w:rPr>
          <w:rFonts w:ascii="Times New Roman" w:eastAsia="Calibri" w:hAnsi="Times New Roman"/>
          <w:sz w:val="24"/>
          <w:szCs w:val="24"/>
          <w:lang w:val="bg-BG"/>
        </w:rPr>
      </w:pPr>
      <w:r w:rsidRPr="007404FA">
        <w:rPr>
          <w:rFonts w:ascii="Times New Roman" w:eastAsia="Calibri" w:hAnsi="Times New Roman"/>
          <w:sz w:val="24"/>
          <w:szCs w:val="24"/>
          <w:lang w:val="bg-BG"/>
        </w:rPr>
        <w:t>Европейската система за информация и разрешение за пътуване (ETIAS);</w:t>
      </w:r>
    </w:p>
    <w:p w:rsidR="00E42714" w:rsidRPr="007404FA" w:rsidRDefault="00E42714" w:rsidP="00DB6B05">
      <w:pPr>
        <w:pStyle w:val="ListParagraph"/>
        <w:numPr>
          <w:ilvl w:val="2"/>
          <w:numId w:val="26"/>
        </w:numPr>
        <w:spacing w:after="0" w:line="360" w:lineRule="auto"/>
        <w:ind w:left="0" w:firstLine="709"/>
        <w:jc w:val="both"/>
        <w:rPr>
          <w:rFonts w:ascii="Times New Roman" w:eastAsia="Calibri" w:hAnsi="Times New Roman"/>
          <w:sz w:val="24"/>
          <w:szCs w:val="24"/>
          <w:lang w:val="bg-BG"/>
        </w:rPr>
      </w:pPr>
      <w:r w:rsidRPr="007404FA">
        <w:rPr>
          <w:rFonts w:ascii="Times New Roman" w:eastAsia="Calibri" w:hAnsi="Times New Roman"/>
          <w:sz w:val="24"/>
          <w:szCs w:val="24"/>
          <w:lang w:val="bg-BG"/>
        </w:rPr>
        <w:t>Европейската информационна система за съдимост за лица, граждани на трети страни (ECRIS-TCN);</w:t>
      </w:r>
    </w:p>
    <w:p w:rsidR="00E42714" w:rsidRPr="007404FA" w:rsidRDefault="00E42714" w:rsidP="00DB6B05">
      <w:pPr>
        <w:pStyle w:val="ListParagraph"/>
        <w:numPr>
          <w:ilvl w:val="2"/>
          <w:numId w:val="26"/>
        </w:numPr>
        <w:spacing w:after="0" w:line="360" w:lineRule="auto"/>
        <w:ind w:left="0" w:firstLine="709"/>
        <w:jc w:val="both"/>
        <w:rPr>
          <w:rFonts w:ascii="Times New Roman" w:eastAsia="Calibri" w:hAnsi="Times New Roman"/>
          <w:sz w:val="24"/>
          <w:szCs w:val="24"/>
          <w:lang w:val="bg-BG"/>
        </w:rPr>
      </w:pPr>
      <w:r w:rsidRPr="007404FA">
        <w:rPr>
          <w:rFonts w:ascii="Times New Roman" w:eastAsia="Calibri" w:hAnsi="Times New Roman"/>
          <w:sz w:val="24"/>
          <w:szCs w:val="24"/>
          <w:lang w:val="bg-BG"/>
        </w:rPr>
        <w:t>Визова информационна система;</w:t>
      </w:r>
    </w:p>
    <w:p w:rsidR="00E42714" w:rsidRPr="007404FA" w:rsidRDefault="00E42714" w:rsidP="00DB6B05">
      <w:pPr>
        <w:pStyle w:val="ListParagraph"/>
        <w:numPr>
          <w:ilvl w:val="2"/>
          <w:numId w:val="26"/>
        </w:numPr>
        <w:spacing w:after="0" w:line="360" w:lineRule="auto"/>
        <w:ind w:left="0" w:firstLine="709"/>
        <w:jc w:val="both"/>
        <w:rPr>
          <w:rFonts w:ascii="Times New Roman" w:eastAsia="Calibri" w:hAnsi="Times New Roman"/>
          <w:sz w:val="24"/>
          <w:szCs w:val="24"/>
          <w:lang w:val="bg-BG"/>
        </w:rPr>
      </w:pPr>
      <w:r w:rsidRPr="007404FA">
        <w:rPr>
          <w:rFonts w:ascii="Times New Roman" w:eastAsia="Calibri" w:hAnsi="Times New Roman"/>
          <w:sz w:val="24"/>
          <w:szCs w:val="24"/>
          <w:lang w:val="bg-BG"/>
        </w:rPr>
        <w:t>Европейска база данни за дактилоскопия в областта на убежището;</w:t>
      </w:r>
    </w:p>
    <w:p w:rsidR="00E42714" w:rsidRPr="007404FA" w:rsidRDefault="00E42714" w:rsidP="00DB6B05">
      <w:pPr>
        <w:pStyle w:val="ListParagraph"/>
        <w:numPr>
          <w:ilvl w:val="2"/>
          <w:numId w:val="26"/>
        </w:numPr>
        <w:spacing w:after="0" w:line="360" w:lineRule="auto"/>
        <w:ind w:left="0" w:firstLine="709"/>
        <w:jc w:val="both"/>
        <w:rPr>
          <w:rFonts w:ascii="Times New Roman" w:eastAsia="Calibri" w:hAnsi="Times New Roman"/>
          <w:sz w:val="24"/>
          <w:szCs w:val="24"/>
          <w:lang w:val="bg-BG"/>
        </w:rPr>
      </w:pPr>
      <w:r w:rsidRPr="007404FA">
        <w:rPr>
          <w:rFonts w:ascii="Times New Roman" w:eastAsia="Calibri" w:hAnsi="Times New Roman"/>
          <w:sz w:val="24"/>
          <w:szCs w:val="24"/>
          <w:lang w:val="bg-BG"/>
        </w:rPr>
        <w:t>Митническа информационна система.</w:t>
      </w:r>
    </w:p>
    <w:p w:rsidR="00E42714" w:rsidRPr="007404FA" w:rsidRDefault="00DF4A21" w:rsidP="00DB6B05">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Във връзка с дейността на ККН</w:t>
      </w:r>
      <w:r w:rsidR="00E42714" w:rsidRPr="007404FA">
        <w:rPr>
          <w:rFonts w:ascii="Times New Roman" w:eastAsia="Calibri" w:hAnsi="Times New Roman" w:cs="Times New Roman"/>
          <w:sz w:val="24"/>
          <w:szCs w:val="24"/>
        </w:rPr>
        <w:t xml:space="preserve"> особен елемент е наличието в Република България на повече от един надзорен орган по защита на данните (КЛЗД, която осъществява общ надзор, и Инспектората към Висшия </w:t>
      </w:r>
      <w:r>
        <w:rPr>
          <w:rFonts w:ascii="Times New Roman" w:eastAsia="Calibri" w:hAnsi="Times New Roman" w:cs="Times New Roman"/>
          <w:sz w:val="24"/>
          <w:szCs w:val="24"/>
        </w:rPr>
        <w:t>с</w:t>
      </w:r>
      <w:r w:rsidR="00E42714" w:rsidRPr="007404FA">
        <w:rPr>
          <w:rFonts w:ascii="Times New Roman" w:eastAsia="Calibri" w:hAnsi="Times New Roman" w:cs="Times New Roman"/>
          <w:sz w:val="24"/>
          <w:szCs w:val="24"/>
        </w:rPr>
        <w:t xml:space="preserve">ъдебен </w:t>
      </w:r>
      <w:r>
        <w:rPr>
          <w:rFonts w:ascii="Times New Roman" w:eastAsia="Calibri" w:hAnsi="Times New Roman" w:cs="Times New Roman"/>
          <w:sz w:val="24"/>
          <w:szCs w:val="24"/>
        </w:rPr>
        <w:t>с</w:t>
      </w:r>
      <w:r w:rsidR="00E42714" w:rsidRPr="007404FA">
        <w:rPr>
          <w:rFonts w:ascii="Times New Roman" w:eastAsia="Calibri" w:hAnsi="Times New Roman" w:cs="Times New Roman"/>
          <w:sz w:val="24"/>
          <w:szCs w:val="24"/>
        </w:rPr>
        <w:t xml:space="preserve">ъвет, който осъществява специализиран надзор по смисъла на член 17 от ЗЗЛД), поради което участието в работата на Комитета </w:t>
      </w:r>
      <w:r w:rsidR="00397AE8" w:rsidRPr="007404FA">
        <w:rPr>
          <w:rFonts w:ascii="Times New Roman" w:eastAsia="Calibri" w:hAnsi="Times New Roman" w:cs="Times New Roman"/>
          <w:sz w:val="24"/>
          <w:szCs w:val="24"/>
        </w:rPr>
        <w:t>и през 2022</w:t>
      </w:r>
      <w:r w:rsidR="00F06583" w:rsidRPr="007404FA">
        <w:rPr>
          <w:rFonts w:ascii="Times New Roman" w:eastAsia="Calibri" w:hAnsi="Times New Roman" w:cs="Times New Roman"/>
          <w:sz w:val="24"/>
          <w:szCs w:val="24"/>
        </w:rPr>
        <w:t> г.</w:t>
      </w:r>
      <w:r w:rsidR="00397AE8" w:rsidRPr="007404FA">
        <w:rPr>
          <w:rFonts w:ascii="Times New Roman" w:eastAsia="Calibri" w:hAnsi="Times New Roman" w:cs="Times New Roman"/>
          <w:sz w:val="24"/>
          <w:szCs w:val="24"/>
        </w:rPr>
        <w:t xml:space="preserve"> продължава да </w:t>
      </w:r>
      <w:r w:rsidR="00E42714" w:rsidRPr="007404FA">
        <w:rPr>
          <w:rFonts w:ascii="Times New Roman" w:eastAsia="Calibri" w:hAnsi="Times New Roman" w:cs="Times New Roman"/>
          <w:sz w:val="24"/>
          <w:szCs w:val="24"/>
        </w:rPr>
        <w:t>става посредством т.нар. „съвместно представителство“ с право на един глас.</w:t>
      </w:r>
      <w:r w:rsidR="00157B49">
        <w:rPr>
          <w:rFonts w:ascii="Times New Roman" w:eastAsia="Calibri" w:hAnsi="Times New Roman" w:cs="Times New Roman"/>
          <w:sz w:val="24"/>
          <w:szCs w:val="24"/>
        </w:rPr>
        <w:t xml:space="preserve"> </w:t>
      </w:r>
    </w:p>
    <w:p w:rsidR="00E42714" w:rsidRPr="007404FA" w:rsidRDefault="00E42714"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През отчетния период са проведени две онлайн заседания на ККН. Предмет на обсъжданията на заседанията през юли и ноември 2022</w:t>
      </w:r>
      <w:r w:rsidR="00F06583" w:rsidRPr="007404FA">
        <w:rPr>
          <w:rFonts w:ascii="Times New Roman" w:eastAsia="Calibri" w:hAnsi="Times New Roman" w:cs="Times New Roman"/>
          <w:sz w:val="24"/>
          <w:szCs w:val="24"/>
        </w:rPr>
        <w:t> г.</w:t>
      </w:r>
      <w:r w:rsidRPr="007404FA">
        <w:rPr>
          <w:rFonts w:ascii="Times New Roman" w:eastAsia="Calibri" w:hAnsi="Times New Roman" w:cs="Times New Roman"/>
          <w:sz w:val="24"/>
          <w:szCs w:val="24"/>
        </w:rPr>
        <w:t>, които имат отношение към дейността на КЗЛД, са въпроси, свързани с:</w:t>
      </w:r>
    </w:p>
    <w:p w:rsidR="00E42714" w:rsidRPr="007404FA" w:rsidRDefault="00E42714" w:rsidP="00DB6B05">
      <w:pPr>
        <w:numPr>
          <w:ilvl w:val="2"/>
          <w:numId w:val="27"/>
        </w:numPr>
        <w:suppressAutoHyphens/>
        <w:autoSpaceDN w:val="0"/>
        <w:spacing w:line="360" w:lineRule="auto"/>
        <w:ind w:left="0" w:firstLine="709"/>
        <w:jc w:val="both"/>
        <w:textAlignment w:val="baseline"/>
        <w:rPr>
          <w:rFonts w:ascii="Times New Roman" w:eastAsia="Calibri" w:hAnsi="Times New Roman" w:cs="Times New Roman"/>
          <w:sz w:val="24"/>
          <w:szCs w:val="24"/>
        </w:rPr>
      </w:pPr>
      <w:r w:rsidRPr="007404FA">
        <w:rPr>
          <w:rFonts w:ascii="Times New Roman" w:eastAsia="Calibri" w:hAnsi="Times New Roman" w:cs="Times New Roman"/>
          <w:sz w:val="24"/>
          <w:szCs w:val="24"/>
        </w:rPr>
        <w:t>Агенция</w:t>
      </w:r>
      <w:r w:rsidR="00DF4A21">
        <w:rPr>
          <w:rFonts w:ascii="Times New Roman" w:eastAsia="Calibri" w:hAnsi="Times New Roman" w:cs="Times New Roman"/>
          <w:sz w:val="24"/>
          <w:szCs w:val="24"/>
        </w:rPr>
        <w:t>та</w:t>
      </w:r>
      <w:r w:rsidRPr="007404FA">
        <w:rPr>
          <w:rFonts w:ascii="Times New Roman" w:eastAsia="Calibri" w:hAnsi="Times New Roman" w:cs="Times New Roman"/>
          <w:sz w:val="24"/>
          <w:szCs w:val="24"/>
        </w:rPr>
        <w:t xml:space="preserve"> на Европейския съюз за сътрудничество в областта на правоприлагането (Европол)</w:t>
      </w:r>
      <w:r w:rsidR="00553661" w:rsidRPr="007404FA">
        <w:rPr>
          <w:rFonts w:ascii="Times New Roman" w:eastAsia="Calibri" w:hAnsi="Times New Roman" w:cs="Times New Roman"/>
          <w:sz w:val="24"/>
          <w:szCs w:val="24"/>
        </w:rPr>
        <w:t xml:space="preserve"> – </w:t>
      </w:r>
      <w:r w:rsidRPr="007404FA">
        <w:rPr>
          <w:rFonts w:ascii="Times New Roman" w:eastAsia="Calibri" w:hAnsi="Times New Roman" w:cs="Times New Roman"/>
          <w:sz w:val="24"/>
          <w:szCs w:val="24"/>
        </w:rPr>
        <w:t>обсъждане на конкретни действия след преминаване на дейностт</w:t>
      </w:r>
      <w:r w:rsidR="00DF4A21">
        <w:rPr>
          <w:rFonts w:ascii="Times New Roman" w:eastAsia="Calibri" w:hAnsi="Times New Roman" w:cs="Times New Roman"/>
          <w:sz w:val="24"/>
          <w:szCs w:val="24"/>
        </w:rPr>
        <w:t>а на Съвместния надзорен орган Европол</w:t>
      </w:r>
      <w:r w:rsidRPr="007404FA">
        <w:rPr>
          <w:rFonts w:ascii="Times New Roman" w:eastAsia="Calibri" w:hAnsi="Times New Roman" w:cs="Times New Roman"/>
          <w:sz w:val="24"/>
          <w:szCs w:val="24"/>
        </w:rPr>
        <w:t xml:space="preserve"> към ККН и изследване на предизвикателствата пред прилагане н</w:t>
      </w:r>
      <w:r w:rsidR="00DF4A21">
        <w:rPr>
          <w:rFonts w:ascii="Times New Roman" w:eastAsia="Calibri" w:hAnsi="Times New Roman" w:cs="Times New Roman"/>
          <w:sz w:val="24"/>
          <w:szCs w:val="24"/>
        </w:rPr>
        <w:t>а съответните правни разпоредби;</w:t>
      </w:r>
    </w:p>
    <w:p w:rsidR="00E42714" w:rsidRPr="007404FA" w:rsidRDefault="00E42714" w:rsidP="00DB6B05">
      <w:pPr>
        <w:numPr>
          <w:ilvl w:val="2"/>
          <w:numId w:val="27"/>
        </w:numPr>
        <w:suppressAutoHyphens/>
        <w:autoSpaceDN w:val="0"/>
        <w:spacing w:line="360" w:lineRule="auto"/>
        <w:ind w:left="0" w:firstLine="709"/>
        <w:jc w:val="both"/>
        <w:textAlignment w:val="baseline"/>
        <w:rPr>
          <w:rFonts w:ascii="Times New Roman" w:eastAsia="Calibri" w:hAnsi="Times New Roman" w:cs="Times New Roman"/>
          <w:sz w:val="24"/>
          <w:szCs w:val="24"/>
        </w:rPr>
      </w:pPr>
      <w:r w:rsidRPr="007404FA">
        <w:rPr>
          <w:rFonts w:ascii="Times New Roman" w:eastAsia="Calibri" w:hAnsi="Times New Roman" w:cs="Times New Roman"/>
          <w:sz w:val="24"/>
          <w:szCs w:val="24"/>
        </w:rPr>
        <w:t>Информационната система на вътрешния пазар: обсъждане на предложенията за препоръки към компетентните органи с достъп до системата с оглед единното предоставяне на информация към субектите на данните при упражняване на техните права.</w:t>
      </w:r>
    </w:p>
    <w:p w:rsidR="00E42714" w:rsidRPr="007404FA" w:rsidRDefault="00E42714" w:rsidP="00DB6B05">
      <w:pPr>
        <w:numPr>
          <w:ilvl w:val="2"/>
          <w:numId w:val="27"/>
        </w:numPr>
        <w:suppressAutoHyphens/>
        <w:autoSpaceDN w:val="0"/>
        <w:spacing w:line="360" w:lineRule="auto"/>
        <w:ind w:left="0" w:firstLine="709"/>
        <w:jc w:val="both"/>
        <w:textAlignment w:val="baseline"/>
        <w:rPr>
          <w:rFonts w:ascii="Times New Roman" w:eastAsia="Calibri" w:hAnsi="Times New Roman" w:cs="Times New Roman"/>
          <w:sz w:val="24"/>
          <w:szCs w:val="24"/>
        </w:rPr>
      </w:pPr>
      <w:r w:rsidRPr="007404FA">
        <w:rPr>
          <w:rFonts w:ascii="Times New Roman" w:eastAsia="Calibri" w:hAnsi="Times New Roman" w:cs="Times New Roman"/>
          <w:sz w:val="24"/>
          <w:szCs w:val="24"/>
        </w:rPr>
        <w:lastRenderedPageBreak/>
        <w:t>Организацията на работа на ККН: обсъждане и приемане на двугодишна</w:t>
      </w:r>
      <w:r w:rsidR="00C35411">
        <w:rPr>
          <w:rFonts w:ascii="Times New Roman" w:eastAsia="Calibri" w:hAnsi="Times New Roman" w:cs="Times New Roman"/>
          <w:sz w:val="24"/>
          <w:szCs w:val="24"/>
        </w:rPr>
        <w:t xml:space="preserve">та работна програма на ККН 2022 – </w:t>
      </w:r>
      <w:r w:rsidRPr="007404FA">
        <w:rPr>
          <w:rFonts w:ascii="Times New Roman" w:eastAsia="Calibri" w:hAnsi="Times New Roman" w:cs="Times New Roman"/>
          <w:sz w:val="24"/>
          <w:szCs w:val="24"/>
        </w:rPr>
        <w:t>2024, както и приемането на Съвместния двугодишен доклад</w:t>
      </w:r>
      <w:r w:rsidR="00157B49">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относно дейностите за координиран надзор</w:t>
      </w:r>
      <w:r w:rsidR="00DD6BCF" w:rsidRPr="007404FA">
        <w:rPr>
          <w:rFonts w:ascii="Times New Roman" w:eastAsia="Calibri" w:hAnsi="Times New Roman" w:cs="Times New Roman"/>
          <w:sz w:val="24"/>
          <w:szCs w:val="24"/>
        </w:rPr>
        <w:t xml:space="preserve"> съгласно член 10 от Вътрешните</w:t>
      </w:r>
      <w:r w:rsidR="002B2E4F" w:rsidRPr="007404FA">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 xml:space="preserve">правила на ККН. </w:t>
      </w:r>
    </w:p>
    <w:p w:rsidR="00E42714" w:rsidRPr="007404FA" w:rsidRDefault="00E42714"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 xml:space="preserve">Координационната група за надзор на ШИС II </w:t>
      </w:r>
      <w:r w:rsidR="002B01CA" w:rsidRPr="007404FA">
        <w:rPr>
          <w:rFonts w:ascii="Times New Roman" w:eastAsia="Calibri" w:hAnsi="Times New Roman" w:cs="Times New Roman"/>
          <w:sz w:val="24"/>
          <w:szCs w:val="24"/>
        </w:rPr>
        <w:t>обсъжда</w:t>
      </w:r>
      <w:r w:rsidRPr="007404FA">
        <w:rPr>
          <w:rFonts w:ascii="Times New Roman" w:eastAsia="Calibri" w:hAnsi="Times New Roman" w:cs="Times New Roman"/>
          <w:sz w:val="24"/>
          <w:szCs w:val="24"/>
        </w:rPr>
        <w:t xml:space="preserve"> следните относими към дейността на КЗЛД теми: подготовката на информационни материали (брошури, плакати, интерактивно съдържание) на ЕК относно изменената правна рамка за </w:t>
      </w:r>
      <w:r w:rsidR="00C35411">
        <w:rPr>
          <w:rFonts w:ascii="Times New Roman" w:eastAsia="Calibri" w:hAnsi="Times New Roman" w:cs="Times New Roman"/>
          <w:sz w:val="24"/>
          <w:szCs w:val="24"/>
        </w:rPr>
        <w:t>ШИС, които в</w:t>
      </w:r>
      <w:r w:rsidRPr="007404FA">
        <w:rPr>
          <w:rFonts w:ascii="Times New Roman" w:eastAsia="Calibri" w:hAnsi="Times New Roman" w:cs="Times New Roman"/>
          <w:sz w:val="24"/>
          <w:szCs w:val="24"/>
        </w:rPr>
        <w:t>последствие ще могат да се разпространяват свободно от националните надзорни органи по защита на данните, както и разработването на наръчник с полезна информация, добри практики, препоръки и примери. По отношение на мисиите за оценка по Шенген е осъществен преглед на планираните за 2022</w:t>
      </w:r>
      <w:r w:rsidR="00F06583" w:rsidRPr="007404FA">
        <w:rPr>
          <w:rFonts w:ascii="Times New Roman" w:eastAsia="Calibri" w:hAnsi="Times New Roman" w:cs="Times New Roman"/>
          <w:sz w:val="24"/>
          <w:szCs w:val="24"/>
        </w:rPr>
        <w:t> г.</w:t>
      </w:r>
      <w:r w:rsidRPr="007404FA">
        <w:rPr>
          <w:rFonts w:ascii="Times New Roman" w:eastAsia="Calibri" w:hAnsi="Times New Roman" w:cs="Times New Roman"/>
          <w:sz w:val="24"/>
          <w:szCs w:val="24"/>
        </w:rPr>
        <w:t xml:space="preserve"> и е дискутиран промененият модел за осъществяването им в следващия седемгодишен период. Чрез писмена процедура е приет текстът на писмо до Европейската комисия относно големия брой на искания за достъп и информация до данни в ШИС II от албански граждани. През отчетния период </w:t>
      </w:r>
      <w:r w:rsidR="00C35411">
        <w:rPr>
          <w:rFonts w:ascii="Times New Roman" w:eastAsia="Calibri" w:hAnsi="Times New Roman" w:cs="Times New Roman"/>
          <w:sz w:val="24"/>
          <w:szCs w:val="24"/>
        </w:rPr>
        <w:t>са одобрени</w:t>
      </w:r>
      <w:r w:rsidRPr="007404FA">
        <w:rPr>
          <w:rFonts w:ascii="Times New Roman" w:eastAsia="Calibri" w:hAnsi="Times New Roman" w:cs="Times New Roman"/>
          <w:sz w:val="24"/>
          <w:szCs w:val="24"/>
        </w:rPr>
        <w:t xml:space="preserve"> структурата и съдържанието на общата част от осъвремененото Ръководство за упражняване на правата в ШИС. Окончателният документ </w:t>
      </w:r>
      <w:r w:rsidR="00290F11" w:rsidRPr="007404FA">
        <w:rPr>
          <w:rFonts w:ascii="Times New Roman" w:eastAsia="Calibri" w:hAnsi="Times New Roman" w:cs="Times New Roman"/>
          <w:sz w:val="24"/>
          <w:szCs w:val="24"/>
        </w:rPr>
        <w:t>се очаква да</w:t>
      </w:r>
      <w:r w:rsidRPr="007404FA">
        <w:rPr>
          <w:rFonts w:ascii="Times New Roman" w:eastAsia="Calibri" w:hAnsi="Times New Roman" w:cs="Times New Roman"/>
          <w:sz w:val="24"/>
          <w:szCs w:val="24"/>
        </w:rPr>
        <w:t xml:space="preserve"> бъде приет чрез писмена процедура през 2023</w:t>
      </w:r>
      <w:r w:rsidR="00F06583" w:rsidRPr="007404FA">
        <w:rPr>
          <w:rFonts w:ascii="Times New Roman" w:eastAsia="Calibri" w:hAnsi="Times New Roman" w:cs="Times New Roman"/>
          <w:sz w:val="24"/>
          <w:szCs w:val="24"/>
        </w:rPr>
        <w:t> г.</w:t>
      </w:r>
      <w:r w:rsidRPr="007404FA">
        <w:rPr>
          <w:rFonts w:ascii="Times New Roman" w:eastAsia="Calibri" w:hAnsi="Times New Roman" w:cs="Times New Roman"/>
          <w:sz w:val="24"/>
          <w:szCs w:val="24"/>
        </w:rPr>
        <w:t xml:space="preserve"> През отчетния период започва и писмената процедура за приемане на съдържанието на двугодишния отчет за дейността на Групата. Координационната група за надзор на ШИС II ще продължи да съществува до 7 март 2023</w:t>
      </w:r>
      <w:r w:rsidR="00F06583" w:rsidRPr="007404FA">
        <w:rPr>
          <w:rFonts w:ascii="Times New Roman" w:eastAsia="Calibri" w:hAnsi="Times New Roman" w:cs="Times New Roman"/>
          <w:sz w:val="24"/>
          <w:szCs w:val="24"/>
        </w:rPr>
        <w:t> г.</w:t>
      </w:r>
      <w:r w:rsidRPr="007404FA">
        <w:rPr>
          <w:rFonts w:ascii="Times New Roman" w:eastAsia="Calibri" w:hAnsi="Times New Roman" w:cs="Times New Roman"/>
          <w:sz w:val="24"/>
          <w:szCs w:val="24"/>
        </w:rPr>
        <w:t>, след което нейната дейност ще премине към Комитета за координиран надзор.</w:t>
      </w:r>
    </w:p>
    <w:p w:rsidR="00E42714" w:rsidRPr="007404FA" w:rsidRDefault="00E42714"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По отношение на дейността на Координационната група за надзор на Митническата информационна система</w:t>
      </w:r>
      <w:r w:rsidR="00B4628D" w:rsidRPr="007404FA">
        <w:rPr>
          <w:rFonts w:ascii="Times New Roman" w:eastAsia="Calibri" w:hAnsi="Times New Roman" w:cs="Times New Roman"/>
          <w:sz w:val="24"/>
          <w:szCs w:val="24"/>
        </w:rPr>
        <w:t xml:space="preserve"> през отчетния период</w:t>
      </w:r>
      <w:r w:rsidRPr="007404FA">
        <w:rPr>
          <w:rFonts w:ascii="Times New Roman" w:eastAsia="Calibri" w:hAnsi="Times New Roman" w:cs="Times New Roman"/>
          <w:sz w:val="24"/>
          <w:szCs w:val="24"/>
        </w:rPr>
        <w:t xml:space="preserve"> завършва подготовката на окончателния текст на двугодишния отчет за дейността на Групата за периода 2020</w:t>
      </w:r>
      <w:r w:rsidR="00C35411">
        <w:rPr>
          <w:rFonts w:ascii="Times New Roman" w:eastAsia="Calibri" w:hAnsi="Times New Roman" w:cs="Times New Roman"/>
          <w:sz w:val="24"/>
          <w:szCs w:val="24"/>
        </w:rPr>
        <w:t> </w:t>
      </w:r>
      <w:r w:rsidR="00553661" w:rsidRPr="007404FA">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2021</w:t>
      </w:r>
      <w:r w:rsidR="00F06583" w:rsidRPr="007404FA">
        <w:rPr>
          <w:rFonts w:ascii="Times New Roman" w:eastAsia="Calibri" w:hAnsi="Times New Roman" w:cs="Times New Roman"/>
          <w:sz w:val="24"/>
          <w:szCs w:val="24"/>
        </w:rPr>
        <w:t> г.</w:t>
      </w:r>
      <w:r w:rsidRPr="007404FA">
        <w:rPr>
          <w:rFonts w:ascii="Times New Roman" w:eastAsia="Calibri" w:hAnsi="Times New Roman" w:cs="Times New Roman"/>
          <w:sz w:val="24"/>
          <w:szCs w:val="24"/>
        </w:rPr>
        <w:t xml:space="preserve"> Започва обобщаване на резултатите от разпространения въпросник относно обучението за защита на данните на служителите от институциите с достъп до МИС, както и прегледът на изпълнението на Регламент 515/97 от страна на ОЛАФ.</w:t>
      </w:r>
    </w:p>
    <w:p w:rsidR="00E42714" w:rsidRPr="007404FA" w:rsidRDefault="00E42714"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През отчетния период са проведени две заседания на Координационната група за надзор на Евродак. Сред резултатите от дейността на Групата са приетият окончателен текст на писмото до председателя на Комисията по граждански свободи, правосъдие и вътрешни работи към Европейския парламент относно предложената реформа и изменението на Регламента за Евродак,</w:t>
      </w:r>
      <w:r w:rsidR="00157B49">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Работната програма на Групата за 2022</w:t>
      </w:r>
      <w:r w:rsidR="00C35411">
        <w:rPr>
          <w:rFonts w:ascii="Times New Roman" w:eastAsia="Calibri" w:hAnsi="Times New Roman" w:cs="Times New Roman"/>
          <w:sz w:val="24"/>
          <w:szCs w:val="24"/>
        </w:rPr>
        <w:t> </w:t>
      </w:r>
      <w:r w:rsidR="00553661" w:rsidRPr="007404FA">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2024</w:t>
      </w:r>
      <w:r w:rsidR="00F06583" w:rsidRPr="007404FA">
        <w:rPr>
          <w:rFonts w:ascii="Times New Roman" w:eastAsia="Calibri" w:hAnsi="Times New Roman" w:cs="Times New Roman"/>
          <w:sz w:val="24"/>
          <w:szCs w:val="24"/>
        </w:rPr>
        <w:t> г.</w:t>
      </w:r>
      <w:r w:rsidRPr="007404FA">
        <w:rPr>
          <w:rFonts w:ascii="Times New Roman" w:eastAsia="Calibri" w:hAnsi="Times New Roman" w:cs="Times New Roman"/>
          <w:sz w:val="24"/>
          <w:szCs w:val="24"/>
        </w:rPr>
        <w:t xml:space="preserve">, както и предложението за структуриран подход за докладване на националните одити на системата Евродак. Обсъден е достъпът на правораздавателните органи до данни в Евродак, като е сформиран екип за подготовка на въпросник, който да бъде предоставен на националните надзорни органи. По време на второто заседание за годината на </w:t>
      </w:r>
      <w:r w:rsidRPr="007404FA">
        <w:rPr>
          <w:rFonts w:ascii="Times New Roman" w:eastAsia="Calibri" w:hAnsi="Times New Roman" w:cs="Times New Roman"/>
          <w:sz w:val="24"/>
          <w:szCs w:val="24"/>
        </w:rPr>
        <w:lastRenderedPageBreak/>
        <w:t>Координационната група за надзор на Евродак е представено осъщественото надграждането на системата. В отчетния период за председател на Координационната група за надзор на Евродак е преизбран представителят на гръцкия орган по защита на данните, а за заместник-председател</w:t>
      </w:r>
      <w:r w:rsidR="00553661" w:rsidRPr="007404FA">
        <w:rPr>
          <w:rFonts w:ascii="Times New Roman" w:eastAsia="Calibri" w:hAnsi="Times New Roman" w:cs="Times New Roman"/>
          <w:sz w:val="24"/>
          <w:szCs w:val="24"/>
        </w:rPr>
        <w:t xml:space="preserve"> – </w:t>
      </w:r>
      <w:r w:rsidRPr="007404FA">
        <w:rPr>
          <w:rFonts w:ascii="Times New Roman" w:eastAsia="Calibri" w:hAnsi="Times New Roman" w:cs="Times New Roman"/>
          <w:sz w:val="24"/>
          <w:szCs w:val="24"/>
        </w:rPr>
        <w:t xml:space="preserve">представителят на испанския надзорен орган по защита </w:t>
      </w:r>
      <w:r w:rsidRPr="007404FA">
        <w:rPr>
          <w:rFonts w:ascii="Times New Roman" w:eastAsia="Calibri" w:hAnsi="Times New Roman" w:cs="Times New Roman"/>
          <w:sz w:val="24"/>
          <w:szCs w:val="24"/>
        </w:rPr>
        <w:br/>
        <w:t>на данните.</w:t>
      </w:r>
    </w:p>
    <w:p w:rsidR="00E42714" w:rsidRPr="007404FA" w:rsidRDefault="00E42714"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По отношение на дейността на Координационната</w:t>
      </w:r>
      <w:r w:rsidR="00157B49">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група за надзор на ВИС в отчетния период е приета работната програма на Координационната група за периода 2022</w:t>
      </w:r>
      <w:r w:rsidR="00C35411">
        <w:rPr>
          <w:rFonts w:ascii="Times New Roman" w:eastAsia="Calibri" w:hAnsi="Times New Roman" w:cs="Times New Roman"/>
          <w:sz w:val="24"/>
          <w:szCs w:val="24"/>
        </w:rPr>
        <w:t> </w:t>
      </w:r>
      <w:r w:rsidR="00553661" w:rsidRPr="007404FA">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2024</w:t>
      </w:r>
      <w:r w:rsidR="00F06583" w:rsidRPr="007404FA">
        <w:rPr>
          <w:rFonts w:ascii="Times New Roman" w:eastAsia="Calibri" w:hAnsi="Times New Roman" w:cs="Times New Roman"/>
          <w:sz w:val="24"/>
          <w:szCs w:val="24"/>
        </w:rPr>
        <w:t> г.</w:t>
      </w:r>
      <w:r w:rsidRPr="007404FA">
        <w:rPr>
          <w:rFonts w:ascii="Times New Roman" w:eastAsia="Calibri" w:hAnsi="Times New Roman" w:cs="Times New Roman"/>
          <w:sz w:val="24"/>
          <w:szCs w:val="24"/>
        </w:rPr>
        <w:t xml:space="preserve"> Продължава работата по Общия план на инспекциите и предварителното изтриване на данни от ВИС. Участниците в Групата следят развитието на предложението за електронни визи, напредъка на делегираните актове във връзка с Регламента за ВИС, както и с дейността на</w:t>
      </w:r>
      <w:r w:rsidR="00752383" w:rsidRPr="007404FA">
        <w:rPr>
          <w:rFonts w:ascii="Times New Roman" w:eastAsia="Calibri" w:hAnsi="Times New Roman" w:cs="Times New Roman"/>
          <w:sz w:val="24"/>
          <w:szCs w:val="24"/>
        </w:rPr>
        <w:t xml:space="preserve"> </w:t>
      </w:r>
      <w:r w:rsidR="00752383" w:rsidRPr="007404FA">
        <w:rPr>
          <w:rFonts w:ascii="Times New Roman" w:hAnsi="Times New Roman"/>
          <w:sz w:val="24"/>
          <w:szCs w:val="24"/>
        </w:rPr>
        <w:t>Европейската агенция за оперативното управление на широкомащабни информационни системи</w:t>
      </w:r>
      <w:r w:rsidRPr="007404FA">
        <w:rPr>
          <w:rFonts w:ascii="Times New Roman" w:eastAsia="Calibri" w:hAnsi="Times New Roman" w:cs="Times New Roman"/>
          <w:sz w:val="24"/>
          <w:szCs w:val="24"/>
        </w:rPr>
        <w:t xml:space="preserve"> </w:t>
      </w:r>
      <w:r w:rsidR="00752383" w:rsidRPr="007404FA">
        <w:rPr>
          <w:rFonts w:ascii="Times New Roman" w:eastAsia="Calibri" w:hAnsi="Times New Roman" w:cs="Times New Roman"/>
          <w:sz w:val="24"/>
          <w:szCs w:val="24"/>
        </w:rPr>
        <w:t>(</w:t>
      </w:r>
      <w:r w:rsidRPr="007404FA">
        <w:rPr>
          <w:rFonts w:ascii="Times New Roman" w:eastAsia="Calibri" w:hAnsi="Times New Roman" w:cs="Times New Roman"/>
          <w:sz w:val="24"/>
          <w:szCs w:val="24"/>
        </w:rPr>
        <w:t>eu-LISA</w:t>
      </w:r>
      <w:r w:rsidR="00752383" w:rsidRPr="007404FA">
        <w:rPr>
          <w:rFonts w:ascii="Times New Roman" w:eastAsia="Calibri" w:hAnsi="Times New Roman" w:cs="Times New Roman"/>
          <w:sz w:val="24"/>
          <w:szCs w:val="24"/>
        </w:rPr>
        <w:t>)</w:t>
      </w:r>
      <w:r w:rsidRPr="007404FA">
        <w:rPr>
          <w:rFonts w:ascii="Times New Roman" w:eastAsia="Calibri" w:hAnsi="Times New Roman" w:cs="Times New Roman"/>
          <w:sz w:val="24"/>
          <w:szCs w:val="24"/>
        </w:rPr>
        <w:t xml:space="preserve">. Представителите на Германия и Унгария единодушно </w:t>
      </w:r>
      <w:r w:rsidR="00453EAB" w:rsidRPr="007404FA">
        <w:rPr>
          <w:rFonts w:ascii="Times New Roman" w:eastAsia="Calibri" w:hAnsi="Times New Roman" w:cs="Times New Roman"/>
          <w:sz w:val="24"/>
          <w:szCs w:val="24"/>
        </w:rPr>
        <w:t xml:space="preserve">са </w:t>
      </w:r>
      <w:r w:rsidRPr="007404FA">
        <w:rPr>
          <w:rFonts w:ascii="Times New Roman" w:eastAsia="Calibri" w:hAnsi="Times New Roman" w:cs="Times New Roman"/>
          <w:sz w:val="24"/>
          <w:szCs w:val="24"/>
        </w:rPr>
        <w:t>избрани за председател и заместник-председател на Групата.</w:t>
      </w:r>
    </w:p>
    <w:p w:rsidR="00E42714" w:rsidRPr="007404FA" w:rsidRDefault="00E42714" w:rsidP="00DB6B05">
      <w:pPr>
        <w:spacing w:line="360" w:lineRule="auto"/>
        <w:ind w:firstLine="709"/>
        <w:jc w:val="both"/>
        <w:rPr>
          <w:rFonts w:ascii="Times New Roman" w:eastAsia="Calibri" w:hAnsi="Times New Roman" w:cs="Times New Roman"/>
          <w:color w:val="FF0000"/>
          <w:sz w:val="24"/>
          <w:szCs w:val="24"/>
        </w:rPr>
      </w:pPr>
    </w:p>
    <w:p w:rsidR="00E42714" w:rsidRPr="007404FA" w:rsidRDefault="00E42714" w:rsidP="00DB6B05">
      <w:pPr>
        <w:numPr>
          <w:ilvl w:val="0"/>
          <w:numId w:val="3"/>
        </w:numPr>
        <w:suppressAutoHyphens/>
        <w:autoSpaceDN w:val="0"/>
        <w:spacing w:line="360" w:lineRule="auto"/>
        <w:ind w:left="0" w:firstLine="709"/>
        <w:jc w:val="both"/>
        <w:textAlignment w:val="baseline"/>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 xml:space="preserve">Участия в </w:t>
      </w:r>
      <w:r w:rsidRPr="007404FA">
        <w:rPr>
          <w:rFonts w:ascii="Times New Roman" w:eastAsia="Calibri" w:hAnsi="Times New Roman" w:cs="Times New Roman"/>
          <w:b/>
          <w:sz w:val="24"/>
          <w:szCs w:val="24"/>
        </w:rPr>
        <w:t>Комитета</w:t>
      </w:r>
      <w:r w:rsidRPr="007404FA">
        <w:rPr>
          <w:rFonts w:ascii="Times New Roman" w:eastAsia="Times New Roman" w:hAnsi="Times New Roman" w:cs="Times New Roman"/>
          <w:b/>
          <w:sz w:val="24"/>
          <w:szCs w:val="24"/>
        </w:rPr>
        <w:t xml:space="preserve"> по</w:t>
      </w:r>
      <w:r w:rsidR="00F06583" w:rsidRPr="007404FA">
        <w:rPr>
          <w:rFonts w:ascii="Times New Roman" w:eastAsia="Times New Roman" w:hAnsi="Times New Roman" w:cs="Times New Roman"/>
          <w:b/>
          <w:sz w:val="24"/>
          <w:szCs w:val="24"/>
        </w:rPr>
        <w:t xml:space="preserve"> чл. </w:t>
      </w:r>
      <w:r w:rsidRPr="007404FA">
        <w:rPr>
          <w:rFonts w:ascii="Times New Roman" w:eastAsia="Times New Roman" w:hAnsi="Times New Roman" w:cs="Times New Roman"/>
          <w:b/>
          <w:sz w:val="24"/>
          <w:szCs w:val="24"/>
        </w:rPr>
        <w:t>93 от Регламент (ЕС) 2016/679.</w:t>
      </w:r>
    </w:p>
    <w:p w:rsidR="00E42714" w:rsidRPr="007404FA" w:rsidRDefault="00E42714" w:rsidP="00DB6B05">
      <w:pPr>
        <w:tabs>
          <w:tab w:val="left" w:pos="993"/>
          <w:tab w:val="left" w:pos="9639"/>
          <w:tab w:val="left" w:pos="9923"/>
        </w:tabs>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По силата на</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93 от ОРЗД действа комитет, който подпомага Европейската комисия. Този комитет е структура по смисъла на Регламент (ЕС) №182/2011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Европейската комисия. През отчетния период е проведено 1 дистанционно заседание. Основна тема е развитието на законодателството на Съединените американски щати във връзка с предвижданото решение на ЕК относно адекватното ниво на защита на данните по Регламент (ЕС) 2016/679.</w:t>
      </w:r>
    </w:p>
    <w:p w:rsidR="00E42714" w:rsidRPr="007404FA" w:rsidRDefault="00E42714" w:rsidP="00DB6B05">
      <w:pPr>
        <w:tabs>
          <w:tab w:val="left" w:pos="993"/>
        </w:tabs>
        <w:suppressAutoHyphens/>
        <w:autoSpaceDN w:val="0"/>
        <w:spacing w:line="360" w:lineRule="auto"/>
        <w:ind w:firstLine="709"/>
        <w:jc w:val="both"/>
        <w:textAlignment w:val="baseline"/>
        <w:rPr>
          <w:rFonts w:ascii="Times New Roman" w:eastAsia="Times New Roman" w:hAnsi="Times New Roman" w:cs="Times New Roman"/>
          <w:color w:val="FF0000"/>
          <w:sz w:val="24"/>
          <w:szCs w:val="24"/>
        </w:rPr>
      </w:pPr>
    </w:p>
    <w:p w:rsidR="00E42714" w:rsidRPr="007404FA" w:rsidRDefault="00E42714" w:rsidP="00DB6B05">
      <w:pPr>
        <w:numPr>
          <w:ilvl w:val="0"/>
          <w:numId w:val="3"/>
        </w:numPr>
        <w:suppressAutoHyphens/>
        <w:autoSpaceDN w:val="0"/>
        <w:spacing w:line="360" w:lineRule="auto"/>
        <w:ind w:left="0" w:firstLine="709"/>
        <w:jc w:val="both"/>
        <w:textAlignment w:val="baseline"/>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 xml:space="preserve">Участия в </w:t>
      </w:r>
      <w:r w:rsidRPr="007404FA">
        <w:rPr>
          <w:rFonts w:ascii="Times New Roman" w:eastAsia="Calibri" w:hAnsi="Times New Roman" w:cs="Times New Roman"/>
          <w:b/>
          <w:sz w:val="24"/>
          <w:szCs w:val="24"/>
        </w:rPr>
        <w:t>заседанията</w:t>
      </w:r>
      <w:r w:rsidRPr="007404FA">
        <w:rPr>
          <w:rFonts w:ascii="Times New Roman" w:eastAsia="Times New Roman" w:hAnsi="Times New Roman" w:cs="Times New Roman"/>
          <w:b/>
          <w:sz w:val="24"/>
          <w:szCs w:val="24"/>
        </w:rPr>
        <w:t xml:space="preserve"> на Работна група „Защита на данните“ към Съвета на ЕС</w:t>
      </w:r>
      <w:r w:rsidR="00C35411">
        <w:rPr>
          <w:rFonts w:ascii="Times New Roman" w:eastAsia="Times New Roman" w:hAnsi="Times New Roman" w:cs="Times New Roman"/>
          <w:b/>
          <w:sz w:val="24"/>
          <w:szCs w:val="24"/>
        </w:rPr>
        <w:t>.</w:t>
      </w:r>
    </w:p>
    <w:p w:rsidR="00E42714" w:rsidRPr="007404FA" w:rsidRDefault="00E42714"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Работната група „Защита на данните“ към Съвета на ЕС разглежда законодателните предложения на Европейската комисия в нейната област на експертиза, свързани с прилагането на законодателството и политиките за обмен на информация и защита на лични данни в областта на правоприлагането, които се изпращат към Съвета на министрите. Работната група се състои от експерти от всяка държава</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членка на ЕС, и се председателства от делегата на държавата, която изпълнява ротационното шестмесечно председателство на Съвета по правосъдие и вътрешни работи (ПВР).</w:t>
      </w:r>
    </w:p>
    <w:p w:rsidR="00E42714" w:rsidRPr="007404FA" w:rsidRDefault="00E42714" w:rsidP="00130353">
      <w:pPr>
        <w:spacing w:line="400" w:lineRule="exact"/>
        <w:ind w:firstLine="709"/>
        <w:jc w:val="both"/>
        <w:rPr>
          <w:rFonts w:ascii="Times New Roman" w:hAnsi="Times New Roman" w:cs="Times New Roman"/>
          <w:sz w:val="24"/>
          <w:szCs w:val="24"/>
        </w:rPr>
      </w:pPr>
      <w:r w:rsidRPr="007404FA">
        <w:rPr>
          <w:rFonts w:ascii="Times New Roman" w:hAnsi="Times New Roman" w:cs="Times New Roman"/>
          <w:sz w:val="24"/>
          <w:szCs w:val="24"/>
        </w:rPr>
        <w:lastRenderedPageBreak/>
        <w:t xml:space="preserve">На осъществените четири заседания през отчетния период са разгледани редица въпроси, които са елементи от текущото развитие на различни аспекти от защитата на данните на </w:t>
      </w:r>
      <w:r w:rsidR="00C35411" w:rsidRPr="007404FA">
        <w:rPr>
          <w:rFonts w:ascii="Times New Roman" w:hAnsi="Times New Roman" w:cs="Times New Roman"/>
          <w:sz w:val="24"/>
          <w:szCs w:val="24"/>
        </w:rPr>
        <w:t>европейско</w:t>
      </w:r>
      <w:r w:rsidRPr="007404FA">
        <w:rPr>
          <w:rFonts w:ascii="Times New Roman" w:hAnsi="Times New Roman" w:cs="Times New Roman"/>
          <w:sz w:val="24"/>
          <w:szCs w:val="24"/>
        </w:rPr>
        <w:t xml:space="preserve"> ниво:</w:t>
      </w:r>
    </w:p>
    <w:p w:rsidR="00E42714" w:rsidRPr="007404FA" w:rsidRDefault="00C35411" w:rsidP="00130353">
      <w:pPr>
        <w:numPr>
          <w:ilvl w:val="2"/>
          <w:numId w:val="28"/>
        </w:numPr>
        <w:suppressAutoHyphens/>
        <w:autoSpaceDN w:val="0"/>
        <w:spacing w:line="400" w:lineRule="exact"/>
        <w:ind w:left="0"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E42714" w:rsidRPr="007404FA">
        <w:rPr>
          <w:rFonts w:ascii="Times New Roman" w:eastAsia="Times New Roman" w:hAnsi="Times New Roman" w:cs="Times New Roman"/>
          <w:sz w:val="24"/>
          <w:szCs w:val="24"/>
        </w:rPr>
        <w:t>хема на търговските споразумения и инициативи в рамките на Г7, Г20 и Световната търговска организация;</w:t>
      </w:r>
    </w:p>
    <w:p w:rsidR="00E42714" w:rsidRPr="007404FA" w:rsidRDefault="00C35411" w:rsidP="00130353">
      <w:pPr>
        <w:numPr>
          <w:ilvl w:val="2"/>
          <w:numId w:val="28"/>
        </w:numPr>
        <w:suppressAutoHyphens/>
        <w:autoSpaceDN w:val="0"/>
        <w:spacing w:line="400" w:lineRule="exact"/>
        <w:ind w:left="0"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E42714" w:rsidRPr="007404FA">
        <w:rPr>
          <w:rFonts w:ascii="Times New Roman" w:eastAsia="Times New Roman" w:hAnsi="Times New Roman" w:cs="Times New Roman"/>
          <w:sz w:val="24"/>
          <w:szCs w:val="24"/>
        </w:rPr>
        <w:t>ърви доклад на ЕК по прилагането и действието на Директива (ЕС) 2016/680 на Европейския парламент и на Съвета от 27 април 2016 година относно защитата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и относно свободното движение на такива данни и за отмяна на Рамково решение 2008/977/ПВР на Съвета;</w:t>
      </w:r>
    </w:p>
    <w:p w:rsidR="00E42714" w:rsidRPr="007404FA" w:rsidRDefault="00C35411" w:rsidP="00130353">
      <w:pPr>
        <w:numPr>
          <w:ilvl w:val="2"/>
          <w:numId w:val="28"/>
        </w:numPr>
        <w:suppressAutoHyphens/>
        <w:autoSpaceDN w:val="0"/>
        <w:spacing w:line="400" w:lineRule="exact"/>
        <w:ind w:left="0"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E42714" w:rsidRPr="007404FA">
        <w:rPr>
          <w:rFonts w:ascii="Times New Roman" w:eastAsia="Times New Roman" w:hAnsi="Times New Roman" w:cs="Times New Roman"/>
          <w:sz w:val="24"/>
          <w:szCs w:val="24"/>
        </w:rPr>
        <w:t>оклад на ЕК за състоянието на Шенген 2022</w:t>
      </w:r>
      <w:r w:rsidR="00F06583" w:rsidRPr="007404FA">
        <w:rPr>
          <w:rFonts w:ascii="Times New Roman" w:eastAsia="Times New Roman" w:hAnsi="Times New Roman" w:cs="Times New Roman"/>
          <w:sz w:val="24"/>
          <w:szCs w:val="24"/>
        </w:rPr>
        <w:t> г.</w:t>
      </w:r>
      <w:r w:rsidR="00E42714" w:rsidRPr="007404FA">
        <w:rPr>
          <w:rFonts w:ascii="Times New Roman" w:eastAsia="Times New Roman" w:hAnsi="Times New Roman" w:cs="Times New Roman"/>
          <w:sz w:val="24"/>
          <w:szCs w:val="24"/>
        </w:rPr>
        <w:t>;</w:t>
      </w:r>
    </w:p>
    <w:p w:rsidR="00E42714" w:rsidRPr="007404FA" w:rsidRDefault="00C35411" w:rsidP="00130353">
      <w:pPr>
        <w:numPr>
          <w:ilvl w:val="2"/>
          <w:numId w:val="28"/>
        </w:numPr>
        <w:suppressAutoHyphens/>
        <w:autoSpaceDN w:val="0"/>
        <w:spacing w:line="400" w:lineRule="exact"/>
        <w:ind w:left="0"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започване</w:t>
      </w:r>
      <w:r w:rsidR="00E42714" w:rsidRPr="007404FA">
        <w:rPr>
          <w:rFonts w:ascii="Times New Roman" w:eastAsia="Times New Roman" w:hAnsi="Times New Roman" w:cs="Times New Roman"/>
          <w:sz w:val="24"/>
          <w:szCs w:val="24"/>
        </w:rPr>
        <w:t xml:space="preserve"> на преговори с Япония за сключване на разпоредби, регламентиращи предаването на лични данни, в Споразумението между ЕС и Япония за </w:t>
      </w:r>
      <w:r w:rsidR="00E42714" w:rsidRPr="007404FA">
        <w:rPr>
          <w:rFonts w:ascii="Times New Roman" w:eastAsia="Times New Roman" w:hAnsi="Times New Roman" w:cs="Times New Roman"/>
          <w:sz w:val="24"/>
          <w:szCs w:val="24"/>
        </w:rPr>
        <w:br/>
        <w:t>икономическо партньорство;</w:t>
      </w:r>
    </w:p>
    <w:p w:rsidR="00E42714" w:rsidRPr="007404FA" w:rsidRDefault="00C35411" w:rsidP="00130353">
      <w:pPr>
        <w:numPr>
          <w:ilvl w:val="2"/>
          <w:numId w:val="28"/>
        </w:numPr>
        <w:suppressAutoHyphens/>
        <w:autoSpaceDN w:val="0"/>
        <w:spacing w:line="400" w:lineRule="exact"/>
        <w:ind w:left="0"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E42714" w:rsidRPr="007404FA">
        <w:rPr>
          <w:rFonts w:ascii="Times New Roman" w:eastAsia="Times New Roman" w:hAnsi="Times New Roman" w:cs="Times New Roman"/>
          <w:sz w:val="24"/>
          <w:szCs w:val="24"/>
        </w:rPr>
        <w:t>рансатлантическата правна рамка за защита на личните данни между ЕС и САЩ;</w:t>
      </w:r>
    </w:p>
    <w:p w:rsidR="00E42714" w:rsidRPr="007404FA" w:rsidRDefault="00C35411" w:rsidP="00130353">
      <w:pPr>
        <w:numPr>
          <w:ilvl w:val="2"/>
          <w:numId w:val="28"/>
        </w:numPr>
        <w:suppressAutoHyphens/>
        <w:autoSpaceDN w:val="0"/>
        <w:spacing w:line="400" w:lineRule="exact"/>
        <w:ind w:left="0"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E42714" w:rsidRPr="007404FA">
        <w:rPr>
          <w:rFonts w:ascii="Times New Roman" w:eastAsia="Times New Roman" w:hAnsi="Times New Roman" w:cs="Times New Roman"/>
          <w:sz w:val="24"/>
          <w:szCs w:val="24"/>
        </w:rPr>
        <w:t>реглед на Споразумението между САЩ и ЕС относно защитата на личната информация във връзка с предотвратяването, разследването, разкриването и наказателното преследване на престъпления (Umbrella Agreement).</w:t>
      </w:r>
    </w:p>
    <w:p w:rsidR="00E42714" w:rsidRPr="007404FA" w:rsidRDefault="00E42714" w:rsidP="00130353">
      <w:pPr>
        <w:tabs>
          <w:tab w:val="left" w:pos="993"/>
        </w:tabs>
        <w:suppressAutoHyphens/>
        <w:autoSpaceDN w:val="0"/>
        <w:spacing w:line="400" w:lineRule="exact"/>
        <w:ind w:firstLine="709"/>
        <w:jc w:val="both"/>
        <w:textAlignment w:val="baseline"/>
        <w:rPr>
          <w:rFonts w:ascii="Times New Roman" w:eastAsia="Times New Roman" w:hAnsi="Times New Roman" w:cs="Times New Roman"/>
          <w:sz w:val="24"/>
          <w:szCs w:val="24"/>
        </w:rPr>
      </w:pPr>
    </w:p>
    <w:p w:rsidR="00E42714" w:rsidRPr="007404FA" w:rsidRDefault="00E42714" w:rsidP="00130353">
      <w:pPr>
        <w:numPr>
          <w:ilvl w:val="0"/>
          <w:numId w:val="3"/>
        </w:numPr>
        <w:suppressAutoHyphens/>
        <w:autoSpaceDN w:val="0"/>
        <w:spacing w:line="400" w:lineRule="exact"/>
        <w:ind w:left="0" w:firstLine="709"/>
        <w:jc w:val="both"/>
        <w:textAlignment w:val="baseline"/>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Участие в заседанията на Изпълнителното бюро на Конвенция 108 към Съвета на Европа.</w:t>
      </w:r>
    </w:p>
    <w:p w:rsidR="00E42714" w:rsidRPr="007404FA" w:rsidRDefault="00E42714" w:rsidP="00130353">
      <w:pPr>
        <w:spacing w:line="400" w:lineRule="exact"/>
        <w:ind w:firstLine="709"/>
        <w:jc w:val="both"/>
        <w:rPr>
          <w:rFonts w:ascii="Times New Roman" w:hAnsi="Times New Roman"/>
          <w:sz w:val="24"/>
          <w:szCs w:val="24"/>
        </w:rPr>
      </w:pPr>
      <w:r w:rsidRPr="007404FA">
        <w:rPr>
          <w:rFonts w:ascii="Times New Roman" w:hAnsi="Times New Roman"/>
          <w:sz w:val="24"/>
          <w:szCs w:val="24"/>
        </w:rPr>
        <w:t>Конвенция №108 на Съвета на Европа за защита на лицата при автоматизираната обработка на лични данни е еталон за международен акт с многогодишна история, който защитава личните данни на физическите лица. Комитетът се състои от представители на страните по Конвенцията и наблюдатели от други държави, международни организации и неправителствени организации. Комитетът изготвя доклади, насоки и ръководни принципи по актуални теми, свързани с приложното поле на Конвенция 108. В рамките на отчетния период Комитетът заседава на една пленар</w:t>
      </w:r>
      <w:r w:rsidR="00634F0E" w:rsidRPr="007404FA">
        <w:rPr>
          <w:rFonts w:ascii="Times New Roman" w:hAnsi="Times New Roman"/>
          <w:sz w:val="24"/>
          <w:szCs w:val="24"/>
        </w:rPr>
        <w:t>на сесия, а Изпълнителното бюро</w:t>
      </w:r>
      <w:r w:rsidRPr="007404FA">
        <w:rPr>
          <w:rFonts w:ascii="Times New Roman" w:hAnsi="Times New Roman"/>
          <w:sz w:val="24"/>
          <w:szCs w:val="24"/>
        </w:rPr>
        <w:t xml:space="preserve"> към Консултативния комитет</w:t>
      </w:r>
      <w:r w:rsidR="00553661" w:rsidRPr="007404FA">
        <w:rPr>
          <w:rFonts w:ascii="Times New Roman" w:hAnsi="Times New Roman"/>
          <w:sz w:val="24"/>
          <w:szCs w:val="24"/>
        </w:rPr>
        <w:t xml:space="preserve"> – </w:t>
      </w:r>
      <w:r w:rsidRPr="007404FA">
        <w:rPr>
          <w:rFonts w:ascii="Times New Roman" w:hAnsi="Times New Roman"/>
          <w:sz w:val="24"/>
          <w:szCs w:val="24"/>
        </w:rPr>
        <w:t>три пъти. Към края на ноември 2022</w:t>
      </w:r>
      <w:r w:rsidR="00F06583" w:rsidRPr="007404FA">
        <w:rPr>
          <w:rFonts w:ascii="Times New Roman" w:hAnsi="Times New Roman"/>
          <w:sz w:val="24"/>
          <w:szCs w:val="24"/>
        </w:rPr>
        <w:t> г.</w:t>
      </w:r>
      <w:r w:rsidRPr="007404FA">
        <w:rPr>
          <w:rFonts w:ascii="Times New Roman" w:hAnsi="Times New Roman"/>
          <w:sz w:val="24"/>
          <w:szCs w:val="24"/>
        </w:rPr>
        <w:t xml:space="preserve"> 43 страни са подписали Допълнителния протокол към Конвенцията (така наречената Конвенция 108+) и 20 страни са ратифицирали Протокола (CETS №223) за изменение на Конвенцията за защита на лицата при автоматизирана обработка на лични данни. </w:t>
      </w:r>
    </w:p>
    <w:p w:rsidR="00E42714" w:rsidRPr="007404FA" w:rsidRDefault="00E42714" w:rsidP="00130353">
      <w:pPr>
        <w:spacing w:line="400" w:lineRule="exact"/>
        <w:ind w:firstLine="709"/>
        <w:jc w:val="both"/>
        <w:rPr>
          <w:rFonts w:ascii="Times New Roman" w:hAnsi="Times New Roman"/>
          <w:sz w:val="24"/>
          <w:szCs w:val="24"/>
        </w:rPr>
      </w:pPr>
      <w:r w:rsidRPr="007404FA">
        <w:rPr>
          <w:rFonts w:ascii="Times New Roman" w:hAnsi="Times New Roman"/>
          <w:sz w:val="24"/>
          <w:szCs w:val="24"/>
        </w:rPr>
        <w:t>През 2022</w:t>
      </w:r>
      <w:r w:rsidR="00F06583" w:rsidRPr="007404FA">
        <w:rPr>
          <w:rFonts w:ascii="Times New Roman" w:hAnsi="Times New Roman"/>
          <w:sz w:val="24"/>
          <w:szCs w:val="24"/>
        </w:rPr>
        <w:t> г.</w:t>
      </w:r>
      <w:r w:rsidRPr="007404FA">
        <w:rPr>
          <w:rFonts w:ascii="Times New Roman" w:hAnsi="Times New Roman"/>
          <w:sz w:val="24"/>
          <w:szCs w:val="24"/>
        </w:rPr>
        <w:t xml:space="preserve"> са финализирани Насоките</w:t>
      </w:r>
      <w:r w:rsidR="003664C7" w:rsidRPr="007404FA">
        <w:rPr>
          <w:rFonts w:ascii="Times New Roman" w:hAnsi="Times New Roman"/>
          <w:sz w:val="24"/>
          <w:szCs w:val="24"/>
        </w:rPr>
        <w:t>,</w:t>
      </w:r>
      <w:r w:rsidRPr="007404FA">
        <w:rPr>
          <w:rFonts w:ascii="Times New Roman" w:hAnsi="Times New Roman"/>
          <w:sz w:val="24"/>
          <w:szCs w:val="24"/>
        </w:rPr>
        <w:t xml:space="preserve"> свързани с цифровата идентичност и защитата на данните, както и Становище относно проекта на Резолюция за създаване на Регламент на Съвета на Европа за защита на личните данни. Сред приетите документи е и </w:t>
      </w:r>
      <w:r w:rsidRPr="007404FA">
        <w:rPr>
          <w:rFonts w:ascii="Times New Roman" w:hAnsi="Times New Roman"/>
          <w:sz w:val="24"/>
          <w:szCs w:val="24"/>
        </w:rPr>
        <w:lastRenderedPageBreak/>
        <w:t>актуализираният Правилник за дейността на</w:t>
      </w:r>
      <w:r w:rsidR="00157B49">
        <w:rPr>
          <w:rFonts w:ascii="Times New Roman" w:hAnsi="Times New Roman"/>
          <w:sz w:val="24"/>
          <w:szCs w:val="24"/>
        </w:rPr>
        <w:t xml:space="preserve"> </w:t>
      </w:r>
      <w:r w:rsidRPr="007404FA">
        <w:rPr>
          <w:rFonts w:ascii="Times New Roman" w:hAnsi="Times New Roman"/>
          <w:sz w:val="24"/>
          <w:szCs w:val="24"/>
        </w:rPr>
        <w:t>Консултативния комитет на Конвенцията за защита на лицата по отношение на автоматизираната обработка на лични данни.</w:t>
      </w:r>
      <w:r w:rsidR="00157B49">
        <w:rPr>
          <w:rFonts w:ascii="Times New Roman" w:hAnsi="Times New Roman"/>
          <w:sz w:val="24"/>
          <w:szCs w:val="24"/>
        </w:rPr>
        <w:t xml:space="preserve"> </w:t>
      </w:r>
      <w:r w:rsidR="00C35411">
        <w:rPr>
          <w:rFonts w:ascii="Times New Roman" w:hAnsi="Times New Roman"/>
          <w:sz w:val="24"/>
          <w:szCs w:val="24"/>
        </w:rPr>
        <w:t>Също така</w:t>
      </w:r>
      <w:r w:rsidRPr="007404FA">
        <w:rPr>
          <w:rFonts w:ascii="Times New Roman" w:hAnsi="Times New Roman"/>
          <w:sz w:val="24"/>
          <w:szCs w:val="24"/>
        </w:rPr>
        <w:t xml:space="preserve"> са проведени избори за нови членове на Консултативния комитет на Конвенция 108 и на Бюрото към комитета. В новия мандат за председател и заместник-председатели са избрани представители на Германия, Швейцария и Сенегал. Новите членове на Бюрото са представители на</w:t>
      </w:r>
      <w:r w:rsidR="00157B49">
        <w:rPr>
          <w:rFonts w:ascii="Times New Roman" w:hAnsi="Times New Roman"/>
          <w:sz w:val="24"/>
          <w:szCs w:val="24"/>
        </w:rPr>
        <w:t xml:space="preserve"> </w:t>
      </w:r>
      <w:r w:rsidRPr="007404FA">
        <w:rPr>
          <w:rFonts w:ascii="Times New Roman" w:hAnsi="Times New Roman"/>
          <w:sz w:val="24"/>
          <w:szCs w:val="24"/>
        </w:rPr>
        <w:t>Великобритания, Испания, Хърватия, Уругвай и Италия.</w:t>
      </w:r>
    </w:p>
    <w:p w:rsidR="00E42714" w:rsidRPr="007404FA" w:rsidRDefault="00E42714" w:rsidP="00130353">
      <w:pPr>
        <w:spacing w:line="400" w:lineRule="exact"/>
        <w:ind w:firstLine="709"/>
        <w:jc w:val="both"/>
        <w:rPr>
          <w:rFonts w:ascii="Times New Roman" w:hAnsi="Times New Roman"/>
          <w:sz w:val="24"/>
          <w:szCs w:val="24"/>
        </w:rPr>
      </w:pPr>
    </w:p>
    <w:p w:rsidR="00E42714" w:rsidRPr="007404FA" w:rsidRDefault="00E42714" w:rsidP="00130353">
      <w:pPr>
        <w:numPr>
          <w:ilvl w:val="0"/>
          <w:numId w:val="3"/>
        </w:numPr>
        <w:suppressAutoHyphens/>
        <w:autoSpaceDN w:val="0"/>
        <w:spacing w:line="400" w:lineRule="exact"/>
        <w:ind w:left="0" w:firstLine="709"/>
        <w:jc w:val="both"/>
        <w:textAlignment w:val="baseline"/>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Експертната подгрупа по Регламент (ЕС) 2016/679 и Директива (ЕС) 2016/680 към Европейската комисия.</w:t>
      </w:r>
    </w:p>
    <w:p w:rsidR="00E42714" w:rsidRPr="007404FA" w:rsidRDefault="00E42714" w:rsidP="00130353">
      <w:pPr>
        <w:spacing w:line="400" w:lineRule="exact"/>
        <w:ind w:firstLine="709"/>
        <w:jc w:val="both"/>
        <w:rPr>
          <w:rFonts w:ascii="Times New Roman" w:hAnsi="Times New Roman" w:cs="Times New Roman"/>
          <w:color w:val="FF0000"/>
          <w:sz w:val="24"/>
          <w:szCs w:val="24"/>
        </w:rPr>
      </w:pPr>
      <w:r w:rsidRPr="007404FA">
        <w:rPr>
          <w:rFonts w:ascii="Times New Roman" w:hAnsi="Times New Roman" w:cs="Times New Roman"/>
          <w:sz w:val="24"/>
          <w:szCs w:val="24"/>
        </w:rPr>
        <w:t>Експертната подгрупа по Регламент (ЕС) 2016/679 и Директива (ЕС) 2016/680 към Европейската комисия е постоянна работна група, която се председателства от представител на ЕК и чиято задача е осигуряването на експертиза в областта на защитата на личните данни, доколкото този процес ще подпомогне ЕК във вземането на решения, основани на общото мнение на общността на специалистите с експертни познания в защитата на данните от националните надзорни органи. През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са осъществени 2 дистанционни заседания</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съответно през януари и ноември. Основните обсъждани теми са: първо, да се завърши обобщението на отговорите относно надзора върху обработването на лични данни от съдилищата, действащи в качеството на органи на съдебната власт</w:t>
      </w:r>
      <w:r w:rsidR="00C35411">
        <w:rPr>
          <w:rFonts w:ascii="Times New Roman" w:hAnsi="Times New Roman" w:cs="Times New Roman"/>
          <w:sz w:val="24"/>
          <w:szCs w:val="24"/>
        </w:rPr>
        <w:t>,</w:t>
      </w:r>
      <w:r w:rsidRPr="007404FA">
        <w:rPr>
          <w:rFonts w:ascii="Times New Roman" w:hAnsi="Times New Roman" w:cs="Times New Roman"/>
          <w:sz w:val="24"/>
          <w:szCs w:val="24"/>
        </w:rPr>
        <w:t xml:space="preserve"> и второ, да информира членовете на групата относно инициативата на ЕК относно ня</w:t>
      </w:r>
      <w:r w:rsidR="00C35411">
        <w:rPr>
          <w:rFonts w:ascii="Times New Roman" w:hAnsi="Times New Roman" w:cs="Times New Roman"/>
          <w:sz w:val="24"/>
          <w:szCs w:val="24"/>
        </w:rPr>
        <w:t>кои процедурни (административно</w:t>
      </w:r>
      <w:r w:rsidRPr="007404FA">
        <w:rPr>
          <w:rFonts w:ascii="Times New Roman" w:hAnsi="Times New Roman" w:cs="Times New Roman"/>
          <w:sz w:val="24"/>
          <w:szCs w:val="24"/>
        </w:rPr>
        <w:t>правни) аспекти, свързани с дейността на органите за защита на данните, имащи отношение към ефективното прилагане на Регламент (ЕС) 2016/679, като очаква да получи техния евентуален принос.</w:t>
      </w:r>
    </w:p>
    <w:p w:rsidR="00E42714" w:rsidRPr="007404FA" w:rsidRDefault="00E42714" w:rsidP="00130353">
      <w:pPr>
        <w:spacing w:line="400" w:lineRule="exact"/>
        <w:ind w:firstLine="709"/>
        <w:jc w:val="both"/>
        <w:rPr>
          <w:rFonts w:ascii="Times New Roman" w:hAnsi="Times New Roman" w:cs="Times New Roman"/>
          <w:sz w:val="24"/>
          <w:szCs w:val="24"/>
        </w:rPr>
      </w:pPr>
      <w:r w:rsidRPr="007404FA">
        <w:rPr>
          <w:rFonts w:ascii="Times New Roman" w:eastAsia="Times New Roman" w:hAnsi="Times New Roman" w:cs="Times New Roman"/>
          <w:sz w:val="24"/>
          <w:szCs w:val="24"/>
        </w:rPr>
        <w:t>Подчертава се необходимостта от улесняване на сътрудничеството между националните надзорни органи по защита на данните в трансгранични случаи, за да се гарантира по-добро прилагане на Регламент (ЕС) 2016/679. Позовавайки се на дългогодишните дискусии, по-специално</w:t>
      </w:r>
      <w:r w:rsidR="00C35411">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xml:space="preserve"> между надзорните органи</w:t>
      </w:r>
      <w:r w:rsidR="00C35411">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xml:space="preserve"> и на „списъка с желания“ на ЕКЗД, официално предаден на Европейската комисия относно някои процедурни проблеми, ЕК обръща внимание на включването на тази конкретна инициатива в работната ѝ програма за 2023</w:t>
      </w:r>
      <w:r w:rsidR="00F06583" w:rsidRPr="007404FA">
        <w:rPr>
          <w:rFonts w:ascii="Times New Roman" w:eastAsia="Times New Roman" w:hAnsi="Times New Roman" w:cs="Times New Roman"/>
          <w:sz w:val="24"/>
          <w:szCs w:val="24"/>
        </w:rPr>
        <w:t> г.</w:t>
      </w:r>
      <w:r w:rsidRPr="007404FA">
        <w:rPr>
          <w:rFonts w:ascii="Times New Roman" w:hAnsi="Times New Roman" w:cs="Times New Roman"/>
          <w:sz w:val="24"/>
          <w:szCs w:val="24"/>
        </w:rPr>
        <w:t xml:space="preserve"> </w:t>
      </w:r>
    </w:p>
    <w:p w:rsidR="00E42714" w:rsidRPr="007404FA" w:rsidRDefault="00E42714" w:rsidP="00130353">
      <w:pPr>
        <w:spacing w:line="400" w:lineRule="exact"/>
        <w:ind w:firstLine="709"/>
        <w:jc w:val="both"/>
        <w:rPr>
          <w:rFonts w:ascii="Times New Roman" w:hAnsi="Times New Roman" w:cs="Times New Roman"/>
          <w:color w:val="FF0000"/>
          <w:sz w:val="24"/>
          <w:szCs w:val="24"/>
        </w:rPr>
      </w:pPr>
    </w:p>
    <w:p w:rsidR="00E42714" w:rsidRPr="007404FA" w:rsidRDefault="00E42714" w:rsidP="00130353">
      <w:pPr>
        <w:numPr>
          <w:ilvl w:val="0"/>
          <w:numId w:val="3"/>
        </w:numPr>
        <w:suppressAutoHyphens/>
        <w:autoSpaceDN w:val="0"/>
        <w:spacing w:line="400" w:lineRule="exact"/>
        <w:ind w:left="0" w:firstLine="709"/>
        <w:jc w:val="both"/>
        <w:textAlignment w:val="baseline"/>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Участие в международни форуми по защита на данните</w:t>
      </w:r>
      <w:r w:rsidR="00C35411">
        <w:rPr>
          <w:rFonts w:ascii="Times New Roman" w:eastAsia="Times New Roman" w:hAnsi="Times New Roman" w:cs="Times New Roman"/>
          <w:b/>
          <w:sz w:val="24"/>
          <w:szCs w:val="24"/>
        </w:rPr>
        <w:t>.</w:t>
      </w:r>
    </w:p>
    <w:p w:rsidR="00E42714" w:rsidRPr="007404FA" w:rsidRDefault="00F8199D" w:rsidP="00130353">
      <w:pPr>
        <w:spacing w:line="400" w:lineRule="exact"/>
        <w:ind w:firstLine="709"/>
        <w:jc w:val="both"/>
        <w:rPr>
          <w:rFonts w:ascii="Times New Roman" w:hAnsi="Times New Roman"/>
          <w:b/>
          <w:sz w:val="24"/>
          <w:szCs w:val="24"/>
        </w:rPr>
      </w:pPr>
      <w:r w:rsidRPr="007404FA">
        <w:rPr>
          <w:rFonts w:ascii="Times New Roman" w:hAnsi="Times New Roman"/>
          <w:b/>
          <w:sz w:val="24"/>
          <w:szCs w:val="24"/>
        </w:rPr>
        <w:t xml:space="preserve">6.1. </w:t>
      </w:r>
      <w:r w:rsidR="00E42714" w:rsidRPr="007404FA">
        <w:rPr>
          <w:rFonts w:ascii="Times New Roman" w:hAnsi="Times New Roman"/>
          <w:b/>
          <w:sz w:val="24"/>
          <w:szCs w:val="24"/>
        </w:rPr>
        <w:t>Усилия за присъединяване към Организацията за икономическо сътрудничество и развитие</w:t>
      </w:r>
      <w:r w:rsidR="00C231B2" w:rsidRPr="007404FA">
        <w:rPr>
          <w:rFonts w:ascii="Times New Roman" w:hAnsi="Times New Roman"/>
          <w:b/>
          <w:sz w:val="24"/>
          <w:szCs w:val="24"/>
        </w:rPr>
        <w:t xml:space="preserve"> (ОИСР)</w:t>
      </w:r>
      <w:r w:rsidR="00C35411">
        <w:rPr>
          <w:rFonts w:ascii="Times New Roman" w:hAnsi="Times New Roman"/>
          <w:b/>
          <w:sz w:val="24"/>
          <w:szCs w:val="24"/>
        </w:rPr>
        <w:t>.</w:t>
      </w:r>
    </w:p>
    <w:p w:rsidR="00E42714" w:rsidRPr="007404FA" w:rsidRDefault="00E42714" w:rsidP="00130353">
      <w:pPr>
        <w:spacing w:line="400" w:lineRule="exact"/>
        <w:ind w:firstLine="709"/>
        <w:jc w:val="both"/>
        <w:rPr>
          <w:rFonts w:ascii="Times New Roman" w:hAnsi="Times New Roman"/>
          <w:sz w:val="24"/>
          <w:szCs w:val="24"/>
        </w:rPr>
      </w:pPr>
      <w:r w:rsidRPr="007404FA">
        <w:rPr>
          <w:rFonts w:ascii="Times New Roman" w:hAnsi="Times New Roman"/>
          <w:sz w:val="24"/>
          <w:szCs w:val="24"/>
        </w:rPr>
        <w:t>ОИСР е създадена през 1961</w:t>
      </w:r>
      <w:r w:rsidR="00F06583" w:rsidRPr="007404FA">
        <w:rPr>
          <w:rFonts w:ascii="Times New Roman" w:hAnsi="Times New Roman"/>
          <w:sz w:val="24"/>
          <w:szCs w:val="24"/>
        </w:rPr>
        <w:t> г.</w:t>
      </w:r>
      <w:r w:rsidRPr="007404FA">
        <w:rPr>
          <w:rFonts w:ascii="Times New Roman" w:hAnsi="Times New Roman"/>
          <w:sz w:val="24"/>
          <w:szCs w:val="24"/>
        </w:rPr>
        <w:t xml:space="preserve"> с цел стимулиране на политики за устойчиво икономическо развитие, повишаване жизнения стандарт на населението и поддържане на финансова стабилност. Това е форум на държавите, приемащи принципите на </w:t>
      </w:r>
      <w:r w:rsidRPr="007404FA">
        <w:rPr>
          <w:rFonts w:ascii="Times New Roman" w:hAnsi="Times New Roman"/>
          <w:sz w:val="24"/>
          <w:szCs w:val="24"/>
        </w:rPr>
        <w:lastRenderedPageBreak/>
        <w:t>представителната демокрация и пазарната икономика. Организацията дава пространство за сравняване на политическия опит, търсене на отговори на чести проблеми, идентифициране на добрите прак</w:t>
      </w:r>
      <w:r w:rsidR="00C35411">
        <w:rPr>
          <w:rFonts w:ascii="Times New Roman" w:hAnsi="Times New Roman"/>
          <w:sz w:val="24"/>
          <w:szCs w:val="24"/>
        </w:rPr>
        <w:t>тики и координиране на вътрешно</w:t>
      </w:r>
      <w:r w:rsidRPr="007404FA">
        <w:rPr>
          <w:rFonts w:ascii="Times New Roman" w:hAnsi="Times New Roman"/>
          <w:sz w:val="24"/>
          <w:szCs w:val="24"/>
        </w:rPr>
        <w:t>държавните и международните политики на неговите членове. Към настоящия момент е утвърдена международна организация с водеща роля в изработването и прилагането на най-високи стандарти във всички ключови об</w:t>
      </w:r>
      <w:r w:rsidR="00C35411">
        <w:rPr>
          <w:rFonts w:ascii="Times New Roman" w:hAnsi="Times New Roman"/>
          <w:sz w:val="24"/>
          <w:szCs w:val="24"/>
        </w:rPr>
        <w:t>ласти като управление, данъчна</w:t>
      </w:r>
      <w:r w:rsidRPr="007404FA">
        <w:rPr>
          <w:rFonts w:ascii="Times New Roman" w:hAnsi="Times New Roman"/>
          <w:sz w:val="24"/>
          <w:szCs w:val="24"/>
        </w:rPr>
        <w:t xml:space="preserve"> политика, транспортна инфраструктура, селско стопанство, образование, дигитална икономика и иновации, климат и др. От 1980 </w:t>
      </w:r>
      <w:r w:rsidR="00C35411">
        <w:rPr>
          <w:rFonts w:ascii="Times New Roman" w:hAnsi="Times New Roman"/>
          <w:sz w:val="24"/>
          <w:szCs w:val="24"/>
        </w:rPr>
        <w:t>г.</w:t>
      </w:r>
      <w:r w:rsidRPr="007404FA">
        <w:rPr>
          <w:rFonts w:ascii="Times New Roman" w:hAnsi="Times New Roman"/>
          <w:sz w:val="24"/>
          <w:szCs w:val="24"/>
        </w:rPr>
        <w:t xml:space="preserve"> насам ОИСР дава насоки за защита на поверителността и трансгранични потоци на лични данни и оказва ценно сътрудничество за развитието на защитата на данните. Част от постоянната структура на организацията е работната група за сигурност и неприкосновеност на личния живот в цифровата икономика, към която КЗЛД има материална компетентност да се присъедини. Групата работи по политики, които се грижат за това цифровата сигурност и защитата на неприкосновеността на личния живот да подпомагат развитието на цифровата икономика.</w:t>
      </w:r>
    </w:p>
    <w:p w:rsidR="00E42714" w:rsidRPr="007404FA" w:rsidRDefault="00E42714" w:rsidP="00DB6B05">
      <w:pPr>
        <w:spacing w:line="360" w:lineRule="auto"/>
        <w:ind w:firstLine="709"/>
        <w:jc w:val="both"/>
        <w:rPr>
          <w:rFonts w:ascii="Times New Roman" w:hAnsi="Times New Roman"/>
          <w:sz w:val="24"/>
          <w:szCs w:val="24"/>
        </w:rPr>
      </w:pPr>
      <w:r w:rsidRPr="007404FA">
        <w:rPr>
          <w:rFonts w:ascii="Times New Roman" w:hAnsi="Times New Roman"/>
          <w:sz w:val="24"/>
          <w:szCs w:val="24"/>
        </w:rPr>
        <w:t>По време на двудневната Шеста сесия на Работната група за управлението на данните и неприкосновеността в цифровата икономика към организацията, осъществена дистанционно на 7</w:t>
      </w:r>
      <w:r w:rsidR="00C35411">
        <w:rPr>
          <w:rFonts w:ascii="Times New Roman" w:hAnsi="Times New Roman"/>
          <w:sz w:val="24"/>
          <w:szCs w:val="24"/>
        </w:rPr>
        <w:t>-и</w:t>
      </w:r>
      <w:r w:rsidRPr="007404FA">
        <w:rPr>
          <w:rFonts w:ascii="Times New Roman" w:hAnsi="Times New Roman"/>
          <w:sz w:val="24"/>
          <w:szCs w:val="24"/>
        </w:rPr>
        <w:t xml:space="preserve"> и 8 април 2022</w:t>
      </w:r>
      <w:r w:rsidR="00F06583" w:rsidRPr="007404FA">
        <w:rPr>
          <w:rFonts w:ascii="Times New Roman" w:hAnsi="Times New Roman"/>
          <w:sz w:val="24"/>
          <w:szCs w:val="24"/>
        </w:rPr>
        <w:t> г.</w:t>
      </w:r>
      <w:r w:rsidRPr="007404FA">
        <w:rPr>
          <w:rFonts w:ascii="Times New Roman" w:hAnsi="Times New Roman"/>
          <w:sz w:val="24"/>
          <w:szCs w:val="24"/>
        </w:rPr>
        <w:t>, са обсъдени 2 групи документи:</w:t>
      </w:r>
    </w:p>
    <w:p w:rsidR="00E42714" w:rsidRPr="007404FA" w:rsidRDefault="00C35411" w:rsidP="00DB6B05">
      <w:pPr>
        <w:pStyle w:val="ListParagraph"/>
        <w:numPr>
          <w:ilvl w:val="2"/>
          <w:numId w:val="29"/>
        </w:numPr>
        <w:spacing w:after="0" w:line="360" w:lineRule="auto"/>
        <w:ind w:left="0" w:firstLine="709"/>
        <w:jc w:val="both"/>
        <w:rPr>
          <w:rFonts w:ascii="Times New Roman" w:hAnsi="Times New Roman"/>
          <w:sz w:val="24"/>
          <w:szCs w:val="24"/>
          <w:lang w:val="bg-BG"/>
        </w:rPr>
      </w:pPr>
      <w:r>
        <w:rPr>
          <w:rFonts w:ascii="Times New Roman" w:hAnsi="Times New Roman"/>
          <w:sz w:val="24"/>
          <w:szCs w:val="24"/>
          <w:lang w:val="bg-BG"/>
        </w:rPr>
        <w:t>д</w:t>
      </w:r>
      <w:r w:rsidR="00E42714" w:rsidRPr="007404FA">
        <w:rPr>
          <w:rFonts w:ascii="Times New Roman" w:hAnsi="Times New Roman"/>
          <w:sz w:val="24"/>
          <w:szCs w:val="24"/>
          <w:lang w:val="bg-BG"/>
        </w:rPr>
        <w:t>окументи, по които се очакват писмени</w:t>
      </w:r>
      <w:r w:rsidR="002A5F70" w:rsidRPr="007404FA">
        <w:rPr>
          <w:rFonts w:ascii="Times New Roman" w:hAnsi="Times New Roman"/>
          <w:sz w:val="24"/>
          <w:szCs w:val="24"/>
          <w:lang w:val="bg-BG"/>
        </w:rPr>
        <w:t xml:space="preserve"> коментари след дискусията</w:t>
      </w:r>
      <w:r w:rsidR="00E42714" w:rsidRPr="007404FA">
        <w:rPr>
          <w:rFonts w:ascii="Times New Roman" w:hAnsi="Times New Roman"/>
          <w:sz w:val="24"/>
          <w:szCs w:val="24"/>
          <w:lang w:val="bg-BG"/>
        </w:rPr>
        <w:t xml:space="preserve">: Препоръката на Съвета за подобряване на достъпа до и споделянето на данни; </w:t>
      </w:r>
      <w:r>
        <w:rPr>
          <w:rFonts w:ascii="Times New Roman" w:hAnsi="Times New Roman"/>
          <w:sz w:val="24"/>
          <w:szCs w:val="24"/>
          <w:lang w:val="bg-BG"/>
        </w:rPr>
        <w:t>а</w:t>
      </w:r>
      <w:r w:rsidR="00E42714" w:rsidRPr="007404FA">
        <w:rPr>
          <w:rFonts w:ascii="Times New Roman" w:hAnsi="Times New Roman"/>
          <w:sz w:val="24"/>
          <w:szCs w:val="24"/>
          <w:lang w:val="bg-BG"/>
        </w:rPr>
        <w:t xml:space="preserve">налитичният доклад за технологиите за подобряване на неприкосновеността (PETs); </w:t>
      </w:r>
      <w:r>
        <w:rPr>
          <w:rFonts w:ascii="Times New Roman" w:hAnsi="Times New Roman"/>
          <w:sz w:val="24"/>
          <w:szCs w:val="24"/>
          <w:lang w:val="bg-BG"/>
        </w:rPr>
        <w:t>п</w:t>
      </w:r>
      <w:r w:rsidR="00E42714" w:rsidRPr="007404FA">
        <w:rPr>
          <w:rFonts w:ascii="Times New Roman" w:hAnsi="Times New Roman"/>
          <w:sz w:val="24"/>
          <w:szCs w:val="24"/>
          <w:lang w:val="bg-BG"/>
        </w:rPr>
        <w:t>репоръката на Съвета на ОИСР относно трансграничното сътрудничество при прилагането на закони, защитаващи неприкосновеността на личния живот</w:t>
      </w:r>
      <w:r w:rsidR="00230806" w:rsidRPr="007404FA">
        <w:rPr>
          <w:rFonts w:ascii="Times New Roman" w:hAnsi="Times New Roman"/>
          <w:sz w:val="24"/>
          <w:szCs w:val="24"/>
          <w:lang w:val="bg-BG"/>
        </w:rPr>
        <w:t>;</w:t>
      </w:r>
    </w:p>
    <w:p w:rsidR="00E42714" w:rsidRPr="007404FA" w:rsidRDefault="00C35411" w:rsidP="00DB6B05">
      <w:pPr>
        <w:pStyle w:val="ListParagraph"/>
        <w:numPr>
          <w:ilvl w:val="2"/>
          <w:numId w:val="29"/>
        </w:numPr>
        <w:spacing w:after="0" w:line="360" w:lineRule="auto"/>
        <w:ind w:left="0" w:firstLine="709"/>
        <w:jc w:val="both"/>
        <w:rPr>
          <w:rFonts w:ascii="Times New Roman" w:hAnsi="Times New Roman"/>
          <w:sz w:val="24"/>
          <w:szCs w:val="24"/>
          <w:lang w:val="bg-BG"/>
        </w:rPr>
      </w:pPr>
      <w:r>
        <w:rPr>
          <w:rFonts w:ascii="Times New Roman" w:hAnsi="Times New Roman"/>
          <w:sz w:val="24"/>
          <w:szCs w:val="24"/>
          <w:lang w:val="bg-BG"/>
        </w:rPr>
        <w:t>д</w:t>
      </w:r>
      <w:r w:rsidR="00E42714" w:rsidRPr="007404FA">
        <w:rPr>
          <w:rFonts w:ascii="Times New Roman" w:hAnsi="Times New Roman"/>
          <w:sz w:val="24"/>
          <w:szCs w:val="24"/>
          <w:lang w:val="bg-BG"/>
        </w:rPr>
        <w:t>ок</w:t>
      </w:r>
      <w:r w:rsidR="00230806" w:rsidRPr="007404FA">
        <w:rPr>
          <w:rFonts w:ascii="Times New Roman" w:hAnsi="Times New Roman"/>
          <w:sz w:val="24"/>
          <w:szCs w:val="24"/>
          <w:lang w:val="bg-BG"/>
        </w:rPr>
        <w:t xml:space="preserve">ументи за информация и дискусия: </w:t>
      </w:r>
      <w:r w:rsidR="00E42714" w:rsidRPr="007404FA">
        <w:rPr>
          <w:rFonts w:ascii="Times New Roman" w:hAnsi="Times New Roman"/>
          <w:sz w:val="24"/>
          <w:szCs w:val="24"/>
          <w:lang w:val="bg-BG"/>
        </w:rPr>
        <w:t xml:space="preserve">презентация на </w:t>
      </w:r>
      <w:r w:rsidR="00786885" w:rsidRPr="007404FA">
        <w:rPr>
          <w:rFonts w:ascii="Times New Roman" w:hAnsi="Times New Roman"/>
          <w:sz w:val="24"/>
          <w:szCs w:val="24"/>
          <w:lang w:val="bg-BG"/>
        </w:rPr>
        <w:t xml:space="preserve">Специалната група за финансови действия (Financial Action Task Force) </w:t>
      </w:r>
      <w:r w:rsidR="00E42714" w:rsidRPr="007404FA">
        <w:rPr>
          <w:rFonts w:ascii="Times New Roman" w:hAnsi="Times New Roman"/>
          <w:sz w:val="24"/>
          <w:szCs w:val="24"/>
          <w:lang w:val="bg-BG"/>
        </w:rPr>
        <w:t>относно анализ на данни и защита на данните: партньорство в борбата с финансовите престъпления; актуални предложения за бъдещи проекти, засягащи децата в дигиталната среда; баланс между неприкосновеността и проследяването на вредно съдържание; Националната стратегия за изкуствения интелект на Норвегия; проект за свободното предаване на данни, основано на доверието; представяне на опита на Латинска Америка, ЕК, Сингапур и Обединеното кралство при прилагането на договорни клаузи; виртуален семинар за преносимост на данни в отвореното банкиране: неприкосновеността на личния живот и други междусекторни въпроси.</w:t>
      </w:r>
    </w:p>
    <w:p w:rsidR="00E42714" w:rsidRPr="007404FA" w:rsidRDefault="00E42714" w:rsidP="00DB6B05">
      <w:pPr>
        <w:spacing w:line="360" w:lineRule="auto"/>
        <w:ind w:firstLine="709"/>
        <w:jc w:val="both"/>
        <w:rPr>
          <w:rFonts w:ascii="Times New Roman" w:hAnsi="Times New Roman"/>
          <w:sz w:val="24"/>
          <w:szCs w:val="24"/>
        </w:rPr>
      </w:pPr>
      <w:r w:rsidRPr="007404FA">
        <w:rPr>
          <w:rFonts w:ascii="Times New Roman" w:hAnsi="Times New Roman"/>
          <w:sz w:val="24"/>
          <w:szCs w:val="24"/>
        </w:rPr>
        <w:t>В рамките на конкретните усилия на Република Бълг</w:t>
      </w:r>
      <w:r w:rsidR="008030AD">
        <w:rPr>
          <w:rFonts w:ascii="Times New Roman" w:hAnsi="Times New Roman"/>
          <w:sz w:val="24"/>
          <w:szCs w:val="24"/>
        </w:rPr>
        <w:t>ария за присъединяване към ОИСР</w:t>
      </w:r>
      <w:r w:rsidRPr="007404FA">
        <w:rPr>
          <w:rFonts w:ascii="Times New Roman" w:hAnsi="Times New Roman"/>
          <w:sz w:val="24"/>
          <w:szCs w:val="24"/>
        </w:rPr>
        <w:t xml:space="preserve"> през май 2022</w:t>
      </w:r>
      <w:r w:rsidR="00F06583" w:rsidRPr="007404FA">
        <w:rPr>
          <w:rFonts w:ascii="Times New Roman" w:hAnsi="Times New Roman"/>
          <w:sz w:val="24"/>
          <w:szCs w:val="24"/>
        </w:rPr>
        <w:t> г.</w:t>
      </w:r>
      <w:r w:rsidRPr="007404FA">
        <w:rPr>
          <w:rFonts w:ascii="Times New Roman" w:hAnsi="Times New Roman"/>
          <w:sz w:val="24"/>
          <w:szCs w:val="24"/>
        </w:rPr>
        <w:t xml:space="preserve"> КЗЛД участва в предварителното представяне (преди официалното връчване) на Пътната карта за присъ</w:t>
      </w:r>
      <w:r w:rsidR="008030AD">
        <w:rPr>
          <w:rFonts w:ascii="Times New Roman" w:hAnsi="Times New Roman"/>
          <w:sz w:val="24"/>
          <w:szCs w:val="24"/>
        </w:rPr>
        <w:t>единяване към организацията и в</w:t>
      </w:r>
      <w:r w:rsidRPr="007404FA">
        <w:rPr>
          <w:rFonts w:ascii="Times New Roman" w:hAnsi="Times New Roman"/>
          <w:sz w:val="24"/>
          <w:szCs w:val="24"/>
        </w:rPr>
        <w:t xml:space="preserve">последствие действа като водеща институция за самооценка по два правни инструмента (препоръки на ОИСР) и като подпомагаща институция по още шест препоръки и една декларация на организацията. </w:t>
      </w:r>
    </w:p>
    <w:p w:rsidR="00E42714" w:rsidRPr="007404FA" w:rsidRDefault="00F8199D" w:rsidP="00DB6B05">
      <w:pPr>
        <w:spacing w:line="360" w:lineRule="auto"/>
        <w:ind w:firstLine="709"/>
        <w:jc w:val="both"/>
        <w:rPr>
          <w:rFonts w:ascii="Times New Roman" w:hAnsi="Times New Roman"/>
          <w:b/>
          <w:sz w:val="24"/>
          <w:szCs w:val="24"/>
        </w:rPr>
      </w:pPr>
      <w:r w:rsidRPr="007404FA">
        <w:rPr>
          <w:rFonts w:ascii="Times New Roman" w:hAnsi="Times New Roman"/>
          <w:b/>
          <w:sz w:val="24"/>
          <w:szCs w:val="24"/>
        </w:rPr>
        <w:lastRenderedPageBreak/>
        <w:t xml:space="preserve">6.2. </w:t>
      </w:r>
      <w:r w:rsidR="00E42714" w:rsidRPr="007404FA">
        <w:rPr>
          <w:rFonts w:ascii="Times New Roman" w:hAnsi="Times New Roman"/>
          <w:b/>
          <w:sz w:val="24"/>
          <w:szCs w:val="24"/>
        </w:rPr>
        <w:t>Конференция на европейските органи по защита на данните („Пролетната конференция</w:t>
      </w:r>
      <w:r w:rsidR="008030AD">
        <w:rPr>
          <w:rFonts w:ascii="Times New Roman" w:hAnsi="Times New Roman"/>
          <w:b/>
          <w:sz w:val="24"/>
          <w:szCs w:val="24"/>
        </w:rPr>
        <w:t>“</w:t>
      </w:r>
      <w:r w:rsidR="00E42714" w:rsidRPr="007404FA">
        <w:rPr>
          <w:rFonts w:ascii="Times New Roman" w:hAnsi="Times New Roman"/>
          <w:b/>
          <w:sz w:val="24"/>
          <w:szCs w:val="24"/>
        </w:rPr>
        <w:t>)</w:t>
      </w:r>
      <w:r w:rsidR="008030AD">
        <w:rPr>
          <w:rFonts w:ascii="Times New Roman" w:hAnsi="Times New Roman"/>
          <w:b/>
          <w:sz w:val="24"/>
          <w:szCs w:val="24"/>
        </w:rPr>
        <w:t>.</w:t>
      </w:r>
    </w:p>
    <w:p w:rsidR="00E42714" w:rsidRPr="007404FA" w:rsidRDefault="00E42714" w:rsidP="00DB6B05">
      <w:pPr>
        <w:spacing w:line="360" w:lineRule="auto"/>
        <w:ind w:firstLine="709"/>
        <w:jc w:val="both"/>
        <w:rPr>
          <w:rFonts w:ascii="Times New Roman" w:hAnsi="Times New Roman"/>
          <w:sz w:val="24"/>
          <w:szCs w:val="24"/>
        </w:rPr>
      </w:pPr>
      <w:r w:rsidRPr="007404FA">
        <w:rPr>
          <w:rFonts w:ascii="Times New Roman" w:hAnsi="Times New Roman"/>
          <w:sz w:val="24"/>
          <w:szCs w:val="24"/>
        </w:rPr>
        <w:t>На 19 и 20 май 2022</w:t>
      </w:r>
      <w:r w:rsidR="00F06583" w:rsidRPr="007404FA">
        <w:rPr>
          <w:rFonts w:ascii="Times New Roman" w:hAnsi="Times New Roman"/>
          <w:sz w:val="24"/>
          <w:szCs w:val="24"/>
        </w:rPr>
        <w:t> г.</w:t>
      </w:r>
      <w:r w:rsidR="007338A9" w:rsidRPr="007404FA">
        <w:rPr>
          <w:rFonts w:ascii="Times New Roman" w:hAnsi="Times New Roman"/>
          <w:sz w:val="24"/>
          <w:szCs w:val="24"/>
        </w:rPr>
        <w:t xml:space="preserve"> e </w:t>
      </w:r>
      <w:r w:rsidR="008030AD" w:rsidRPr="007404FA">
        <w:rPr>
          <w:rFonts w:ascii="Times New Roman" w:hAnsi="Times New Roman"/>
          <w:sz w:val="24"/>
          <w:szCs w:val="24"/>
        </w:rPr>
        <w:t>проведена</w:t>
      </w:r>
      <w:r w:rsidR="008030AD">
        <w:rPr>
          <w:rFonts w:ascii="Times New Roman" w:hAnsi="Times New Roman"/>
          <w:sz w:val="24"/>
          <w:szCs w:val="24"/>
        </w:rPr>
        <w:t xml:space="preserve"> юбилейната, 30-</w:t>
      </w:r>
      <w:r w:rsidRPr="007404FA">
        <w:rPr>
          <w:rFonts w:ascii="Times New Roman" w:hAnsi="Times New Roman"/>
          <w:sz w:val="24"/>
          <w:szCs w:val="24"/>
        </w:rPr>
        <w:t>а</w:t>
      </w:r>
      <w:r w:rsidR="008030AD">
        <w:rPr>
          <w:rFonts w:ascii="Times New Roman" w:hAnsi="Times New Roman"/>
          <w:sz w:val="24"/>
          <w:szCs w:val="24"/>
        </w:rPr>
        <w:t>, к</w:t>
      </w:r>
      <w:r w:rsidRPr="007404FA">
        <w:rPr>
          <w:rFonts w:ascii="Times New Roman" w:hAnsi="Times New Roman"/>
          <w:sz w:val="24"/>
          <w:szCs w:val="24"/>
        </w:rPr>
        <w:t xml:space="preserve">онференция на Пролетната конференция. Целта на това ежегодно събитие </w:t>
      </w:r>
      <w:r w:rsidR="008030AD">
        <w:rPr>
          <w:rFonts w:ascii="Times New Roman" w:hAnsi="Times New Roman"/>
          <w:sz w:val="24"/>
          <w:szCs w:val="24"/>
        </w:rPr>
        <w:t>са</w:t>
      </w:r>
      <w:r w:rsidRPr="007404FA">
        <w:rPr>
          <w:rFonts w:ascii="Times New Roman" w:hAnsi="Times New Roman"/>
          <w:sz w:val="24"/>
          <w:szCs w:val="24"/>
        </w:rPr>
        <w:t xml:space="preserve"> насърчаване на практическото сътрудничество и обмен на най-добри практики между неговите членове. Домакин е Хърватската агенция за защита на личните данни, а на събитието присъстват представители на повече от 40 държави. Обсъдени са общите предизвикателства пред поверителността, произтичащи от нарастващото използване на изкуствен интелект, масовото видеонаблюдение с лицево разпознаване и генериране на профили, трансфери на данни и др.</w:t>
      </w:r>
    </w:p>
    <w:p w:rsidR="00E42714" w:rsidRPr="007404FA" w:rsidRDefault="00E42714" w:rsidP="00DB6B05">
      <w:pPr>
        <w:spacing w:line="360" w:lineRule="auto"/>
        <w:ind w:firstLine="709"/>
        <w:jc w:val="both"/>
        <w:rPr>
          <w:rFonts w:ascii="Times New Roman" w:hAnsi="Times New Roman"/>
          <w:sz w:val="24"/>
          <w:szCs w:val="24"/>
        </w:rPr>
      </w:pPr>
      <w:r w:rsidRPr="007404FA">
        <w:rPr>
          <w:rFonts w:ascii="Times New Roman" w:hAnsi="Times New Roman"/>
          <w:sz w:val="24"/>
          <w:szCs w:val="24"/>
        </w:rPr>
        <w:t>Работата на Конференцията е разделена на 8 тематични сесии</w:t>
      </w:r>
      <w:r w:rsidR="00553661" w:rsidRPr="007404FA">
        <w:rPr>
          <w:rFonts w:ascii="Times New Roman" w:hAnsi="Times New Roman"/>
          <w:sz w:val="24"/>
          <w:szCs w:val="24"/>
        </w:rPr>
        <w:t xml:space="preserve"> – </w:t>
      </w:r>
      <w:r w:rsidRPr="007404FA">
        <w:rPr>
          <w:rFonts w:ascii="Times New Roman" w:hAnsi="Times New Roman"/>
          <w:sz w:val="24"/>
          <w:szCs w:val="24"/>
        </w:rPr>
        <w:t>„Защита на данните в съдебната практика на Европейския съд по правата на човека</w:t>
      </w:r>
      <w:r w:rsidR="00E435D6">
        <w:rPr>
          <w:rFonts w:ascii="Times New Roman" w:hAnsi="Times New Roman"/>
          <w:sz w:val="24"/>
          <w:szCs w:val="24"/>
        </w:rPr>
        <w:t>“</w:t>
      </w:r>
      <w:r w:rsidRPr="007404FA">
        <w:rPr>
          <w:rFonts w:ascii="Times New Roman" w:hAnsi="Times New Roman"/>
          <w:sz w:val="24"/>
          <w:szCs w:val="24"/>
        </w:rPr>
        <w:t>, „Конвенция 108+, взаимопомощ и глобална конвергенция</w:t>
      </w:r>
      <w:r w:rsidR="00E435D6">
        <w:rPr>
          <w:rFonts w:ascii="Times New Roman" w:hAnsi="Times New Roman"/>
          <w:sz w:val="24"/>
          <w:szCs w:val="24"/>
        </w:rPr>
        <w:t>“</w:t>
      </w:r>
      <w:r w:rsidRPr="007404FA">
        <w:rPr>
          <w:rFonts w:ascii="Times New Roman" w:hAnsi="Times New Roman"/>
          <w:sz w:val="24"/>
          <w:szCs w:val="24"/>
        </w:rPr>
        <w:t>, „Последни разработки и предизвикателства, свързани с трансфера на данни</w:t>
      </w:r>
      <w:r w:rsidR="00E435D6">
        <w:rPr>
          <w:rFonts w:ascii="Times New Roman" w:hAnsi="Times New Roman"/>
          <w:sz w:val="24"/>
          <w:szCs w:val="24"/>
        </w:rPr>
        <w:t>“</w:t>
      </w:r>
      <w:r w:rsidRPr="007404FA">
        <w:rPr>
          <w:rFonts w:ascii="Times New Roman" w:hAnsi="Times New Roman"/>
          <w:sz w:val="24"/>
          <w:szCs w:val="24"/>
        </w:rPr>
        <w:t>, „Сътрудничество за правоприлагане: трансгранични дела и член 50 от GDPR</w:t>
      </w:r>
      <w:r w:rsidR="00E435D6">
        <w:rPr>
          <w:rFonts w:ascii="Times New Roman" w:hAnsi="Times New Roman"/>
          <w:sz w:val="24"/>
          <w:szCs w:val="24"/>
        </w:rPr>
        <w:t>“</w:t>
      </w:r>
      <w:r w:rsidRPr="007404FA">
        <w:rPr>
          <w:rFonts w:ascii="Times New Roman" w:hAnsi="Times New Roman"/>
          <w:sz w:val="24"/>
          <w:szCs w:val="24"/>
        </w:rPr>
        <w:t>, „Доклад на подгрупата за бъдещето на Пролетната конференция</w:t>
      </w:r>
      <w:r w:rsidR="00E435D6">
        <w:rPr>
          <w:rFonts w:ascii="Times New Roman" w:hAnsi="Times New Roman"/>
          <w:sz w:val="24"/>
          <w:szCs w:val="24"/>
        </w:rPr>
        <w:t>“</w:t>
      </w:r>
      <w:r w:rsidRPr="007404FA">
        <w:rPr>
          <w:rFonts w:ascii="Times New Roman" w:hAnsi="Times New Roman"/>
          <w:sz w:val="24"/>
          <w:szCs w:val="24"/>
        </w:rPr>
        <w:t>, „Доклад на Европейския семинар относно разглеждането на казуси: участие, структура на семинара, обхванати теми и резултати</w:t>
      </w:r>
      <w:r w:rsidR="00E435D6">
        <w:rPr>
          <w:rFonts w:ascii="Times New Roman" w:hAnsi="Times New Roman"/>
          <w:sz w:val="24"/>
          <w:szCs w:val="24"/>
        </w:rPr>
        <w:t>“</w:t>
      </w:r>
      <w:r w:rsidRPr="007404FA">
        <w:rPr>
          <w:rFonts w:ascii="Times New Roman" w:hAnsi="Times New Roman"/>
          <w:sz w:val="24"/>
          <w:szCs w:val="24"/>
        </w:rPr>
        <w:t>, „Прогнози, иновации и мониторинг на технологиите</w:t>
      </w:r>
      <w:r w:rsidR="00E435D6">
        <w:rPr>
          <w:rFonts w:ascii="Times New Roman" w:hAnsi="Times New Roman"/>
          <w:sz w:val="24"/>
          <w:szCs w:val="24"/>
        </w:rPr>
        <w:t>“</w:t>
      </w:r>
      <w:r w:rsidRPr="007404FA">
        <w:rPr>
          <w:rFonts w:ascii="Times New Roman" w:hAnsi="Times New Roman"/>
          <w:sz w:val="24"/>
          <w:szCs w:val="24"/>
        </w:rPr>
        <w:t>, „Дейности за повишаване на осведомеността и изпълнение на финансирани от ЕС проекти в ЕС и страни извън ЕС</w:t>
      </w:r>
      <w:r w:rsidR="00E435D6">
        <w:rPr>
          <w:rFonts w:ascii="Times New Roman" w:hAnsi="Times New Roman"/>
          <w:sz w:val="24"/>
          <w:szCs w:val="24"/>
        </w:rPr>
        <w:t>“</w:t>
      </w:r>
      <w:r w:rsidRPr="007404FA">
        <w:rPr>
          <w:rFonts w:ascii="Times New Roman" w:hAnsi="Times New Roman"/>
          <w:sz w:val="24"/>
          <w:szCs w:val="24"/>
        </w:rPr>
        <w:t>.</w:t>
      </w:r>
    </w:p>
    <w:p w:rsidR="00E42714" w:rsidRPr="007404FA" w:rsidRDefault="00E42714" w:rsidP="00DB6B05">
      <w:pPr>
        <w:spacing w:line="360" w:lineRule="auto"/>
        <w:ind w:firstLine="709"/>
        <w:jc w:val="both"/>
        <w:rPr>
          <w:rFonts w:ascii="Times New Roman" w:hAnsi="Times New Roman"/>
          <w:sz w:val="24"/>
          <w:szCs w:val="24"/>
        </w:rPr>
      </w:pPr>
      <w:r w:rsidRPr="007404FA">
        <w:rPr>
          <w:rFonts w:ascii="Times New Roman" w:hAnsi="Times New Roman"/>
          <w:sz w:val="24"/>
          <w:szCs w:val="24"/>
        </w:rPr>
        <w:t>На Пролетна</w:t>
      </w:r>
      <w:r w:rsidR="00287987" w:rsidRPr="007404FA">
        <w:rPr>
          <w:rFonts w:ascii="Times New Roman" w:hAnsi="Times New Roman"/>
          <w:sz w:val="24"/>
          <w:szCs w:val="24"/>
        </w:rPr>
        <w:t>та</w:t>
      </w:r>
      <w:r w:rsidRPr="007404FA">
        <w:rPr>
          <w:rFonts w:ascii="Times New Roman" w:hAnsi="Times New Roman"/>
          <w:sz w:val="24"/>
          <w:szCs w:val="24"/>
        </w:rPr>
        <w:t xml:space="preserve"> конференция през 2022</w:t>
      </w:r>
      <w:r w:rsidR="00F06583" w:rsidRPr="007404FA">
        <w:rPr>
          <w:rFonts w:ascii="Times New Roman" w:hAnsi="Times New Roman"/>
          <w:sz w:val="24"/>
          <w:szCs w:val="24"/>
        </w:rPr>
        <w:t> г.</w:t>
      </w:r>
      <w:r w:rsidRPr="007404FA">
        <w:rPr>
          <w:rFonts w:ascii="Times New Roman" w:hAnsi="Times New Roman"/>
          <w:sz w:val="24"/>
          <w:szCs w:val="24"/>
        </w:rPr>
        <w:t xml:space="preserve"> са приети две резолюции</w:t>
      </w:r>
      <w:r w:rsidR="00553661" w:rsidRPr="007404FA">
        <w:rPr>
          <w:rFonts w:ascii="Times New Roman" w:hAnsi="Times New Roman"/>
          <w:sz w:val="24"/>
          <w:szCs w:val="24"/>
        </w:rPr>
        <w:t xml:space="preserve"> – </w:t>
      </w:r>
      <w:r w:rsidRPr="007404FA">
        <w:rPr>
          <w:rFonts w:ascii="Times New Roman" w:hAnsi="Times New Roman"/>
          <w:sz w:val="24"/>
          <w:szCs w:val="24"/>
        </w:rPr>
        <w:t>за ра</w:t>
      </w:r>
      <w:r w:rsidR="00E435D6">
        <w:rPr>
          <w:rFonts w:ascii="Times New Roman" w:hAnsi="Times New Roman"/>
          <w:sz w:val="24"/>
          <w:szCs w:val="24"/>
        </w:rPr>
        <w:t>тификация на Конвенция 108+ (съ</w:t>
      </w:r>
      <w:r w:rsidRPr="007404FA">
        <w:rPr>
          <w:rFonts w:ascii="Times New Roman" w:hAnsi="Times New Roman"/>
          <w:sz w:val="24"/>
          <w:szCs w:val="24"/>
        </w:rPr>
        <w:t>вносител на която е КЗЛД) и за по-нататъшно европейско сътрудничество.</w:t>
      </w:r>
    </w:p>
    <w:p w:rsidR="00E42714" w:rsidRPr="007404FA" w:rsidRDefault="00E42714" w:rsidP="00DB6B05">
      <w:pPr>
        <w:spacing w:line="360" w:lineRule="auto"/>
        <w:ind w:firstLine="709"/>
        <w:jc w:val="both"/>
        <w:rPr>
          <w:rFonts w:ascii="Times New Roman" w:hAnsi="Times New Roman"/>
          <w:sz w:val="24"/>
          <w:szCs w:val="24"/>
        </w:rPr>
      </w:pPr>
      <w:r w:rsidRPr="007404FA">
        <w:rPr>
          <w:rFonts w:ascii="Times New Roman" w:hAnsi="Times New Roman"/>
          <w:sz w:val="24"/>
          <w:szCs w:val="24"/>
        </w:rPr>
        <w:t>Приета e и Резолюция за осигуряване на по-нататъшна приемственост в работата на Пролетната конференция, в която се гарантира, че тя може да продължи да се изпълнява успешно по всички приоритетни въпроси, споделяни от европейските регулатори по защита на данните. Конференцията е изключителна възможност за обсъждане на проблемите, най-добрите практики и стратегии, включително по отношение на функциите за прогнозиране, предаването на данни и правоприлагането в трансгранични случаи.</w:t>
      </w:r>
    </w:p>
    <w:p w:rsidR="00E42714" w:rsidRPr="007404FA" w:rsidRDefault="00E42714" w:rsidP="00DB6B05">
      <w:pPr>
        <w:spacing w:line="360" w:lineRule="auto"/>
        <w:ind w:firstLine="709"/>
        <w:jc w:val="both"/>
        <w:rPr>
          <w:rFonts w:ascii="Times New Roman" w:hAnsi="Times New Roman"/>
          <w:sz w:val="24"/>
          <w:szCs w:val="24"/>
        </w:rPr>
      </w:pPr>
    </w:p>
    <w:p w:rsidR="00E42714" w:rsidRPr="007404FA" w:rsidRDefault="00F8199D" w:rsidP="00DB6B05">
      <w:pPr>
        <w:spacing w:line="360" w:lineRule="auto"/>
        <w:ind w:firstLine="709"/>
        <w:jc w:val="both"/>
        <w:rPr>
          <w:rFonts w:ascii="Times New Roman" w:hAnsi="Times New Roman"/>
          <w:b/>
          <w:sz w:val="24"/>
          <w:szCs w:val="24"/>
        </w:rPr>
      </w:pPr>
      <w:r w:rsidRPr="007404FA">
        <w:rPr>
          <w:rFonts w:ascii="Times New Roman" w:hAnsi="Times New Roman"/>
          <w:b/>
          <w:sz w:val="24"/>
          <w:szCs w:val="24"/>
        </w:rPr>
        <w:t xml:space="preserve">6.3. </w:t>
      </w:r>
      <w:r w:rsidR="00E42714" w:rsidRPr="007404FA">
        <w:rPr>
          <w:rFonts w:ascii="Times New Roman" w:hAnsi="Times New Roman"/>
          <w:b/>
          <w:sz w:val="24"/>
          <w:szCs w:val="24"/>
        </w:rPr>
        <w:t>Конференция на Европейския надзорен орган по защита на данните</w:t>
      </w:r>
      <w:r w:rsidR="00E435D6">
        <w:rPr>
          <w:rFonts w:ascii="Times New Roman" w:hAnsi="Times New Roman"/>
          <w:b/>
          <w:sz w:val="24"/>
          <w:szCs w:val="24"/>
        </w:rPr>
        <w:t>.</w:t>
      </w:r>
    </w:p>
    <w:p w:rsidR="00E42714" w:rsidRPr="007404FA" w:rsidRDefault="00E42714" w:rsidP="00DB6B05">
      <w:pPr>
        <w:spacing w:line="360" w:lineRule="auto"/>
        <w:ind w:firstLine="709"/>
        <w:jc w:val="both"/>
        <w:rPr>
          <w:rFonts w:ascii="Times New Roman" w:hAnsi="Times New Roman"/>
          <w:sz w:val="24"/>
          <w:szCs w:val="24"/>
        </w:rPr>
      </w:pPr>
      <w:r w:rsidRPr="007404FA">
        <w:rPr>
          <w:rFonts w:ascii="Times New Roman" w:hAnsi="Times New Roman"/>
          <w:sz w:val="24"/>
          <w:szCs w:val="24"/>
        </w:rPr>
        <w:t>На 16</w:t>
      </w:r>
      <w:r w:rsidR="00E435D6">
        <w:rPr>
          <w:rFonts w:ascii="Times New Roman" w:hAnsi="Times New Roman"/>
          <w:sz w:val="24"/>
          <w:szCs w:val="24"/>
        </w:rPr>
        <w:t>-и</w:t>
      </w:r>
      <w:r w:rsidRPr="007404FA">
        <w:rPr>
          <w:rFonts w:ascii="Times New Roman" w:hAnsi="Times New Roman"/>
          <w:sz w:val="24"/>
          <w:szCs w:val="24"/>
        </w:rPr>
        <w:t xml:space="preserve"> и 17 юни 2022</w:t>
      </w:r>
      <w:r w:rsidR="00F06583" w:rsidRPr="007404FA">
        <w:rPr>
          <w:rFonts w:ascii="Times New Roman" w:hAnsi="Times New Roman"/>
          <w:sz w:val="24"/>
          <w:szCs w:val="24"/>
        </w:rPr>
        <w:t> г.</w:t>
      </w:r>
      <w:r w:rsidRPr="007404FA">
        <w:rPr>
          <w:rFonts w:ascii="Times New Roman" w:hAnsi="Times New Roman"/>
          <w:sz w:val="24"/>
          <w:szCs w:val="24"/>
        </w:rPr>
        <w:t xml:space="preserve"> e проведена конференция „Бъдещето на защитата на данните: ефективно прилагане на правилата в дигиталния свят</w:t>
      </w:r>
      <w:r w:rsidR="00E435D6">
        <w:rPr>
          <w:rFonts w:ascii="Times New Roman" w:hAnsi="Times New Roman"/>
          <w:sz w:val="24"/>
          <w:szCs w:val="24"/>
        </w:rPr>
        <w:t>“</w:t>
      </w:r>
      <w:r w:rsidRPr="007404FA">
        <w:rPr>
          <w:rFonts w:ascii="Times New Roman" w:hAnsi="Times New Roman"/>
          <w:sz w:val="24"/>
          <w:szCs w:val="24"/>
        </w:rPr>
        <w:t xml:space="preserve">, организирана от Европейския надзорен орган по защита на данните. </w:t>
      </w:r>
      <w:r w:rsidR="00E435D6">
        <w:rPr>
          <w:rFonts w:ascii="Times New Roman" w:hAnsi="Times New Roman"/>
          <w:sz w:val="24"/>
          <w:szCs w:val="24"/>
        </w:rPr>
        <w:t>Участие в нея</w:t>
      </w:r>
      <w:r w:rsidRPr="007404FA">
        <w:rPr>
          <w:rFonts w:ascii="Times New Roman" w:hAnsi="Times New Roman"/>
          <w:sz w:val="24"/>
          <w:szCs w:val="24"/>
        </w:rPr>
        <w:t xml:space="preserve"> както присъствено, така и дистанционно</w:t>
      </w:r>
      <w:r w:rsidR="00C06BC1" w:rsidRPr="007404FA">
        <w:rPr>
          <w:rFonts w:ascii="Times New Roman" w:hAnsi="Times New Roman"/>
          <w:sz w:val="24"/>
          <w:szCs w:val="24"/>
        </w:rPr>
        <w:t xml:space="preserve"> вземат</w:t>
      </w:r>
      <w:r w:rsidRPr="007404FA">
        <w:rPr>
          <w:rFonts w:ascii="Times New Roman" w:hAnsi="Times New Roman"/>
          <w:sz w:val="24"/>
          <w:szCs w:val="24"/>
        </w:rPr>
        <w:t xml:space="preserve"> над 2000 участници. В рамките на двудневната конференция в общо 16 сесии, семинари и други с</w:t>
      </w:r>
      <w:r w:rsidR="00E435D6">
        <w:rPr>
          <w:rFonts w:ascii="Times New Roman" w:hAnsi="Times New Roman"/>
          <w:sz w:val="24"/>
          <w:szCs w:val="24"/>
        </w:rPr>
        <w:t>ъбития</w:t>
      </w:r>
      <w:r w:rsidR="0096628A" w:rsidRPr="007404FA">
        <w:rPr>
          <w:rFonts w:ascii="Times New Roman" w:hAnsi="Times New Roman"/>
          <w:sz w:val="24"/>
          <w:szCs w:val="24"/>
        </w:rPr>
        <w:t xml:space="preserve"> над 100 лектори споделят</w:t>
      </w:r>
      <w:r w:rsidRPr="007404FA">
        <w:rPr>
          <w:rFonts w:ascii="Times New Roman" w:hAnsi="Times New Roman"/>
          <w:sz w:val="24"/>
          <w:szCs w:val="24"/>
        </w:rPr>
        <w:t xml:space="preserve"> своите виждания за бъдещето </w:t>
      </w:r>
      <w:r w:rsidRPr="007404FA">
        <w:rPr>
          <w:rFonts w:ascii="Times New Roman" w:hAnsi="Times New Roman"/>
          <w:sz w:val="24"/>
          <w:szCs w:val="24"/>
        </w:rPr>
        <w:lastRenderedPageBreak/>
        <w:t>на защитата на личните данни в дигиталния свят</w:t>
      </w:r>
      <w:r w:rsidR="00E2536B" w:rsidRPr="007404FA">
        <w:rPr>
          <w:rFonts w:ascii="Times New Roman" w:hAnsi="Times New Roman"/>
          <w:sz w:val="24"/>
          <w:szCs w:val="24"/>
        </w:rPr>
        <w:t>. Представител на КЗЛД се включва</w:t>
      </w:r>
      <w:r w:rsidRPr="007404FA">
        <w:rPr>
          <w:rFonts w:ascii="Times New Roman" w:hAnsi="Times New Roman"/>
          <w:sz w:val="24"/>
          <w:szCs w:val="24"/>
        </w:rPr>
        <w:t xml:space="preserve"> в панелната дискусия, озаглавена „Търсене на ресурси: ефективно правоприлаган</w:t>
      </w:r>
      <w:r w:rsidR="00E2536B" w:rsidRPr="007404FA">
        <w:rPr>
          <w:rFonts w:ascii="Times New Roman" w:hAnsi="Times New Roman"/>
          <w:sz w:val="24"/>
          <w:szCs w:val="24"/>
        </w:rPr>
        <w:t>е чрез иновации“, като представя</w:t>
      </w:r>
      <w:r w:rsidRPr="007404FA">
        <w:rPr>
          <w:rFonts w:ascii="Times New Roman" w:hAnsi="Times New Roman"/>
          <w:sz w:val="24"/>
          <w:szCs w:val="24"/>
        </w:rPr>
        <w:t xml:space="preserve"> ползите от използването на иновативни методи за разяснения относно законодателната рамка за защита на данните и в частност</w:t>
      </w:r>
      <w:r w:rsidR="00553661" w:rsidRPr="007404FA">
        <w:rPr>
          <w:rFonts w:ascii="Times New Roman" w:hAnsi="Times New Roman"/>
          <w:sz w:val="24"/>
          <w:szCs w:val="24"/>
        </w:rPr>
        <w:t xml:space="preserve"> – </w:t>
      </w:r>
      <w:r w:rsidRPr="007404FA">
        <w:rPr>
          <w:rFonts w:ascii="Times New Roman" w:hAnsi="Times New Roman"/>
          <w:sz w:val="24"/>
          <w:szCs w:val="24"/>
        </w:rPr>
        <w:t>мобилното приложение „GDPR в твоя джоб“.</w:t>
      </w:r>
    </w:p>
    <w:p w:rsidR="00E42714" w:rsidRPr="007404FA" w:rsidRDefault="00E42714" w:rsidP="00DB6B05">
      <w:pPr>
        <w:spacing w:line="360" w:lineRule="auto"/>
        <w:ind w:firstLine="709"/>
        <w:jc w:val="both"/>
        <w:rPr>
          <w:rFonts w:ascii="Times New Roman" w:hAnsi="Times New Roman"/>
          <w:b/>
          <w:sz w:val="24"/>
          <w:szCs w:val="24"/>
        </w:rPr>
      </w:pPr>
    </w:p>
    <w:p w:rsidR="00E42714" w:rsidRPr="007404FA" w:rsidRDefault="00F8199D" w:rsidP="00DB6B05">
      <w:pPr>
        <w:spacing w:line="360" w:lineRule="auto"/>
        <w:ind w:firstLine="709"/>
        <w:jc w:val="both"/>
        <w:rPr>
          <w:rFonts w:ascii="Times New Roman" w:hAnsi="Times New Roman"/>
          <w:b/>
          <w:sz w:val="24"/>
          <w:szCs w:val="24"/>
        </w:rPr>
      </w:pPr>
      <w:r w:rsidRPr="007404FA">
        <w:rPr>
          <w:rFonts w:ascii="Times New Roman" w:hAnsi="Times New Roman" w:cs="Times New Roman"/>
          <w:b/>
          <w:bCs/>
          <w:sz w:val="24"/>
          <w:szCs w:val="24"/>
        </w:rPr>
        <w:t xml:space="preserve">6.4. </w:t>
      </w:r>
      <w:r w:rsidR="00E42714" w:rsidRPr="007404FA">
        <w:rPr>
          <w:rFonts w:ascii="Times New Roman" w:hAnsi="Times New Roman" w:cs="Times New Roman"/>
          <w:b/>
          <w:bCs/>
          <w:sz w:val="24"/>
          <w:szCs w:val="24"/>
        </w:rPr>
        <w:t>Глобална асамблея по въпросите на неприкосновеността</w:t>
      </w:r>
      <w:r w:rsidR="00E435D6">
        <w:rPr>
          <w:rFonts w:ascii="Times New Roman" w:hAnsi="Times New Roman" w:cs="Times New Roman"/>
          <w:b/>
          <w:bCs/>
          <w:sz w:val="24"/>
          <w:szCs w:val="24"/>
        </w:rPr>
        <w:t>.</w:t>
      </w:r>
    </w:p>
    <w:p w:rsidR="00E42714" w:rsidRPr="007404FA" w:rsidRDefault="00E42714" w:rsidP="00DB6B05">
      <w:pPr>
        <w:tabs>
          <w:tab w:val="left" w:pos="993"/>
        </w:tabs>
        <w:spacing w:line="360" w:lineRule="auto"/>
        <w:ind w:firstLine="709"/>
        <w:jc w:val="both"/>
        <w:rPr>
          <w:rFonts w:ascii="Times New Roman" w:hAnsi="Times New Roman" w:cs="Times New Roman"/>
          <w:bCs/>
          <w:sz w:val="24"/>
          <w:szCs w:val="24"/>
        </w:rPr>
      </w:pPr>
      <w:r w:rsidRPr="007404FA">
        <w:rPr>
          <w:rFonts w:ascii="Times New Roman" w:hAnsi="Times New Roman" w:cs="Times New Roman"/>
          <w:bCs/>
          <w:sz w:val="24"/>
          <w:szCs w:val="24"/>
        </w:rPr>
        <w:t>В периода 25</w:t>
      </w:r>
      <w:r w:rsidR="00553661" w:rsidRPr="007404FA">
        <w:rPr>
          <w:rFonts w:ascii="Times New Roman" w:hAnsi="Times New Roman" w:cs="Times New Roman"/>
          <w:bCs/>
          <w:sz w:val="24"/>
          <w:szCs w:val="24"/>
        </w:rPr>
        <w:t xml:space="preserve"> – </w:t>
      </w:r>
      <w:r w:rsidRPr="007404FA">
        <w:rPr>
          <w:rFonts w:ascii="Times New Roman" w:hAnsi="Times New Roman" w:cs="Times New Roman"/>
          <w:bCs/>
          <w:sz w:val="24"/>
          <w:szCs w:val="24"/>
        </w:rPr>
        <w:t>28 октомври 2022</w:t>
      </w:r>
      <w:r w:rsidR="00F06583" w:rsidRPr="007404FA">
        <w:rPr>
          <w:rFonts w:ascii="Times New Roman" w:hAnsi="Times New Roman" w:cs="Times New Roman"/>
          <w:bCs/>
          <w:sz w:val="24"/>
          <w:szCs w:val="24"/>
        </w:rPr>
        <w:t> г.</w:t>
      </w:r>
      <w:r w:rsidRPr="007404FA">
        <w:rPr>
          <w:rFonts w:ascii="Times New Roman" w:hAnsi="Times New Roman" w:cs="Times New Roman"/>
          <w:bCs/>
          <w:sz w:val="24"/>
          <w:szCs w:val="24"/>
        </w:rPr>
        <w:t xml:space="preserve"> се състо</w:t>
      </w:r>
      <w:r w:rsidR="00E435D6">
        <w:rPr>
          <w:rFonts w:ascii="Times New Roman" w:hAnsi="Times New Roman" w:cs="Times New Roman"/>
          <w:bCs/>
          <w:sz w:val="24"/>
          <w:szCs w:val="24"/>
        </w:rPr>
        <w:t>я</w:t>
      </w:r>
      <w:r w:rsidRPr="007404FA">
        <w:rPr>
          <w:rFonts w:ascii="Times New Roman" w:hAnsi="Times New Roman" w:cs="Times New Roman"/>
          <w:bCs/>
          <w:sz w:val="24"/>
          <w:szCs w:val="24"/>
        </w:rPr>
        <w:t xml:space="preserve"> 44-тото издание на Глобалната асамблея по въпросите на неприкосновеността. Следвайки правилата на Асамблеята, програмата </w:t>
      </w:r>
      <w:r w:rsidR="004E1513" w:rsidRPr="007404FA">
        <w:rPr>
          <w:rFonts w:ascii="Times New Roman" w:hAnsi="Times New Roman" w:cs="Times New Roman"/>
          <w:bCs/>
          <w:sz w:val="24"/>
          <w:szCs w:val="24"/>
        </w:rPr>
        <w:t>е</w:t>
      </w:r>
      <w:r w:rsidRPr="007404FA">
        <w:rPr>
          <w:rFonts w:ascii="Times New Roman" w:hAnsi="Times New Roman" w:cs="Times New Roman"/>
          <w:bCs/>
          <w:sz w:val="24"/>
          <w:szCs w:val="24"/>
        </w:rPr>
        <w:t xml:space="preserve"> разделена на открита и закрита сесия. По време на закритата сесия </w:t>
      </w:r>
      <w:r w:rsidR="00F81D2E" w:rsidRPr="007404FA">
        <w:rPr>
          <w:rFonts w:ascii="Times New Roman" w:hAnsi="Times New Roman" w:cs="Times New Roman"/>
          <w:bCs/>
          <w:sz w:val="24"/>
          <w:szCs w:val="24"/>
        </w:rPr>
        <w:t>са</w:t>
      </w:r>
      <w:r w:rsidRPr="007404FA">
        <w:rPr>
          <w:rFonts w:ascii="Times New Roman" w:hAnsi="Times New Roman" w:cs="Times New Roman"/>
          <w:bCs/>
          <w:sz w:val="24"/>
          <w:szCs w:val="24"/>
        </w:rPr>
        <w:t xml:space="preserve"> приети Резолюция за изменение на пътната карта за осигуряване финансирането на Секретариата на Асамблеята (2022</w:t>
      </w:r>
      <w:r w:rsidR="00553661" w:rsidRPr="007404FA">
        <w:rPr>
          <w:rFonts w:ascii="Times New Roman" w:hAnsi="Times New Roman" w:cs="Times New Roman"/>
          <w:bCs/>
          <w:sz w:val="24"/>
          <w:szCs w:val="24"/>
        </w:rPr>
        <w:t xml:space="preserve"> – </w:t>
      </w:r>
      <w:r w:rsidRPr="007404FA">
        <w:rPr>
          <w:rFonts w:ascii="Times New Roman" w:hAnsi="Times New Roman" w:cs="Times New Roman"/>
          <w:bCs/>
          <w:sz w:val="24"/>
          <w:szCs w:val="24"/>
        </w:rPr>
        <w:t>2026), Резолюция за изграждане на капацитет за международно сътрудничество за подобряване на регулирането на киберсигурността и разбиране на вредите от киберинциденти, както и Резолюция относно принципите и очакванията за подходящо използване на лична информация в технологията за лицево разпознаване.</w:t>
      </w:r>
    </w:p>
    <w:p w:rsidR="00E42714" w:rsidRPr="007404FA" w:rsidRDefault="00E42714" w:rsidP="00DB6B05">
      <w:pPr>
        <w:tabs>
          <w:tab w:val="left" w:pos="993"/>
        </w:tabs>
        <w:spacing w:line="360" w:lineRule="auto"/>
        <w:ind w:firstLine="709"/>
        <w:jc w:val="both"/>
        <w:rPr>
          <w:rFonts w:ascii="Times New Roman" w:hAnsi="Times New Roman" w:cs="Times New Roman"/>
          <w:bCs/>
          <w:sz w:val="24"/>
          <w:szCs w:val="24"/>
        </w:rPr>
      </w:pPr>
      <w:r w:rsidRPr="007404FA">
        <w:rPr>
          <w:rFonts w:ascii="Times New Roman" w:hAnsi="Times New Roman" w:cs="Times New Roman"/>
          <w:bCs/>
          <w:sz w:val="24"/>
          <w:szCs w:val="24"/>
        </w:rPr>
        <w:t xml:space="preserve">През отчетния период КЗЛД, като член на Асамблеята, участва във всички дейности, свързани с подготовката на единна позиция на организацията по отношение на прилагането на по-високите стандарти по защита на неприкосновеността на личния живот. За член на Изпълнителния комитет на организацията </w:t>
      </w:r>
      <w:r w:rsidR="0010671D" w:rsidRPr="007404FA">
        <w:rPr>
          <w:rFonts w:ascii="Times New Roman" w:hAnsi="Times New Roman" w:cs="Times New Roman"/>
          <w:bCs/>
          <w:sz w:val="24"/>
          <w:szCs w:val="24"/>
        </w:rPr>
        <w:t>е</w:t>
      </w:r>
      <w:r w:rsidRPr="007404FA">
        <w:rPr>
          <w:rFonts w:ascii="Times New Roman" w:hAnsi="Times New Roman" w:cs="Times New Roman"/>
          <w:bCs/>
          <w:sz w:val="24"/>
          <w:szCs w:val="24"/>
        </w:rPr>
        <w:t xml:space="preserve"> преизбран ръководителят на Федералния надзорен орган по защита на данните на Германия.</w:t>
      </w:r>
    </w:p>
    <w:p w:rsidR="00E42714" w:rsidRPr="007404FA" w:rsidRDefault="00E42714" w:rsidP="00DB6B05">
      <w:pPr>
        <w:tabs>
          <w:tab w:val="left" w:pos="993"/>
        </w:tabs>
        <w:spacing w:line="360" w:lineRule="auto"/>
        <w:ind w:firstLine="709"/>
        <w:jc w:val="both"/>
        <w:rPr>
          <w:rFonts w:ascii="Times New Roman" w:hAnsi="Times New Roman" w:cs="Times New Roman"/>
          <w:bCs/>
          <w:sz w:val="24"/>
          <w:szCs w:val="24"/>
        </w:rPr>
      </w:pPr>
    </w:p>
    <w:p w:rsidR="00E42714" w:rsidRPr="007404FA" w:rsidRDefault="00F8199D" w:rsidP="00DB6B05">
      <w:pPr>
        <w:spacing w:line="360" w:lineRule="auto"/>
        <w:ind w:firstLine="709"/>
        <w:jc w:val="both"/>
        <w:rPr>
          <w:rFonts w:ascii="Times New Roman" w:hAnsi="Times New Roman" w:cs="Times New Roman"/>
          <w:b/>
          <w:sz w:val="24"/>
          <w:szCs w:val="24"/>
          <w:shd w:val="clear" w:color="auto" w:fill="FFFFFF"/>
        </w:rPr>
      </w:pPr>
      <w:r w:rsidRPr="007404FA">
        <w:rPr>
          <w:rFonts w:ascii="Times New Roman" w:hAnsi="Times New Roman" w:cs="Times New Roman"/>
          <w:b/>
          <w:sz w:val="24"/>
          <w:szCs w:val="24"/>
          <w:shd w:val="clear" w:color="auto" w:fill="FFFFFF"/>
        </w:rPr>
        <w:t xml:space="preserve">6.5. </w:t>
      </w:r>
      <w:r w:rsidR="00E435D6">
        <w:rPr>
          <w:rFonts w:ascii="Times New Roman" w:hAnsi="Times New Roman" w:cs="Times New Roman"/>
          <w:b/>
          <w:sz w:val="24"/>
          <w:szCs w:val="24"/>
          <w:shd w:val="clear" w:color="auto" w:fill="FFFFFF"/>
        </w:rPr>
        <w:t>Експертна</w:t>
      </w:r>
      <w:r w:rsidR="00E42714" w:rsidRPr="007404FA">
        <w:rPr>
          <w:rFonts w:ascii="Times New Roman" w:hAnsi="Times New Roman" w:cs="Times New Roman"/>
          <w:b/>
          <w:sz w:val="24"/>
          <w:szCs w:val="24"/>
          <w:shd w:val="clear" w:color="auto" w:fill="FFFFFF"/>
        </w:rPr>
        <w:t xml:space="preserve"> група за по-безопасен интернет за деца</w:t>
      </w:r>
      <w:r w:rsidR="00E435D6">
        <w:rPr>
          <w:rFonts w:ascii="Times New Roman" w:hAnsi="Times New Roman" w:cs="Times New Roman"/>
          <w:b/>
          <w:sz w:val="24"/>
          <w:szCs w:val="24"/>
          <w:shd w:val="clear" w:color="auto" w:fill="FFFFFF"/>
        </w:rPr>
        <w:t>.</w:t>
      </w:r>
    </w:p>
    <w:p w:rsidR="00E42714" w:rsidRPr="007404FA" w:rsidRDefault="00E42714" w:rsidP="00DB6B05">
      <w:pPr>
        <w:spacing w:line="360" w:lineRule="auto"/>
        <w:ind w:firstLine="709"/>
        <w:jc w:val="both"/>
        <w:rPr>
          <w:rFonts w:ascii="Times New Roman" w:hAnsi="Times New Roman" w:cs="Times New Roman"/>
          <w:sz w:val="24"/>
          <w:szCs w:val="24"/>
          <w:shd w:val="clear" w:color="auto" w:fill="FFFFFF"/>
        </w:rPr>
      </w:pPr>
      <w:r w:rsidRPr="007404FA">
        <w:rPr>
          <w:rFonts w:ascii="Times New Roman" w:hAnsi="Times New Roman" w:cs="Times New Roman"/>
          <w:sz w:val="24"/>
          <w:szCs w:val="24"/>
          <w:shd w:val="clear" w:color="auto" w:fill="FFFFFF"/>
        </w:rPr>
        <w:t>През отчетната 2022</w:t>
      </w:r>
      <w:r w:rsidR="00F06583" w:rsidRPr="007404FA">
        <w:rPr>
          <w:rFonts w:ascii="Times New Roman" w:hAnsi="Times New Roman" w:cs="Times New Roman"/>
          <w:sz w:val="24"/>
          <w:szCs w:val="24"/>
          <w:shd w:val="clear" w:color="auto" w:fill="FFFFFF"/>
        </w:rPr>
        <w:t> г.</w:t>
      </w:r>
      <w:r w:rsidRPr="007404FA">
        <w:rPr>
          <w:rFonts w:ascii="Times New Roman" w:hAnsi="Times New Roman" w:cs="Times New Roman"/>
          <w:sz w:val="24"/>
          <w:szCs w:val="24"/>
          <w:shd w:val="clear" w:color="auto" w:fill="FFFFFF"/>
        </w:rPr>
        <w:t xml:space="preserve"> е осъществено постоянно дистанционно участие на представители на КЗЛД в работата на Експертната група за по-безопасен интернет за деца (Safer Internet for Children Expert Group) към Генерална дирекция „Съобщителни мрежи, технологии и съдържание“ на Европейската комисия. </w:t>
      </w:r>
    </w:p>
    <w:p w:rsidR="00E42714" w:rsidRPr="007404FA" w:rsidRDefault="00E42714" w:rsidP="00DB6B05">
      <w:pPr>
        <w:spacing w:line="360" w:lineRule="auto"/>
        <w:ind w:firstLine="709"/>
        <w:jc w:val="both"/>
        <w:rPr>
          <w:rFonts w:ascii="Times New Roman" w:hAnsi="Times New Roman" w:cs="Times New Roman"/>
          <w:sz w:val="24"/>
          <w:szCs w:val="24"/>
          <w:shd w:val="clear" w:color="auto" w:fill="FFFFFF"/>
        </w:rPr>
      </w:pPr>
      <w:r w:rsidRPr="007404FA">
        <w:rPr>
          <w:rFonts w:ascii="Times New Roman" w:hAnsi="Times New Roman" w:cs="Times New Roman"/>
          <w:sz w:val="24"/>
          <w:szCs w:val="24"/>
          <w:shd w:val="clear" w:color="auto" w:fill="FFFFFF"/>
        </w:rPr>
        <w:t xml:space="preserve">През отчетния период е приета нова Европейска стратегия за по-добър интернет за децата (BIK+) под надслов </w:t>
      </w:r>
      <w:r w:rsidR="00E435D6">
        <w:rPr>
          <w:rFonts w:ascii="Times New Roman" w:hAnsi="Times New Roman" w:cs="Times New Roman"/>
          <w:sz w:val="24"/>
          <w:szCs w:val="24"/>
          <w:shd w:val="clear" w:color="auto" w:fill="FFFFFF"/>
        </w:rPr>
        <w:t>„</w:t>
      </w:r>
      <w:r w:rsidRPr="007404FA">
        <w:rPr>
          <w:rFonts w:ascii="Times New Roman" w:hAnsi="Times New Roman" w:cs="Times New Roman"/>
          <w:sz w:val="24"/>
          <w:szCs w:val="24"/>
          <w:shd w:val="clear" w:color="auto" w:fill="FFFFFF"/>
        </w:rPr>
        <w:t xml:space="preserve">Цифрово </w:t>
      </w:r>
      <w:r w:rsidRPr="007404FA">
        <w:rPr>
          <w:rFonts w:ascii="Times New Roman" w:hAnsi="Times New Roman" w:cs="Times New Roman"/>
          <w:sz w:val="24"/>
          <w:szCs w:val="24"/>
        </w:rPr>
        <w:t>десетилетие</w:t>
      </w:r>
      <w:r w:rsidRPr="007404FA">
        <w:rPr>
          <w:rFonts w:ascii="Times New Roman" w:hAnsi="Times New Roman" w:cs="Times New Roman"/>
          <w:sz w:val="24"/>
          <w:szCs w:val="24"/>
          <w:shd w:val="clear" w:color="auto" w:fill="FFFFFF"/>
        </w:rPr>
        <w:t xml:space="preserve"> за децата и младежите</w:t>
      </w:r>
      <w:r w:rsidR="00E435D6">
        <w:rPr>
          <w:rFonts w:ascii="Times New Roman" w:hAnsi="Times New Roman" w:cs="Times New Roman"/>
          <w:sz w:val="24"/>
          <w:szCs w:val="24"/>
          <w:shd w:val="clear" w:color="auto" w:fill="FFFFFF"/>
        </w:rPr>
        <w:t>“</w:t>
      </w:r>
      <w:r w:rsidRPr="007404FA">
        <w:rPr>
          <w:rFonts w:ascii="Times New Roman" w:hAnsi="Times New Roman" w:cs="Times New Roman"/>
          <w:sz w:val="24"/>
          <w:szCs w:val="24"/>
          <w:shd w:val="clear" w:color="auto" w:fill="FFFFFF"/>
        </w:rPr>
        <w:t xml:space="preserve">, която има за цел защитата на децата в онлайн средата, като ги подпомага да се възползват от предимствата, предлагани от цифровите технологии, и същевременно ги защитава от онлайн заплахи. С нея се определят високи стандарти за безопасност с насърчаване на овластяването на децата и активното им участие в цифровото десетилетие в целия свят. Стратегията постига целите си чрез прилагането на съществуващата правна рамка като Директивата за аудио-визуалните медийни услуги, Общия регламент за защита на данните и Законодателния акт за цифровите услуги. Предвид последните промени в законодателството в областта и </w:t>
      </w:r>
      <w:r w:rsidRPr="007404FA">
        <w:rPr>
          <w:rFonts w:ascii="Times New Roman" w:hAnsi="Times New Roman" w:cs="Times New Roman"/>
          <w:sz w:val="24"/>
          <w:szCs w:val="24"/>
          <w:shd w:val="clear" w:color="auto" w:fill="FFFFFF"/>
        </w:rPr>
        <w:lastRenderedPageBreak/>
        <w:t>съгласно новата Европейска стратегия за по-добър и</w:t>
      </w:r>
      <w:r w:rsidR="00E435D6">
        <w:rPr>
          <w:rFonts w:ascii="Times New Roman" w:hAnsi="Times New Roman" w:cs="Times New Roman"/>
          <w:sz w:val="24"/>
          <w:szCs w:val="24"/>
          <w:shd w:val="clear" w:color="auto" w:fill="FFFFFF"/>
        </w:rPr>
        <w:t>нтернет за децата (BIK+)</w:t>
      </w:r>
      <w:r w:rsidR="009A1200" w:rsidRPr="007404FA">
        <w:rPr>
          <w:rFonts w:ascii="Times New Roman" w:hAnsi="Times New Roman" w:cs="Times New Roman"/>
          <w:sz w:val="24"/>
          <w:szCs w:val="24"/>
          <w:shd w:val="clear" w:color="auto" w:fill="FFFFFF"/>
        </w:rPr>
        <w:t xml:space="preserve"> е започнал</w:t>
      </w:r>
      <w:r w:rsidRPr="007404FA">
        <w:rPr>
          <w:rFonts w:ascii="Times New Roman" w:hAnsi="Times New Roman" w:cs="Times New Roman"/>
          <w:sz w:val="24"/>
          <w:szCs w:val="24"/>
          <w:shd w:val="clear" w:color="auto" w:fill="FFFFFF"/>
        </w:rPr>
        <w:t xml:space="preserve"> процесът по актуализирането на „Картата на страните, свързана с по-безопасен интернет за деца“ (BIK policy map), която включва изследване и оценка на изпълнението на стратегията за по-добър интернет за деца в 30 европейски държави: всички държави</w:t>
      </w:r>
      <w:r w:rsidR="00553661" w:rsidRPr="007404FA">
        <w:rPr>
          <w:rFonts w:ascii="Times New Roman" w:hAnsi="Times New Roman" w:cs="Times New Roman"/>
          <w:sz w:val="24"/>
          <w:szCs w:val="24"/>
          <w:shd w:val="clear" w:color="auto" w:fill="FFFFFF"/>
        </w:rPr>
        <w:t xml:space="preserve"> – </w:t>
      </w:r>
      <w:r w:rsidRPr="007404FA">
        <w:rPr>
          <w:rFonts w:ascii="Times New Roman" w:hAnsi="Times New Roman" w:cs="Times New Roman"/>
          <w:sz w:val="24"/>
          <w:szCs w:val="24"/>
          <w:shd w:val="clear" w:color="auto" w:fill="FFFFFF"/>
        </w:rPr>
        <w:t>членки на ЕС, Исландия, Норвегия и Великобритания.</w:t>
      </w:r>
    </w:p>
    <w:p w:rsidR="00363E00" w:rsidRPr="007404FA" w:rsidRDefault="00363E00" w:rsidP="00DB6B05">
      <w:pPr>
        <w:rPr>
          <w:rStyle w:val="Strong"/>
          <w:color w:val="D01C00"/>
        </w:rPr>
      </w:pPr>
    </w:p>
    <w:p w:rsidR="00363E00" w:rsidRPr="007404FA" w:rsidRDefault="00F8199D" w:rsidP="00E435D6">
      <w:pPr>
        <w:spacing w:line="360" w:lineRule="auto"/>
        <w:ind w:firstLine="851"/>
        <w:jc w:val="both"/>
        <w:rPr>
          <w:rFonts w:ascii="Times New Roman" w:hAnsi="Times New Roman" w:cs="Times New Roman"/>
          <w:b/>
          <w:sz w:val="24"/>
          <w:szCs w:val="24"/>
          <w:shd w:val="clear" w:color="auto" w:fill="FFFFFF"/>
        </w:rPr>
      </w:pPr>
      <w:r w:rsidRPr="007404FA">
        <w:rPr>
          <w:rFonts w:ascii="Times New Roman" w:hAnsi="Times New Roman" w:cs="Times New Roman"/>
          <w:b/>
          <w:sz w:val="24"/>
          <w:szCs w:val="24"/>
          <w:shd w:val="clear" w:color="auto" w:fill="FFFFFF"/>
        </w:rPr>
        <w:t xml:space="preserve">6.6. </w:t>
      </w:r>
      <w:r w:rsidR="00363E00" w:rsidRPr="007404FA">
        <w:rPr>
          <w:rFonts w:ascii="Times New Roman" w:hAnsi="Times New Roman" w:cs="Times New Roman"/>
          <w:b/>
          <w:sz w:val="24"/>
          <w:szCs w:val="24"/>
          <w:shd w:val="clear" w:color="auto" w:fill="FFFFFF"/>
        </w:rPr>
        <w:t>Международна конференция по теория и практика на електронното управление</w:t>
      </w:r>
      <w:r w:rsidR="00420B63" w:rsidRPr="007404FA">
        <w:rPr>
          <w:rFonts w:ascii="Times New Roman" w:hAnsi="Times New Roman" w:cs="Times New Roman"/>
          <w:b/>
          <w:bCs/>
          <w:sz w:val="24"/>
          <w:szCs w:val="24"/>
          <w:shd w:val="clear" w:color="auto" w:fill="FFFFFF"/>
        </w:rPr>
        <w:t xml:space="preserve"> (</w:t>
      </w:r>
      <w:r w:rsidR="00420B63" w:rsidRPr="007404FA">
        <w:rPr>
          <w:rFonts w:ascii="Times New Roman" w:hAnsi="Times New Roman" w:cs="Times New Roman"/>
          <w:b/>
          <w:sz w:val="24"/>
          <w:szCs w:val="24"/>
          <w:shd w:val="clear" w:color="auto" w:fill="FFFFFF"/>
        </w:rPr>
        <w:t>ICEGOV)</w:t>
      </w:r>
      <w:r w:rsidR="00E435D6">
        <w:rPr>
          <w:rFonts w:ascii="Times New Roman" w:hAnsi="Times New Roman" w:cs="Times New Roman"/>
          <w:b/>
          <w:sz w:val="24"/>
          <w:szCs w:val="24"/>
          <w:shd w:val="clear" w:color="auto" w:fill="FFFFFF"/>
        </w:rPr>
        <w:t>.</w:t>
      </w:r>
    </w:p>
    <w:p w:rsidR="00A15855" w:rsidRPr="007404FA" w:rsidRDefault="00A15855" w:rsidP="00E435D6">
      <w:pPr>
        <w:spacing w:line="360" w:lineRule="auto"/>
        <w:ind w:firstLine="709"/>
        <w:jc w:val="both"/>
        <w:rPr>
          <w:rFonts w:ascii="Times New Roman" w:hAnsi="Times New Roman" w:cs="Times New Roman"/>
          <w:sz w:val="24"/>
          <w:szCs w:val="24"/>
          <w:shd w:val="clear" w:color="auto" w:fill="FFFFFF"/>
        </w:rPr>
      </w:pPr>
      <w:r w:rsidRPr="007404FA">
        <w:rPr>
          <w:rFonts w:ascii="Times New Roman" w:hAnsi="Times New Roman" w:cs="Times New Roman"/>
          <w:sz w:val="24"/>
          <w:szCs w:val="24"/>
          <w:shd w:val="clear" w:color="auto" w:fill="FFFFFF"/>
        </w:rPr>
        <w:t>През октомври 2022</w:t>
      </w:r>
      <w:r w:rsidR="00F06583" w:rsidRPr="007404FA">
        <w:rPr>
          <w:rFonts w:ascii="Times New Roman" w:hAnsi="Times New Roman" w:cs="Times New Roman"/>
          <w:sz w:val="24"/>
          <w:szCs w:val="24"/>
          <w:shd w:val="clear" w:color="auto" w:fill="FFFFFF"/>
        </w:rPr>
        <w:t> г.</w:t>
      </w:r>
      <w:r w:rsidRPr="007404FA">
        <w:rPr>
          <w:rFonts w:ascii="Times New Roman" w:hAnsi="Times New Roman" w:cs="Times New Roman"/>
          <w:sz w:val="24"/>
          <w:szCs w:val="24"/>
          <w:shd w:val="clear" w:color="auto" w:fill="FFFFFF"/>
        </w:rPr>
        <w:t xml:space="preserve"> КЗЛД е съорганизатор</w:t>
      </w:r>
      <w:r w:rsidR="00363E00" w:rsidRPr="007404FA">
        <w:rPr>
          <w:rFonts w:ascii="Times New Roman" w:hAnsi="Times New Roman" w:cs="Times New Roman"/>
          <w:sz w:val="24"/>
          <w:szCs w:val="24"/>
          <w:shd w:val="clear" w:color="auto" w:fill="FFFFFF"/>
        </w:rPr>
        <w:t xml:space="preserve"> съвместно с </w:t>
      </w:r>
      <w:r w:rsidR="00C01018" w:rsidRPr="007404FA">
        <w:rPr>
          <w:rFonts w:ascii="Times New Roman" w:hAnsi="Times New Roman" w:cs="Times New Roman"/>
          <w:sz w:val="24"/>
          <w:szCs w:val="24"/>
          <w:shd w:val="clear" w:color="auto" w:fill="FFFFFF"/>
        </w:rPr>
        <w:t xml:space="preserve">португалския </w:t>
      </w:r>
      <w:r w:rsidR="00363E00" w:rsidRPr="007404FA">
        <w:rPr>
          <w:rFonts w:ascii="Times New Roman" w:hAnsi="Times New Roman" w:cs="Times New Roman"/>
          <w:sz w:val="24"/>
          <w:szCs w:val="24"/>
          <w:shd w:val="clear" w:color="auto" w:fill="FFFFFF"/>
        </w:rPr>
        <w:t>надзор</w:t>
      </w:r>
      <w:r w:rsidR="00C01018" w:rsidRPr="007404FA">
        <w:rPr>
          <w:rFonts w:ascii="Times New Roman" w:hAnsi="Times New Roman" w:cs="Times New Roman"/>
          <w:sz w:val="24"/>
          <w:szCs w:val="24"/>
          <w:shd w:val="clear" w:color="auto" w:fill="FFFFFF"/>
        </w:rPr>
        <w:t>е</w:t>
      </w:r>
      <w:r w:rsidR="00E435D6">
        <w:rPr>
          <w:rFonts w:ascii="Times New Roman" w:hAnsi="Times New Roman" w:cs="Times New Roman"/>
          <w:sz w:val="24"/>
          <w:szCs w:val="24"/>
          <w:shd w:val="clear" w:color="auto" w:fill="FFFFFF"/>
        </w:rPr>
        <w:t xml:space="preserve">н орган по защита на данните на кръгла маса на тема </w:t>
      </w:r>
      <w:r w:rsidRPr="007404FA">
        <w:rPr>
          <w:rFonts w:ascii="Times New Roman" w:hAnsi="Times New Roman" w:cs="Times New Roman"/>
          <w:sz w:val="24"/>
          <w:szCs w:val="24"/>
          <w:shd w:val="clear" w:color="auto" w:fill="FFFFFF"/>
        </w:rPr>
        <w:t>Developing AI as a trustworth</w:t>
      </w:r>
      <w:r w:rsidR="00E435D6">
        <w:rPr>
          <w:rFonts w:ascii="Times New Roman" w:hAnsi="Times New Roman" w:cs="Times New Roman"/>
          <w:sz w:val="24"/>
          <w:szCs w:val="24"/>
          <w:shd w:val="clear" w:color="auto" w:fill="FFFFFF"/>
        </w:rPr>
        <w:t>y tool for safeguarding privacy</w:t>
      </w:r>
      <w:r w:rsidRPr="007404FA">
        <w:rPr>
          <w:rFonts w:ascii="Times New Roman" w:hAnsi="Times New Roman" w:cs="Times New Roman"/>
          <w:sz w:val="24"/>
          <w:szCs w:val="24"/>
          <w:shd w:val="clear" w:color="auto" w:fill="FFFFFF"/>
        </w:rPr>
        <w:t xml:space="preserve"> като част от 15-</w:t>
      </w:r>
      <w:r w:rsidR="00E435D6">
        <w:rPr>
          <w:rFonts w:ascii="Times New Roman" w:hAnsi="Times New Roman" w:cs="Times New Roman"/>
          <w:sz w:val="24"/>
          <w:szCs w:val="24"/>
          <w:shd w:val="clear" w:color="auto" w:fill="FFFFFF"/>
        </w:rPr>
        <w:t>о</w:t>
      </w:r>
      <w:r w:rsidRPr="007404FA">
        <w:rPr>
          <w:rFonts w:ascii="Times New Roman" w:hAnsi="Times New Roman" w:cs="Times New Roman"/>
          <w:sz w:val="24"/>
          <w:szCs w:val="24"/>
          <w:shd w:val="clear" w:color="auto" w:fill="FFFFFF"/>
        </w:rPr>
        <w:t>то издание на международната конференция на Университета на ООН</w:t>
      </w:r>
      <w:r w:rsidR="00363E00" w:rsidRPr="007404FA">
        <w:rPr>
          <w:rFonts w:ascii="Times New Roman" w:hAnsi="Times New Roman" w:cs="Times New Roman"/>
          <w:sz w:val="24"/>
          <w:szCs w:val="24"/>
          <w:shd w:val="clear" w:color="auto" w:fill="FFFFFF"/>
        </w:rPr>
        <w:t xml:space="preserve">, посветена на цифровото управление за демократични, справедливи и приобщаващи общества. Кръглата маса протича </w:t>
      </w:r>
      <w:r w:rsidRPr="007404FA">
        <w:rPr>
          <w:rFonts w:ascii="Times New Roman" w:hAnsi="Times New Roman" w:cs="Times New Roman"/>
          <w:sz w:val="24"/>
          <w:szCs w:val="24"/>
          <w:shd w:val="clear" w:color="auto" w:fill="FFFFFF"/>
        </w:rPr>
        <w:t>под надслов „Цифрово управление за социално, икономическо и природно благополучие“. Четиридневното събитие е проведено в португалския град Гимараеш.</w:t>
      </w:r>
    </w:p>
    <w:p w:rsidR="00E42714" w:rsidRPr="007404FA" w:rsidRDefault="00E42714" w:rsidP="00DB6B05">
      <w:pPr>
        <w:spacing w:line="360" w:lineRule="auto"/>
        <w:ind w:firstLine="709"/>
        <w:jc w:val="both"/>
        <w:rPr>
          <w:rFonts w:ascii="Times New Roman" w:hAnsi="Times New Roman" w:cs="Times New Roman"/>
          <w:sz w:val="24"/>
          <w:szCs w:val="24"/>
          <w:shd w:val="clear" w:color="auto" w:fill="FFFFFF"/>
        </w:rPr>
      </w:pPr>
    </w:p>
    <w:p w:rsidR="00E42714" w:rsidRPr="007404FA" w:rsidRDefault="00E42714" w:rsidP="00DB6B05">
      <w:pPr>
        <w:numPr>
          <w:ilvl w:val="0"/>
          <w:numId w:val="3"/>
        </w:numPr>
        <w:suppressAutoHyphens/>
        <w:autoSpaceDN w:val="0"/>
        <w:spacing w:line="360" w:lineRule="auto"/>
        <w:ind w:left="0" w:firstLine="709"/>
        <w:jc w:val="both"/>
        <w:textAlignment w:val="baseline"/>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Дейност на председателя на КЗЛД в качеството му на заместник-председател на ЕКЗД.</w:t>
      </w:r>
    </w:p>
    <w:p w:rsidR="00E42714" w:rsidRPr="007404FA" w:rsidRDefault="00E42714" w:rsidP="00DB6B05">
      <w:pPr>
        <w:spacing w:line="360" w:lineRule="auto"/>
        <w:ind w:firstLine="709"/>
        <w:jc w:val="both"/>
        <w:rPr>
          <w:rFonts w:ascii="Times New Roman" w:hAnsi="Times New Roman" w:cs="Times New Roman"/>
          <w:bCs/>
          <w:sz w:val="24"/>
          <w:szCs w:val="24"/>
        </w:rPr>
      </w:pPr>
      <w:r w:rsidRPr="007404FA">
        <w:rPr>
          <w:rFonts w:ascii="Times New Roman" w:hAnsi="Times New Roman" w:cs="Times New Roman"/>
          <w:bCs/>
          <w:sz w:val="24"/>
          <w:szCs w:val="24"/>
        </w:rPr>
        <w:t xml:space="preserve">Повишената разпознаваемост на </w:t>
      </w:r>
      <w:r w:rsidR="003A208E" w:rsidRPr="007404FA">
        <w:rPr>
          <w:rFonts w:ascii="Times New Roman" w:hAnsi="Times New Roman" w:cs="Times New Roman"/>
          <w:bCs/>
          <w:sz w:val="24"/>
          <w:szCs w:val="24"/>
        </w:rPr>
        <w:t>Европейския комитет по защита на данните</w:t>
      </w:r>
      <w:r w:rsidR="00E435D6">
        <w:rPr>
          <w:rFonts w:ascii="Times New Roman" w:hAnsi="Times New Roman" w:cs="Times New Roman"/>
          <w:bCs/>
          <w:sz w:val="24"/>
          <w:szCs w:val="24"/>
        </w:rPr>
        <w:t>,</w:t>
      </w:r>
      <w:r w:rsidR="003A208E" w:rsidRPr="007404FA">
        <w:rPr>
          <w:rFonts w:ascii="Times New Roman" w:hAnsi="Times New Roman" w:cs="Times New Roman"/>
          <w:bCs/>
          <w:sz w:val="24"/>
          <w:szCs w:val="24"/>
        </w:rPr>
        <w:t xml:space="preserve"> като </w:t>
      </w:r>
      <w:r w:rsidRPr="007404FA">
        <w:rPr>
          <w:rFonts w:ascii="Times New Roman" w:hAnsi="Times New Roman" w:cs="Times New Roman"/>
          <w:bCs/>
          <w:sz w:val="24"/>
          <w:szCs w:val="24"/>
        </w:rPr>
        <w:t xml:space="preserve">европейска институция, ангажирана </w:t>
      </w:r>
      <w:r w:rsidR="006B62F6" w:rsidRPr="007404FA">
        <w:rPr>
          <w:rFonts w:ascii="Times New Roman" w:hAnsi="Times New Roman" w:cs="Times New Roman"/>
          <w:bCs/>
          <w:sz w:val="24"/>
          <w:szCs w:val="24"/>
        </w:rPr>
        <w:t xml:space="preserve">с </w:t>
      </w:r>
      <w:r w:rsidRPr="007404FA">
        <w:rPr>
          <w:rFonts w:ascii="Times New Roman" w:hAnsi="Times New Roman" w:cs="Times New Roman"/>
          <w:bCs/>
          <w:sz w:val="24"/>
          <w:szCs w:val="24"/>
        </w:rPr>
        <w:t>единното прилагане на правилата относно защитата на данните навсякъде в Европейския съюз и за насърчаване сътрудничеството между органите за защита на данните на държавите членки, води след себе си до редица задължения за председателя и заместник-председателите на ЕКЗД. В качеството си н</w:t>
      </w:r>
      <w:r w:rsidR="00E435D6">
        <w:rPr>
          <w:rFonts w:ascii="Times New Roman" w:hAnsi="Times New Roman" w:cs="Times New Roman"/>
          <w:bCs/>
          <w:sz w:val="24"/>
          <w:szCs w:val="24"/>
        </w:rPr>
        <w:t>а заместник-председател на ЕКЗД</w:t>
      </w:r>
      <w:r w:rsidRPr="007404FA">
        <w:rPr>
          <w:rFonts w:ascii="Times New Roman" w:hAnsi="Times New Roman" w:cs="Times New Roman"/>
          <w:bCs/>
          <w:sz w:val="24"/>
          <w:szCs w:val="24"/>
        </w:rPr>
        <w:t xml:space="preserve"> през 2022</w:t>
      </w:r>
      <w:r w:rsidR="00F06583" w:rsidRPr="007404FA">
        <w:rPr>
          <w:rFonts w:ascii="Times New Roman" w:hAnsi="Times New Roman" w:cs="Times New Roman"/>
          <w:bCs/>
          <w:sz w:val="24"/>
          <w:szCs w:val="24"/>
        </w:rPr>
        <w:t> г.</w:t>
      </w:r>
      <w:r w:rsidRPr="007404FA">
        <w:rPr>
          <w:rFonts w:ascii="Times New Roman" w:hAnsi="Times New Roman" w:cs="Times New Roman"/>
          <w:bCs/>
          <w:sz w:val="24"/>
          <w:szCs w:val="24"/>
        </w:rPr>
        <w:t xml:space="preserve"> председателят на КЗЛД взема участие в редица инициативи.</w:t>
      </w:r>
    </w:p>
    <w:p w:rsidR="00E42714" w:rsidRPr="007404FA" w:rsidRDefault="00E42714"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bCs/>
          <w:sz w:val="24"/>
          <w:szCs w:val="24"/>
        </w:rPr>
        <w:t>През отчетния период Венцислав Караджов води част от пленарните заседания на Комитета в изпълнение на</w:t>
      </w:r>
      <w:r w:rsidR="00F06583" w:rsidRPr="007404FA">
        <w:rPr>
          <w:rFonts w:ascii="Times New Roman" w:hAnsi="Times New Roman" w:cs="Times New Roman"/>
          <w:bCs/>
          <w:sz w:val="24"/>
          <w:szCs w:val="24"/>
        </w:rPr>
        <w:t xml:space="preserve"> чл. </w:t>
      </w:r>
      <w:r w:rsidRPr="007404FA">
        <w:rPr>
          <w:rFonts w:ascii="Times New Roman" w:hAnsi="Times New Roman" w:cs="Times New Roman"/>
          <w:sz w:val="24"/>
          <w:szCs w:val="24"/>
        </w:rPr>
        <w:t xml:space="preserve">18, </w:t>
      </w:r>
      <w:r w:rsidR="00E06D6E">
        <w:rPr>
          <w:rFonts w:ascii="Times New Roman" w:hAnsi="Times New Roman" w:cs="Times New Roman"/>
          <w:sz w:val="24"/>
          <w:szCs w:val="24"/>
        </w:rPr>
        <w:t>§</w:t>
      </w:r>
      <w:r w:rsidRPr="007404FA">
        <w:rPr>
          <w:rFonts w:ascii="Times New Roman" w:hAnsi="Times New Roman" w:cs="Times New Roman"/>
          <w:sz w:val="24"/>
          <w:szCs w:val="24"/>
        </w:rPr>
        <w:t>3 от Правилника за дейността на ЕКЗД. Председателят на КЗЛД участва, като представител на ЕКЗД, в заседание пред Съвета на Европейския съюз по повод процедура за защита на проекта на бюджет на ЕКЗД за 2023</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През май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Венцислав Караджов се включва в Програмата на двустранни срещи на ЕК с представители на държави извън ЕС по теми</w:t>
      </w:r>
      <w:r w:rsidR="00E435D6">
        <w:rPr>
          <w:rFonts w:ascii="Times New Roman" w:hAnsi="Times New Roman" w:cs="Times New Roman"/>
          <w:sz w:val="24"/>
          <w:szCs w:val="24"/>
        </w:rPr>
        <w:t>,</w:t>
      </w:r>
      <w:r w:rsidRPr="007404FA">
        <w:rPr>
          <w:rFonts w:ascii="Times New Roman" w:hAnsi="Times New Roman" w:cs="Times New Roman"/>
          <w:sz w:val="24"/>
          <w:szCs w:val="24"/>
        </w:rPr>
        <w:t xml:space="preserve"> свързани с цифровата публична инфраструктура по линия на председателството на Г20</w:t>
      </w:r>
      <w:r w:rsidR="00157B49">
        <w:rPr>
          <w:rFonts w:ascii="Times New Roman" w:hAnsi="Times New Roman" w:cs="Times New Roman"/>
          <w:sz w:val="24"/>
          <w:szCs w:val="24"/>
        </w:rPr>
        <w:t xml:space="preserve"> </w:t>
      </w:r>
      <w:r w:rsidRPr="007404FA">
        <w:rPr>
          <w:rFonts w:ascii="Times New Roman" w:hAnsi="Times New Roman" w:cs="Times New Roman"/>
          <w:sz w:val="24"/>
          <w:szCs w:val="24"/>
        </w:rPr>
        <w:t>за 2023</w:t>
      </w:r>
      <w:r w:rsidR="00F06583" w:rsidRPr="007404FA">
        <w:rPr>
          <w:rFonts w:ascii="Times New Roman" w:hAnsi="Times New Roman" w:cs="Times New Roman"/>
          <w:sz w:val="24"/>
          <w:szCs w:val="24"/>
        </w:rPr>
        <w:t> г.</w:t>
      </w:r>
    </w:p>
    <w:p w:rsidR="00E42714" w:rsidRPr="007404FA" w:rsidRDefault="00E42714"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На 27 юни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председателят на КЗЛД участва в 13-</w:t>
      </w:r>
      <w:r w:rsidR="00E435D6">
        <w:rPr>
          <w:rFonts w:ascii="Times New Roman" w:hAnsi="Times New Roman" w:cs="Times New Roman"/>
          <w:sz w:val="24"/>
          <w:szCs w:val="24"/>
        </w:rPr>
        <w:t xml:space="preserve">ото издание на </w:t>
      </w:r>
      <w:r w:rsidRPr="007404FA">
        <w:rPr>
          <w:rFonts w:ascii="Times New Roman" w:hAnsi="Times New Roman" w:cs="Times New Roman"/>
          <w:sz w:val="24"/>
          <w:szCs w:val="24"/>
        </w:rPr>
        <w:t xml:space="preserve">Annual Sedona Conference International Programme on Cross-Border Data Transfers and Data Protection Laws, организирана в гр. Вашингтон, САЩ. Дневният ред на форума включва теми относно трансграничното предаване на данни, свързани с търговски операции, правителствени </w:t>
      </w:r>
      <w:r w:rsidRPr="007404FA">
        <w:rPr>
          <w:rFonts w:ascii="Times New Roman" w:hAnsi="Times New Roman" w:cs="Times New Roman"/>
          <w:sz w:val="24"/>
          <w:szCs w:val="24"/>
        </w:rPr>
        <w:lastRenderedPageBreak/>
        <w:t>разследвания и разкриване на данни при съдебни спорове, както и свързаните с това въпроси на съответствието, неприкосновеността на личния живот и сигурността на данните.</w:t>
      </w:r>
    </w:p>
    <w:p w:rsidR="00E42714" w:rsidRPr="007404FA" w:rsidRDefault="00E42714"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На 30 август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е получена </w:t>
      </w:r>
      <w:r w:rsidR="00E435D6">
        <w:rPr>
          <w:rFonts w:ascii="Times New Roman" w:hAnsi="Times New Roman" w:cs="Times New Roman"/>
          <w:sz w:val="24"/>
          <w:szCs w:val="24"/>
        </w:rPr>
        <w:t>покана към председателя на КЗЛД</w:t>
      </w:r>
      <w:r w:rsidRPr="007404FA">
        <w:rPr>
          <w:rFonts w:ascii="Times New Roman" w:hAnsi="Times New Roman" w:cs="Times New Roman"/>
          <w:sz w:val="24"/>
          <w:szCs w:val="24"/>
        </w:rPr>
        <w:t xml:space="preserve"> в качеството му заместник-председател на Европейск</w:t>
      </w:r>
      <w:r w:rsidR="00E435D6">
        <w:rPr>
          <w:rFonts w:ascii="Times New Roman" w:hAnsi="Times New Roman" w:cs="Times New Roman"/>
          <w:sz w:val="24"/>
          <w:szCs w:val="24"/>
        </w:rPr>
        <w:t>ия комитет по защита на данните</w:t>
      </w:r>
      <w:r w:rsidRPr="007404FA">
        <w:rPr>
          <w:rFonts w:ascii="Times New Roman" w:hAnsi="Times New Roman" w:cs="Times New Roman"/>
          <w:sz w:val="24"/>
          <w:szCs w:val="24"/>
        </w:rPr>
        <w:t xml:space="preserve"> за участи</w:t>
      </w:r>
      <w:r w:rsidR="00E435D6">
        <w:rPr>
          <w:rFonts w:ascii="Times New Roman" w:hAnsi="Times New Roman" w:cs="Times New Roman"/>
          <w:sz w:val="24"/>
          <w:szCs w:val="24"/>
        </w:rPr>
        <w:t xml:space="preserve">е в конференция </w:t>
      </w:r>
      <w:r w:rsidRPr="007404FA">
        <w:rPr>
          <w:rFonts w:ascii="Times New Roman" w:hAnsi="Times New Roman" w:cs="Times New Roman"/>
          <w:sz w:val="24"/>
          <w:szCs w:val="24"/>
        </w:rPr>
        <w:t>BEUC: To empower, not to weaken: Rethinking consumer protection in the digital age. Конференцията се провежда на 27 септември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в гр. Брюксел, Кралство Белгия. Венцислав Карад</w:t>
      </w:r>
      <w:r w:rsidR="00E435D6">
        <w:rPr>
          <w:rFonts w:ascii="Times New Roman" w:hAnsi="Times New Roman" w:cs="Times New Roman"/>
          <w:sz w:val="24"/>
          <w:szCs w:val="24"/>
        </w:rPr>
        <w:t xml:space="preserve">жов участва в Панел, озаглавен </w:t>
      </w:r>
      <w:r w:rsidRPr="007404FA">
        <w:rPr>
          <w:rFonts w:ascii="Times New Roman" w:hAnsi="Times New Roman" w:cs="Times New Roman"/>
          <w:sz w:val="24"/>
          <w:szCs w:val="24"/>
        </w:rPr>
        <w:t>Panel 4: Enforcement in the digital age.</w:t>
      </w:r>
    </w:p>
    <w:p w:rsidR="00E42714" w:rsidRPr="007404FA" w:rsidRDefault="00E42714" w:rsidP="00DB6B05">
      <w:pPr>
        <w:spacing w:line="360" w:lineRule="auto"/>
        <w:ind w:firstLine="709"/>
        <w:jc w:val="both"/>
        <w:rPr>
          <w:rFonts w:ascii="Times New Roman" w:hAnsi="Times New Roman" w:cs="Times New Roman"/>
          <w:bCs/>
          <w:sz w:val="24"/>
          <w:szCs w:val="24"/>
        </w:rPr>
      </w:pPr>
      <w:r w:rsidRPr="007404FA">
        <w:rPr>
          <w:rFonts w:ascii="Times New Roman" w:hAnsi="Times New Roman" w:cs="Times New Roman"/>
          <w:bCs/>
          <w:sz w:val="24"/>
          <w:szCs w:val="24"/>
        </w:rPr>
        <w:t>На 10 октомври 2022</w:t>
      </w:r>
      <w:r w:rsidR="00F06583" w:rsidRPr="007404FA">
        <w:rPr>
          <w:rFonts w:ascii="Times New Roman" w:hAnsi="Times New Roman" w:cs="Times New Roman"/>
          <w:bCs/>
          <w:sz w:val="24"/>
          <w:szCs w:val="24"/>
        </w:rPr>
        <w:t> г.</w:t>
      </w:r>
      <w:r w:rsidRPr="007404FA">
        <w:rPr>
          <w:rFonts w:ascii="Times New Roman" w:hAnsi="Times New Roman" w:cs="Times New Roman"/>
          <w:bCs/>
          <w:sz w:val="24"/>
          <w:szCs w:val="24"/>
        </w:rPr>
        <w:t xml:space="preserve"> е проведена </w:t>
      </w:r>
      <w:r w:rsidR="00E435D6">
        <w:rPr>
          <w:rFonts w:ascii="Times New Roman" w:hAnsi="Times New Roman" w:cs="Times New Roman"/>
          <w:bCs/>
          <w:sz w:val="24"/>
          <w:szCs w:val="24"/>
        </w:rPr>
        <w:t xml:space="preserve">конференция </w:t>
      </w:r>
      <w:r w:rsidR="00BF6D75" w:rsidRPr="007404FA">
        <w:rPr>
          <w:rFonts w:ascii="Times New Roman" w:eastAsia="Calibri" w:hAnsi="Times New Roman" w:cs="Times New Roman"/>
          <w:sz w:val="24"/>
          <w:szCs w:val="24"/>
        </w:rPr>
        <w:t>Regulation AI, Internet, and Data</w:t>
      </w:r>
      <w:r w:rsidR="00E06D6E">
        <w:rPr>
          <w:rFonts w:ascii="Times New Roman" w:eastAsia="Calibri" w:hAnsi="Times New Roman" w:cs="Times New Roman"/>
          <w:sz w:val="24"/>
          <w:szCs w:val="24"/>
        </w:rPr>
        <w:t xml:space="preserve"> – </w:t>
      </w:r>
      <w:r w:rsidR="006C7FC7" w:rsidRPr="00DE4C8A">
        <w:rPr>
          <w:rFonts w:ascii="Times New Roman" w:hAnsi="Times New Roman" w:cs="Times New Roman"/>
          <w:bCs/>
          <w:sz w:val="24"/>
          <w:szCs w:val="24"/>
        </w:rPr>
        <w:t>RAID 2022: H2</w:t>
      </w:r>
      <w:r w:rsidR="006C7FC7" w:rsidRPr="007404FA">
        <w:rPr>
          <w:rFonts w:ascii="Times New Roman" w:eastAsia="Calibri" w:hAnsi="Times New Roman" w:cs="Times New Roman"/>
          <w:sz w:val="24"/>
          <w:szCs w:val="24"/>
        </w:rPr>
        <w:t xml:space="preserve"> </w:t>
      </w:r>
      <w:r w:rsidR="00BF6D75" w:rsidRPr="007404FA">
        <w:rPr>
          <w:rFonts w:ascii="Times New Roman" w:eastAsia="Calibri" w:hAnsi="Times New Roman" w:cs="Times New Roman"/>
          <w:sz w:val="24"/>
          <w:szCs w:val="24"/>
        </w:rPr>
        <w:t>(„Регулиране на изкуствения интелект, интернет и данни“)</w:t>
      </w:r>
      <w:r w:rsidRPr="007404FA">
        <w:rPr>
          <w:rFonts w:ascii="Times New Roman" w:hAnsi="Times New Roman" w:cs="Times New Roman"/>
          <w:bCs/>
          <w:sz w:val="24"/>
          <w:szCs w:val="24"/>
        </w:rPr>
        <w:t>, която събира на едно място представители на държавния сектор, бизнеса и академичните среди от ЕС, Китай и САЩ, търсещи подходящите отговори на глобалните предизвикателства, свързани с развитието на технологиите, изкуствения интелект, интернет и обработването на данни. Председателят на КЗЛД взема участие в панел 1 „Новата глобализация“.</w:t>
      </w:r>
    </w:p>
    <w:p w:rsidR="00E42714" w:rsidRPr="007404FA" w:rsidRDefault="00E42714" w:rsidP="00DB6B05">
      <w:pPr>
        <w:spacing w:line="360" w:lineRule="auto"/>
        <w:ind w:firstLine="709"/>
        <w:jc w:val="both"/>
        <w:rPr>
          <w:rFonts w:ascii="Times New Roman" w:hAnsi="Times New Roman" w:cs="Times New Roman"/>
          <w:bCs/>
          <w:color w:val="FF0000"/>
          <w:sz w:val="24"/>
          <w:szCs w:val="24"/>
        </w:rPr>
      </w:pPr>
    </w:p>
    <w:p w:rsidR="00E42714" w:rsidRPr="007404FA" w:rsidRDefault="00E42714" w:rsidP="00DB6B05">
      <w:pPr>
        <w:numPr>
          <w:ilvl w:val="0"/>
          <w:numId w:val="3"/>
        </w:numPr>
        <w:suppressAutoHyphens/>
        <w:autoSpaceDN w:val="0"/>
        <w:spacing w:line="360" w:lineRule="auto"/>
        <w:ind w:left="0" w:firstLine="709"/>
        <w:jc w:val="both"/>
        <w:textAlignment w:val="baseline"/>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Дейности по Шенген</w:t>
      </w:r>
      <w:r w:rsidR="00553661" w:rsidRPr="007404FA">
        <w:rPr>
          <w:rFonts w:ascii="Times New Roman" w:eastAsia="Times New Roman" w:hAnsi="Times New Roman" w:cs="Times New Roman"/>
          <w:b/>
          <w:sz w:val="24"/>
          <w:szCs w:val="24"/>
        </w:rPr>
        <w:t xml:space="preserve"> – </w:t>
      </w:r>
      <w:r w:rsidRPr="007404FA">
        <w:rPr>
          <w:rFonts w:ascii="Times New Roman" w:eastAsia="Times New Roman" w:hAnsi="Times New Roman" w:cs="Times New Roman"/>
          <w:b/>
          <w:sz w:val="24"/>
          <w:szCs w:val="24"/>
        </w:rPr>
        <w:t>участие в оценки по Шенген, разяснителна кампания и упражняване на правата от субекти на данните.</w:t>
      </w:r>
    </w:p>
    <w:p w:rsidR="00E42714" w:rsidRPr="007404FA" w:rsidRDefault="00E42714" w:rsidP="00DB6B05">
      <w:pPr>
        <w:spacing w:line="360" w:lineRule="auto"/>
        <w:ind w:firstLine="709"/>
        <w:jc w:val="both"/>
        <w:rPr>
          <w:rFonts w:ascii="Times New Roman" w:eastAsia="Calibri" w:hAnsi="Times New Roman" w:cs="Times New Roman"/>
          <w:color w:val="FF0000"/>
          <w:sz w:val="24"/>
          <w:szCs w:val="24"/>
        </w:rPr>
      </w:pPr>
      <w:r w:rsidRPr="007404FA">
        <w:rPr>
          <w:rFonts w:ascii="Times New Roman" w:eastAsia="Calibri" w:hAnsi="Times New Roman" w:cs="Times New Roman"/>
          <w:sz w:val="24"/>
          <w:szCs w:val="24"/>
        </w:rPr>
        <w:t>През</w:t>
      </w:r>
      <w:r w:rsidR="004710CD" w:rsidRPr="007404FA">
        <w:rPr>
          <w:rFonts w:ascii="Times New Roman" w:eastAsia="Calibri" w:hAnsi="Times New Roman" w:cs="Times New Roman"/>
          <w:sz w:val="24"/>
          <w:szCs w:val="24"/>
        </w:rPr>
        <w:t xml:space="preserve"> отчетния период КЗЛД продължава</w:t>
      </w:r>
      <w:r w:rsidRPr="007404FA">
        <w:rPr>
          <w:rFonts w:ascii="Times New Roman" w:eastAsia="Calibri" w:hAnsi="Times New Roman" w:cs="Times New Roman"/>
          <w:sz w:val="24"/>
          <w:szCs w:val="24"/>
        </w:rPr>
        <w:t xml:space="preserve"> да изпълнява в пълен обем дейностите по осигуряване пълноправното присъединяване на Република България към Шенген.</w:t>
      </w:r>
      <w:r w:rsidRPr="007404FA">
        <w:rPr>
          <w:rFonts w:ascii="Times New Roman" w:eastAsia="Calibri" w:hAnsi="Times New Roman" w:cs="Times New Roman"/>
          <w:color w:val="FF0000"/>
          <w:sz w:val="24"/>
          <w:szCs w:val="24"/>
        </w:rPr>
        <w:t xml:space="preserve"> </w:t>
      </w:r>
      <w:r w:rsidRPr="007404FA">
        <w:rPr>
          <w:rFonts w:ascii="Times New Roman" w:hAnsi="Times New Roman"/>
          <w:sz w:val="24"/>
          <w:szCs w:val="24"/>
        </w:rPr>
        <w:t xml:space="preserve">Представители на администрацията на КЗЛД продължават да вземат активно участие в мисии в други държави членки за оценка на шенгенското законодателство в областта на защитата на личните данни, чието участие се отразява текущо в информационния бюлетин, издаван от Комисията. Основната цел на тези мисии по оценки на Шенген е проверка на прилагането на достиженията на правото на Шенген и дали сe спазват условията за прилагане на всички релевантни области, сред които са защитата </w:t>
      </w:r>
      <w:r w:rsidR="00E434D8" w:rsidRPr="007404FA">
        <w:rPr>
          <w:rFonts w:ascii="Times New Roman" w:hAnsi="Times New Roman"/>
          <w:sz w:val="24"/>
          <w:szCs w:val="24"/>
        </w:rPr>
        <w:t xml:space="preserve">на личните данни, </w:t>
      </w:r>
      <w:r w:rsidR="00AE7889" w:rsidRPr="007404FA">
        <w:rPr>
          <w:rFonts w:ascii="Times New Roman" w:hAnsi="Times New Roman"/>
          <w:sz w:val="24"/>
          <w:szCs w:val="24"/>
        </w:rPr>
        <w:t>Шенгенска</w:t>
      </w:r>
      <w:r w:rsidR="00C82B5D">
        <w:rPr>
          <w:rFonts w:ascii="Times New Roman" w:hAnsi="Times New Roman"/>
          <w:sz w:val="24"/>
          <w:szCs w:val="24"/>
        </w:rPr>
        <w:t>та</w:t>
      </w:r>
      <w:r w:rsidRPr="007404FA">
        <w:rPr>
          <w:rFonts w:ascii="Times New Roman" w:hAnsi="Times New Roman"/>
          <w:sz w:val="24"/>
          <w:szCs w:val="24"/>
        </w:rPr>
        <w:t xml:space="preserve"> информационна система, полицейското сътрудничество, съдебното сътрудничество по наказателноправни въпроси, както и отсъствието на граничен контрол на вътрешните граници. Всяка една мисия по Шенген приключва с проект на доклад, съдържащ информация, предоставена в рамките на мисията, както и заключения и препоръки на проверяващия екип. През 2022</w:t>
      </w:r>
      <w:r w:rsidR="00F06583" w:rsidRPr="007404FA">
        <w:rPr>
          <w:rFonts w:ascii="Times New Roman" w:hAnsi="Times New Roman"/>
          <w:sz w:val="24"/>
          <w:szCs w:val="24"/>
        </w:rPr>
        <w:t> г.</w:t>
      </w:r>
      <w:r w:rsidRPr="007404FA">
        <w:rPr>
          <w:rFonts w:ascii="Times New Roman" w:hAnsi="Times New Roman"/>
          <w:sz w:val="24"/>
          <w:szCs w:val="24"/>
        </w:rPr>
        <w:t xml:space="preserve"> представители на институцията участват в мисиите по оценка на Шенген на Кралство Норвегия и Република Исландия.</w:t>
      </w:r>
    </w:p>
    <w:p w:rsidR="00E42714" w:rsidRPr="007404FA" w:rsidRDefault="00E42714" w:rsidP="00DB6B05">
      <w:pPr>
        <w:spacing w:line="360" w:lineRule="auto"/>
        <w:ind w:firstLine="709"/>
        <w:jc w:val="both"/>
        <w:rPr>
          <w:rFonts w:ascii="Times New Roman" w:hAnsi="Times New Roman"/>
          <w:sz w:val="24"/>
          <w:szCs w:val="24"/>
        </w:rPr>
      </w:pPr>
      <w:r w:rsidRPr="007404FA">
        <w:rPr>
          <w:rFonts w:ascii="Times New Roman" w:hAnsi="Times New Roman"/>
          <w:sz w:val="24"/>
          <w:szCs w:val="24"/>
        </w:rPr>
        <w:t>И двете мисии протичат в съответствие с програмата, изготвена от страна на Европейската комисия и оценяваната държава и съгласувана с водещия експерт на държавите членки. Осъществяват се срещи с</w:t>
      </w:r>
      <w:r w:rsidR="00C82B5D">
        <w:rPr>
          <w:rFonts w:ascii="Times New Roman" w:hAnsi="Times New Roman"/>
          <w:sz w:val="24"/>
          <w:szCs w:val="24"/>
        </w:rPr>
        <w:t>ъс</w:t>
      </w:r>
      <w:r w:rsidRPr="007404FA">
        <w:rPr>
          <w:rFonts w:ascii="Times New Roman" w:hAnsi="Times New Roman"/>
          <w:sz w:val="24"/>
          <w:szCs w:val="24"/>
        </w:rPr>
        <w:t xml:space="preserve"> съответните национални надзорни органи по защита на личните данни, на които са представени техните структури, условията за тяхната независимост, служителите, бюджетите им, международните отношения, правата </w:t>
      </w:r>
      <w:r w:rsidRPr="007404FA">
        <w:rPr>
          <w:rFonts w:ascii="Times New Roman" w:hAnsi="Times New Roman"/>
          <w:sz w:val="24"/>
          <w:szCs w:val="24"/>
        </w:rPr>
        <w:lastRenderedPageBreak/>
        <w:t xml:space="preserve">на физическите лица, компетентността на органите и надзора, който упражняват във връзка с Шенгенската информационна система от второ поколение (ШИС II) и Визовата информационна система (ВИС). </w:t>
      </w:r>
    </w:p>
    <w:p w:rsidR="00E42714" w:rsidRPr="007404FA" w:rsidRDefault="00E42714" w:rsidP="00DB6B05">
      <w:pPr>
        <w:spacing w:line="360" w:lineRule="auto"/>
        <w:ind w:firstLine="709"/>
        <w:jc w:val="both"/>
        <w:rPr>
          <w:rFonts w:ascii="Times New Roman" w:hAnsi="Times New Roman"/>
          <w:sz w:val="24"/>
          <w:szCs w:val="24"/>
        </w:rPr>
      </w:pPr>
      <w:r w:rsidRPr="007404FA">
        <w:rPr>
          <w:rFonts w:ascii="Times New Roman" w:hAnsi="Times New Roman"/>
          <w:sz w:val="24"/>
          <w:szCs w:val="24"/>
        </w:rPr>
        <w:t xml:space="preserve">Посетени са полицейски участъци в двете страни, където е представена информация, свързана със структурата на съответните национални полицейски органи, техните правомощия, както и компетентността им по отношение на ШИС II. Посетени са и администраторите на Н.ШИС в двете държави. Представено е полицейското сътрудничество между северните страни и предизвикателствата, с които те се срещат. </w:t>
      </w:r>
      <w:r w:rsidR="00B00270" w:rsidRPr="007404FA">
        <w:rPr>
          <w:rFonts w:ascii="Times New Roman" w:hAnsi="Times New Roman"/>
          <w:sz w:val="24"/>
          <w:szCs w:val="24"/>
        </w:rPr>
        <w:t>На екипа за оценка са п</w:t>
      </w:r>
      <w:r w:rsidRPr="007404FA">
        <w:rPr>
          <w:rFonts w:ascii="Times New Roman" w:hAnsi="Times New Roman"/>
          <w:sz w:val="24"/>
          <w:szCs w:val="24"/>
        </w:rPr>
        <w:t>резентирани националната архитектурата на Н.ШИС и всички аспекти, свързани с обработването на личните данни</w:t>
      </w:r>
      <w:r w:rsidR="00553661" w:rsidRPr="007404FA">
        <w:rPr>
          <w:rFonts w:ascii="Times New Roman" w:hAnsi="Times New Roman"/>
          <w:sz w:val="24"/>
          <w:szCs w:val="24"/>
        </w:rPr>
        <w:t xml:space="preserve"> – </w:t>
      </w:r>
      <w:r w:rsidRPr="007404FA">
        <w:rPr>
          <w:rFonts w:ascii="Times New Roman" w:hAnsi="Times New Roman"/>
          <w:sz w:val="24"/>
          <w:szCs w:val="24"/>
        </w:rPr>
        <w:t xml:space="preserve">предприети мерки за сигурност, поддръжка на системите, одити, правата на физическите лица и начините, по които те могат да </w:t>
      </w:r>
      <w:r w:rsidRPr="007404FA">
        <w:rPr>
          <w:rFonts w:ascii="Times New Roman" w:hAnsi="Times New Roman"/>
          <w:sz w:val="24"/>
          <w:szCs w:val="24"/>
        </w:rPr>
        <w:br/>
        <w:t xml:space="preserve">ги упражнят. </w:t>
      </w:r>
    </w:p>
    <w:p w:rsidR="00E42714" w:rsidRPr="007404FA" w:rsidRDefault="00E42714" w:rsidP="00DB6B05">
      <w:pPr>
        <w:spacing w:line="360" w:lineRule="auto"/>
        <w:ind w:firstLine="709"/>
        <w:jc w:val="both"/>
        <w:rPr>
          <w:rFonts w:ascii="Times New Roman" w:hAnsi="Times New Roman"/>
          <w:sz w:val="24"/>
          <w:szCs w:val="24"/>
        </w:rPr>
      </w:pPr>
      <w:r w:rsidRPr="007404FA">
        <w:rPr>
          <w:rFonts w:ascii="Times New Roman" w:hAnsi="Times New Roman"/>
          <w:sz w:val="24"/>
          <w:szCs w:val="24"/>
        </w:rPr>
        <w:t>Предоставена е информация за организационната структура, процедурите по издаване на визи, администрирането на Н.ВИС и нейната инфраструктура в двете държави, предприетите мерки за защита на данните в контекста на издаването на визи, проверките в Н.ШИС, мерките за сигурност, одити, правата на физическите лица и начините, по които те могат да ги упражнят. В рамките на последния ден на мисиите се състоят заключителни срещи между проверяващия екип и представители на гореизброените институции. Оценката по Шенген приключва с проект на доклад, съдържащ информация, предоставена в рамките на мисията, както и заключения и препоръки на проверяващия екип. С участието на свои представители в двете мисии по оценка на Шенген КЗЛД възстановява нивото</w:t>
      </w:r>
      <w:r w:rsidR="00C82B5D">
        <w:rPr>
          <w:rFonts w:ascii="Times New Roman" w:hAnsi="Times New Roman"/>
          <w:sz w:val="24"/>
          <w:szCs w:val="24"/>
        </w:rPr>
        <w:t xml:space="preserve"> на участие в този механизъм от</w:t>
      </w:r>
      <w:r w:rsidRPr="007404FA">
        <w:rPr>
          <w:rFonts w:ascii="Times New Roman" w:hAnsi="Times New Roman"/>
          <w:sz w:val="24"/>
          <w:szCs w:val="24"/>
        </w:rPr>
        <w:t>преди пандемичното разпространение на COVID-19.</w:t>
      </w:r>
    </w:p>
    <w:p w:rsidR="00E42714" w:rsidRPr="007404FA" w:rsidRDefault="00E42714" w:rsidP="00DB6B05">
      <w:pPr>
        <w:spacing w:line="360" w:lineRule="auto"/>
        <w:ind w:firstLine="709"/>
        <w:jc w:val="both"/>
        <w:rPr>
          <w:rFonts w:ascii="Times New Roman" w:hAnsi="Times New Roman"/>
          <w:sz w:val="24"/>
          <w:szCs w:val="24"/>
        </w:rPr>
      </w:pPr>
      <w:r w:rsidRPr="007404FA">
        <w:rPr>
          <w:rFonts w:ascii="Times New Roman" w:hAnsi="Times New Roman"/>
          <w:sz w:val="24"/>
          <w:szCs w:val="24"/>
        </w:rPr>
        <w:t>Мисии по оценка на Шенген с участие на представители на КЗЛД и нейната администрация по години (от включването на представители на КЗЛД):</w:t>
      </w:r>
    </w:p>
    <w:p w:rsidR="00E42714" w:rsidRPr="007404FA" w:rsidRDefault="00E42714" w:rsidP="00DB6B05">
      <w:pPr>
        <w:spacing w:line="360" w:lineRule="auto"/>
        <w:ind w:firstLine="709"/>
        <w:jc w:val="both"/>
        <w:rPr>
          <w:rFonts w:ascii="Times New Roman" w:hAnsi="Times New Roman"/>
          <w:sz w:val="24"/>
          <w:szCs w:val="24"/>
        </w:rPr>
      </w:pPr>
    </w:p>
    <w:tbl>
      <w:tblPr>
        <w:tblStyle w:val="TableGrid"/>
        <w:tblW w:w="0" w:type="auto"/>
        <w:jc w:val="center"/>
        <w:tblLook w:val="04A0" w:firstRow="1" w:lastRow="0" w:firstColumn="1" w:lastColumn="0" w:noHBand="0" w:noVBand="1"/>
      </w:tblPr>
      <w:tblGrid>
        <w:gridCol w:w="963"/>
        <w:gridCol w:w="934"/>
        <w:gridCol w:w="934"/>
        <w:gridCol w:w="934"/>
        <w:gridCol w:w="934"/>
        <w:gridCol w:w="935"/>
        <w:gridCol w:w="935"/>
        <w:gridCol w:w="935"/>
        <w:gridCol w:w="935"/>
      </w:tblGrid>
      <w:tr w:rsidR="00E42714" w:rsidRPr="007404FA" w:rsidTr="0061415E">
        <w:trPr>
          <w:jc w:val="center"/>
        </w:trPr>
        <w:tc>
          <w:tcPr>
            <w:tcW w:w="934" w:type="dxa"/>
          </w:tcPr>
          <w:p w:rsidR="00E42714" w:rsidRPr="007404FA" w:rsidRDefault="00E42714" w:rsidP="00DB6B05">
            <w:pPr>
              <w:spacing w:line="360" w:lineRule="auto"/>
              <w:jc w:val="both"/>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година</w:t>
            </w:r>
          </w:p>
        </w:tc>
        <w:tc>
          <w:tcPr>
            <w:tcW w:w="934" w:type="dxa"/>
          </w:tcPr>
          <w:p w:rsidR="00E42714" w:rsidRPr="007404FA" w:rsidRDefault="00E42714" w:rsidP="00DB6B05">
            <w:pPr>
              <w:spacing w:line="360" w:lineRule="auto"/>
              <w:ind w:firstLine="136"/>
              <w:jc w:val="both"/>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2015</w:t>
            </w:r>
          </w:p>
        </w:tc>
        <w:tc>
          <w:tcPr>
            <w:tcW w:w="934" w:type="dxa"/>
          </w:tcPr>
          <w:p w:rsidR="00E42714" w:rsidRPr="007404FA" w:rsidRDefault="00E42714" w:rsidP="00DB6B05">
            <w:pPr>
              <w:spacing w:line="360" w:lineRule="auto"/>
              <w:ind w:firstLine="149"/>
              <w:jc w:val="both"/>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2016</w:t>
            </w:r>
          </w:p>
        </w:tc>
        <w:tc>
          <w:tcPr>
            <w:tcW w:w="934" w:type="dxa"/>
          </w:tcPr>
          <w:p w:rsidR="00E42714" w:rsidRPr="007404FA" w:rsidRDefault="00E42714" w:rsidP="00DB6B05">
            <w:pPr>
              <w:spacing w:line="360" w:lineRule="auto"/>
              <w:ind w:firstLine="100"/>
              <w:jc w:val="both"/>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2017</w:t>
            </w:r>
          </w:p>
        </w:tc>
        <w:tc>
          <w:tcPr>
            <w:tcW w:w="934" w:type="dxa"/>
          </w:tcPr>
          <w:p w:rsidR="00E42714" w:rsidRPr="007404FA" w:rsidRDefault="00E42714" w:rsidP="00DB6B05">
            <w:pPr>
              <w:spacing w:line="360" w:lineRule="auto"/>
              <w:ind w:firstLine="117"/>
              <w:jc w:val="both"/>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2018</w:t>
            </w:r>
          </w:p>
        </w:tc>
        <w:tc>
          <w:tcPr>
            <w:tcW w:w="935" w:type="dxa"/>
          </w:tcPr>
          <w:p w:rsidR="00E42714" w:rsidRPr="007404FA" w:rsidRDefault="00E42714" w:rsidP="00DB6B05">
            <w:pPr>
              <w:spacing w:line="360" w:lineRule="auto"/>
              <w:ind w:firstLine="104"/>
              <w:jc w:val="both"/>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2019</w:t>
            </w:r>
          </w:p>
        </w:tc>
        <w:tc>
          <w:tcPr>
            <w:tcW w:w="935" w:type="dxa"/>
          </w:tcPr>
          <w:p w:rsidR="00E42714" w:rsidRPr="007404FA" w:rsidRDefault="00E42714" w:rsidP="00DB6B05">
            <w:pPr>
              <w:spacing w:line="360" w:lineRule="auto"/>
              <w:ind w:firstLine="1"/>
              <w:jc w:val="both"/>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2020</w:t>
            </w:r>
          </w:p>
        </w:tc>
        <w:tc>
          <w:tcPr>
            <w:tcW w:w="935" w:type="dxa"/>
          </w:tcPr>
          <w:p w:rsidR="00E42714" w:rsidRPr="007404FA" w:rsidRDefault="00E42714" w:rsidP="00DB6B05">
            <w:pPr>
              <w:spacing w:line="360" w:lineRule="auto"/>
              <w:ind w:firstLine="77"/>
              <w:jc w:val="both"/>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2021</w:t>
            </w:r>
          </w:p>
        </w:tc>
        <w:tc>
          <w:tcPr>
            <w:tcW w:w="935" w:type="dxa"/>
          </w:tcPr>
          <w:p w:rsidR="00E42714" w:rsidRPr="007404FA" w:rsidRDefault="00E42714" w:rsidP="00DB6B05">
            <w:pPr>
              <w:spacing w:line="360" w:lineRule="auto"/>
              <w:ind w:firstLine="108"/>
              <w:jc w:val="both"/>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2022</w:t>
            </w:r>
          </w:p>
        </w:tc>
      </w:tr>
      <w:tr w:rsidR="00E42714" w:rsidRPr="007404FA" w:rsidTr="0061415E">
        <w:trPr>
          <w:jc w:val="center"/>
        </w:trPr>
        <w:tc>
          <w:tcPr>
            <w:tcW w:w="934" w:type="dxa"/>
          </w:tcPr>
          <w:p w:rsidR="00E42714" w:rsidRPr="007404FA" w:rsidRDefault="00E42714" w:rsidP="00DB6B05">
            <w:pPr>
              <w:spacing w:line="360" w:lineRule="auto"/>
              <w:jc w:val="center"/>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брой</w:t>
            </w:r>
          </w:p>
        </w:tc>
        <w:tc>
          <w:tcPr>
            <w:tcW w:w="934" w:type="dxa"/>
          </w:tcPr>
          <w:p w:rsidR="00E42714" w:rsidRPr="007404FA" w:rsidRDefault="00E42714" w:rsidP="00DB6B05">
            <w:pPr>
              <w:spacing w:line="360" w:lineRule="auto"/>
              <w:ind w:firstLine="197"/>
              <w:jc w:val="center"/>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4</w:t>
            </w:r>
          </w:p>
        </w:tc>
        <w:tc>
          <w:tcPr>
            <w:tcW w:w="934" w:type="dxa"/>
          </w:tcPr>
          <w:p w:rsidR="00E42714" w:rsidRPr="007404FA" w:rsidRDefault="00E42714" w:rsidP="00DB6B05">
            <w:pPr>
              <w:spacing w:line="360" w:lineRule="auto"/>
              <w:ind w:firstLine="118"/>
              <w:jc w:val="center"/>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2</w:t>
            </w:r>
          </w:p>
        </w:tc>
        <w:tc>
          <w:tcPr>
            <w:tcW w:w="934" w:type="dxa"/>
          </w:tcPr>
          <w:p w:rsidR="00E42714" w:rsidRPr="007404FA" w:rsidRDefault="00E42714" w:rsidP="00DB6B05">
            <w:pPr>
              <w:spacing w:line="360" w:lineRule="auto"/>
              <w:ind w:firstLine="180"/>
              <w:jc w:val="center"/>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5</w:t>
            </w:r>
          </w:p>
        </w:tc>
        <w:tc>
          <w:tcPr>
            <w:tcW w:w="934" w:type="dxa"/>
          </w:tcPr>
          <w:p w:rsidR="00E42714" w:rsidRPr="007404FA" w:rsidRDefault="00E42714" w:rsidP="00DB6B05">
            <w:pPr>
              <w:spacing w:line="360" w:lineRule="auto"/>
              <w:jc w:val="center"/>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1</w:t>
            </w:r>
          </w:p>
        </w:tc>
        <w:tc>
          <w:tcPr>
            <w:tcW w:w="935" w:type="dxa"/>
          </w:tcPr>
          <w:p w:rsidR="00E42714" w:rsidRPr="007404FA" w:rsidRDefault="00E42714" w:rsidP="00DB6B05">
            <w:pPr>
              <w:spacing w:line="360" w:lineRule="auto"/>
              <w:ind w:firstLine="148"/>
              <w:jc w:val="center"/>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2</w:t>
            </w:r>
          </w:p>
        </w:tc>
        <w:tc>
          <w:tcPr>
            <w:tcW w:w="935" w:type="dxa"/>
          </w:tcPr>
          <w:p w:rsidR="00E42714" w:rsidRPr="007404FA" w:rsidRDefault="00E42714" w:rsidP="00DB6B05">
            <w:pPr>
              <w:spacing w:line="360" w:lineRule="auto"/>
              <w:jc w:val="center"/>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1*</w:t>
            </w:r>
          </w:p>
        </w:tc>
        <w:tc>
          <w:tcPr>
            <w:tcW w:w="935" w:type="dxa"/>
          </w:tcPr>
          <w:p w:rsidR="00E42714" w:rsidRPr="007404FA" w:rsidRDefault="00E42714" w:rsidP="00DB6B05">
            <w:pPr>
              <w:spacing w:line="360" w:lineRule="auto"/>
              <w:jc w:val="center"/>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w:t>
            </w:r>
          </w:p>
        </w:tc>
        <w:tc>
          <w:tcPr>
            <w:tcW w:w="935" w:type="dxa"/>
          </w:tcPr>
          <w:p w:rsidR="00E42714" w:rsidRPr="007404FA" w:rsidRDefault="00E42714" w:rsidP="00DB6B05">
            <w:pPr>
              <w:spacing w:line="360" w:lineRule="auto"/>
              <w:ind w:hanging="12"/>
              <w:jc w:val="center"/>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2</w:t>
            </w:r>
          </w:p>
        </w:tc>
      </w:tr>
    </w:tbl>
    <w:p w:rsidR="00E42714" w:rsidRPr="007404FA" w:rsidRDefault="00E42714" w:rsidP="00DB6B05">
      <w:pPr>
        <w:spacing w:line="360" w:lineRule="auto"/>
        <w:ind w:firstLine="709"/>
        <w:jc w:val="both"/>
        <w:rPr>
          <w:rFonts w:ascii="Times New Roman" w:hAnsi="Times New Roman"/>
          <w:i/>
          <w:sz w:val="24"/>
          <w:szCs w:val="24"/>
        </w:rPr>
      </w:pPr>
      <w:r w:rsidRPr="007404FA">
        <w:rPr>
          <w:rFonts w:ascii="Times New Roman" w:hAnsi="Times New Roman"/>
          <w:i/>
          <w:sz w:val="24"/>
          <w:szCs w:val="24"/>
        </w:rPr>
        <w:t>* мисията е осъществена отдалечено, по електронен път</w:t>
      </w:r>
    </w:p>
    <w:p w:rsidR="00E42714" w:rsidRPr="007404FA" w:rsidRDefault="00E42714" w:rsidP="00DB6B05">
      <w:pPr>
        <w:spacing w:line="360" w:lineRule="auto"/>
        <w:ind w:firstLine="709"/>
        <w:jc w:val="both"/>
        <w:rPr>
          <w:rFonts w:ascii="Times New Roman" w:hAnsi="Times New Roman"/>
          <w:sz w:val="24"/>
          <w:szCs w:val="24"/>
        </w:rPr>
      </w:pPr>
    </w:p>
    <w:p w:rsidR="00E42714" w:rsidRPr="007404FA" w:rsidRDefault="00E42714" w:rsidP="00DB6B05">
      <w:pPr>
        <w:spacing w:line="360" w:lineRule="auto"/>
        <w:ind w:firstLine="709"/>
        <w:jc w:val="both"/>
        <w:rPr>
          <w:rFonts w:ascii="Times New Roman" w:hAnsi="Times New Roman"/>
          <w:sz w:val="24"/>
          <w:szCs w:val="24"/>
        </w:rPr>
      </w:pPr>
      <w:r w:rsidRPr="007404FA">
        <w:rPr>
          <w:rFonts w:ascii="Times New Roman" w:hAnsi="Times New Roman"/>
          <w:sz w:val="24"/>
          <w:szCs w:val="24"/>
        </w:rPr>
        <w:t>В съответствие с</w:t>
      </w:r>
      <w:r w:rsidR="00F06583" w:rsidRPr="007404FA">
        <w:rPr>
          <w:rFonts w:ascii="Times New Roman" w:hAnsi="Times New Roman"/>
          <w:sz w:val="24"/>
          <w:szCs w:val="24"/>
        </w:rPr>
        <w:t xml:space="preserve"> чл. </w:t>
      </w:r>
      <w:r w:rsidRPr="007404FA">
        <w:rPr>
          <w:rFonts w:ascii="Times New Roman" w:hAnsi="Times New Roman"/>
          <w:sz w:val="24"/>
          <w:szCs w:val="24"/>
        </w:rPr>
        <w:t>17 от Регламент (ЕС) 2022/922 на Съвета от 9 юни 2022</w:t>
      </w:r>
      <w:r w:rsidR="00F06583" w:rsidRPr="007404FA">
        <w:rPr>
          <w:rFonts w:ascii="Times New Roman" w:hAnsi="Times New Roman"/>
          <w:sz w:val="24"/>
          <w:szCs w:val="24"/>
        </w:rPr>
        <w:t> г.</w:t>
      </w:r>
      <w:r w:rsidRPr="007404FA">
        <w:rPr>
          <w:rFonts w:ascii="Times New Roman" w:hAnsi="Times New Roman"/>
          <w:sz w:val="24"/>
          <w:szCs w:val="24"/>
        </w:rPr>
        <w:t xml:space="preserve"> за създаването и функционирането на Механизъм за оценка и наблюдение с цел проверка на прилагането на до</w:t>
      </w:r>
      <w:r w:rsidR="00C82B5D">
        <w:rPr>
          <w:rFonts w:ascii="Times New Roman" w:hAnsi="Times New Roman"/>
          <w:sz w:val="24"/>
          <w:szCs w:val="24"/>
        </w:rPr>
        <w:t>стиженията на правото от Шенген Европейската комисия</w:t>
      </w:r>
      <w:r w:rsidRPr="007404FA">
        <w:rPr>
          <w:rFonts w:ascii="Times New Roman" w:hAnsi="Times New Roman"/>
          <w:sz w:val="24"/>
          <w:szCs w:val="24"/>
        </w:rPr>
        <w:t xml:space="preserve"> в сътрудничество с дър</w:t>
      </w:r>
      <w:r w:rsidR="00C82B5D">
        <w:rPr>
          <w:rFonts w:ascii="Times New Roman" w:hAnsi="Times New Roman"/>
          <w:sz w:val="24"/>
          <w:szCs w:val="24"/>
        </w:rPr>
        <w:t>жавите членки</w:t>
      </w:r>
      <w:r w:rsidRPr="007404FA">
        <w:rPr>
          <w:rFonts w:ascii="Times New Roman" w:hAnsi="Times New Roman"/>
          <w:sz w:val="24"/>
          <w:szCs w:val="24"/>
        </w:rPr>
        <w:t xml:space="preserve"> ежегодно</w:t>
      </w:r>
      <w:r w:rsidR="00C82B5D">
        <w:rPr>
          <w:rFonts w:ascii="Times New Roman" w:hAnsi="Times New Roman"/>
          <w:sz w:val="24"/>
          <w:szCs w:val="24"/>
        </w:rPr>
        <w:t xml:space="preserve"> създава резерв от експерти, чий</w:t>
      </w:r>
      <w:r w:rsidRPr="007404FA">
        <w:rPr>
          <w:rFonts w:ascii="Times New Roman" w:hAnsi="Times New Roman"/>
          <w:sz w:val="24"/>
          <w:szCs w:val="24"/>
        </w:rPr>
        <w:t xml:space="preserve">то професионален опит обхваща областите на политиката или, когато е приложимо, конкретните приоритетни области, определени в многогодишната програма за оценка. Този </w:t>
      </w:r>
      <w:r w:rsidRPr="007404FA">
        <w:rPr>
          <w:rFonts w:ascii="Times New Roman" w:hAnsi="Times New Roman"/>
          <w:sz w:val="24"/>
          <w:szCs w:val="24"/>
        </w:rPr>
        <w:lastRenderedPageBreak/>
        <w:t>резерв ще бъде основният източник на експерти за дейностите по оценка и наблюдение, предвидени за съответната година на база на годишната програма за оценка.</w:t>
      </w:r>
    </w:p>
    <w:p w:rsidR="00E42714" w:rsidRPr="007404FA" w:rsidRDefault="00E42714" w:rsidP="00DB6B05">
      <w:pPr>
        <w:spacing w:line="360" w:lineRule="auto"/>
        <w:ind w:firstLine="709"/>
        <w:jc w:val="both"/>
        <w:rPr>
          <w:rFonts w:ascii="Times New Roman" w:hAnsi="Times New Roman"/>
          <w:sz w:val="24"/>
          <w:szCs w:val="24"/>
        </w:rPr>
      </w:pPr>
      <w:r w:rsidRPr="007404FA">
        <w:rPr>
          <w:rFonts w:ascii="Times New Roman" w:hAnsi="Times New Roman"/>
          <w:sz w:val="24"/>
          <w:szCs w:val="24"/>
        </w:rPr>
        <w:t>През отчетния период са номинирани експерти от администрацията на КЗЛД в изпълнение на това задължение. В рамките на 2022</w:t>
      </w:r>
      <w:r w:rsidR="00F06583" w:rsidRPr="007404FA">
        <w:rPr>
          <w:rFonts w:ascii="Times New Roman" w:hAnsi="Times New Roman"/>
          <w:sz w:val="24"/>
          <w:szCs w:val="24"/>
        </w:rPr>
        <w:t> г.</w:t>
      </w:r>
      <w:r w:rsidRPr="007404FA">
        <w:rPr>
          <w:rFonts w:ascii="Times New Roman" w:hAnsi="Times New Roman"/>
          <w:sz w:val="24"/>
          <w:szCs w:val="24"/>
        </w:rPr>
        <w:t xml:space="preserve"> е получено одобрение и на трите представени кандидатури за включването им в резерв от експерти от страна на ЕК. Участието в мисии по оценка на Шенген е предпоставка за споделяне на добри практики в областта на защитата на личните данни и възможност за повишаване на авторитета на институцията в областта на достиженията на правото от Шенген.</w:t>
      </w:r>
    </w:p>
    <w:p w:rsidR="00E42714" w:rsidRPr="007404FA" w:rsidRDefault="00E42714" w:rsidP="00DB6B05">
      <w:pPr>
        <w:spacing w:line="360" w:lineRule="auto"/>
        <w:ind w:firstLine="709"/>
        <w:jc w:val="both"/>
        <w:rPr>
          <w:rFonts w:ascii="Times New Roman" w:hAnsi="Times New Roman"/>
          <w:sz w:val="24"/>
          <w:szCs w:val="24"/>
        </w:rPr>
      </w:pPr>
      <w:r w:rsidRPr="007404FA">
        <w:rPr>
          <w:rFonts w:ascii="Times New Roman" w:hAnsi="Times New Roman"/>
          <w:sz w:val="24"/>
          <w:szCs w:val="24"/>
        </w:rPr>
        <w:t>През октомври 202</w:t>
      </w:r>
      <w:r w:rsidR="00A660C8" w:rsidRPr="007404FA">
        <w:rPr>
          <w:rFonts w:ascii="Times New Roman" w:hAnsi="Times New Roman"/>
          <w:sz w:val="24"/>
          <w:szCs w:val="24"/>
        </w:rPr>
        <w:t>2</w:t>
      </w:r>
      <w:r w:rsidR="00F06583" w:rsidRPr="007404FA">
        <w:rPr>
          <w:rFonts w:ascii="Times New Roman" w:hAnsi="Times New Roman"/>
          <w:sz w:val="24"/>
          <w:szCs w:val="24"/>
        </w:rPr>
        <w:t> г.</w:t>
      </w:r>
      <w:r w:rsidR="00A660C8" w:rsidRPr="007404FA">
        <w:rPr>
          <w:rFonts w:ascii="Times New Roman" w:hAnsi="Times New Roman"/>
          <w:sz w:val="24"/>
          <w:szCs w:val="24"/>
        </w:rPr>
        <w:t xml:space="preserve"> представители на КЗЛД вземат</w:t>
      </w:r>
      <w:r w:rsidRPr="007404FA">
        <w:rPr>
          <w:rFonts w:ascii="Times New Roman" w:hAnsi="Times New Roman"/>
          <w:sz w:val="24"/>
          <w:szCs w:val="24"/>
        </w:rPr>
        <w:t xml:space="preserve"> участие в „Доброволната мисия за установяване на фактите“ за Република България по Шенген</w:t>
      </w:r>
      <w:r w:rsidR="00785F90" w:rsidRPr="007404FA">
        <w:rPr>
          <w:rFonts w:ascii="Times New Roman" w:hAnsi="Times New Roman"/>
          <w:sz w:val="24"/>
          <w:szCs w:val="24"/>
        </w:rPr>
        <w:t xml:space="preserve"> (Facts finding mission)</w:t>
      </w:r>
      <w:r w:rsidRPr="007404FA">
        <w:rPr>
          <w:rFonts w:ascii="Times New Roman" w:hAnsi="Times New Roman"/>
          <w:sz w:val="24"/>
          <w:szCs w:val="24"/>
        </w:rPr>
        <w:t xml:space="preserve">. </w:t>
      </w:r>
      <w:r w:rsidR="005644D8" w:rsidRPr="007404FA">
        <w:rPr>
          <w:rFonts w:ascii="Times New Roman" w:hAnsi="Times New Roman"/>
          <w:sz w:val="24"/>
          <w:szCs w:val="24"/>
        </w:rPr>
        <w:t xml:space="preserve">Извършена е цялостна проверка в областта на защитата на личните данни. </w:t>
      </w:r>
      <w:r w:rsidRPr="007404FA">
        <w:rPr>
          <w:rFonts w:ascii="Times New Roman" w:hAnsi="Times New Roman"/>
          <w:sz w:val="24"/>
          <w:szCs w:val="24"/>
        </w:rPr>
        <w:t>Представителите на КЗЛД</w:t>
      </w:r>
      <w:r w:rsidR="00A660C8" w:rsidRPr="007404FA">
        <w:rPr>
          <w:rFonts w:ascii="Times New Roman" w:hAnsi="Times New Roman"/>
          <w:sz w:val="24"/>
          <w:szCs w:val="24"/>
        </w:rPr>
        <w:t xml:space="preserve"> са</w:t>
      </w:r>
      <w:r w:rsidRPr="007404FA">
        <w:rPr>
          <w:rFonts w:ascii="Times New Roman" w:hAnsi="Times New Roman"/>
          <w:sz w:val="24"/>
          <w:szCs w:val="24"/>
        </w:rPr>
        <w:t xml:space="preserve"> запозна</w:t>
      </w:r>
      <w:r w:rsidR="00A660C8" w:rsidRPr="007404FA">
        <w:rPr>
          <w:rFonts w:ascii="Times New Roman" w:hAnsi="Times New Roman"/>
          <w:sz w:val="24"/>
          <w:szCs w:val="24"/>
        </w:rPr>
        <w:t>ли</w:t>
      </w:r>
      <w:r w:rsidRPr="007404FA">
        <w:rPr>
          <w:rFonts w:ascii="Times New Roman" w:hAnsi="Times New Roman"/>
          <w:sz w:val="24"/>
          <w:szCs w:val="24"/>
        </w:rPr>
        <w:t xml:space="preserve"> експертите на ЕК и държавите членки с относимата правна рамка, структурата</w:t>
      </w:r>
      <w:r w:rsidR="0012451F" w:rsidRPr="007404FA">
        <w:rPr>
          <w:rFonts w:ascii="Times New Roman" w:hAnsi="Times New Roman"/>
          <w:sz w:val="24"/>
          <w:szCs w:val="24"/>
        </w:rPr>
        <w:t>,</w:t>
      </w:r>
      <w:r w:rsidRPr="007404FA">
        <w:rPr>
          <w:rFonts w:ascii="Times New Roman" w:hAnsi="Times New Roman"/>
          <w:sz w:val="24"/>
          <w:szCs w:val="24"/>
        </w:rPr>
        <w:t xml:space="preserve"> състава, правомощията и бюджета на</w:t>
      </w:r>
      <w:r w:rsidR="00157B49">
        <w:rPr>
          <w:rFonts w:ascii="Times New Roman" w:hAnsi="Times New Roman"/>
          <w:sz w:val="24"/>
          <w:szCs w:val="24"/>
        </w:rPr>
        <w:t xml:space="preserve"> </w:t>
      </w:r>
      <w:r w:rsidRPr="007404FA">
        <w:rPr>
          <w:rFonts w:ascii="Times New Roman" w:hAnsi="Times New Roman"/>
          <w:sz w:val="24"/>
          <w:szCs w:val="24"/>
        </w:rPr>
        <w:t>КЗЛД, осъществените проверки, свързани с ШИС, осигуряването на упражняване правата на субектите на данни, информаци</w:t>
      </w:r>
      <w:r w:rsidR="00C82B5D">
        <w:rPr>
          <w:rFonts w:ascii="Times New Roman" w:hAnsi="Times New Roman"/>
          <w:sz w:val="24"/>
          <w:szCs w:val="24"/>
        </w:rPr>
        <w:t>онно-разяснителната дейност на К</w:t>
      </w:r>
      <w:r w:rsidRPr="007404FA">
        <w:rPr>
          <w:rFonts w:ascii="Times New Roman" w:hAnsi="Times New Roman"/>
          <w:sz w:val="24"/>
          <w:szCs w:val="24"/>
        </w:rPr>
        <w:t xml:space="preserve">омисията по темата, както и дейностите по международното сътрудничество на институцията. </w:t>
      </w:r>
      <w:r w:rsidR="00436CB6" w:rsidRPr="007404FA">
        <w:rPr>
          <w:rFonts w:ascii="Times New Roman" w:hAnsi="Times New Roman"/>
          <w:sz w:val="24"/>
          <w:szCs w:val="24"/>
        </w:rPr>
        <w:t xml:space="preserve">Представителите на Европейската комисия са оценили нивото на представянето на Република България като изключително, а впоследствие в съобщение за медиите </w:t>
      </w:r>
      <w:r w:rsidR="00E466F0" w:rsidRPr="007404FA">
        <w:rPr>
          <w:rFonts w:ascii="Times New Roman" w:hAnsi="Times New Roman"/>
          <w:sz w:val="24"/>
          <w:szCs w:val="24"/>
        </w:rPr>
        <w:t>от 16 ноември 2022</w:t>
      </w:r>
      <w:r w:rsidR="00F06583" w:rsidRPr="007404FA">
        <w:rPr>
          <w:rFonts w:ascii="Times New Roman" w:hAnsi="Times New Roman"/>
          <w:sz w:val="24"/>
          <w:szCs w:val="24"/>
        </w:rPr>
        <w:t> г.</w:t>
      </w:r>
      <w:r w:rsidR="00E466F0" w:rsidRPr="007404FA">
        <w:rPr>
          <w:rFonts w:ascii="Times New Roman" w:hAnsi="Times New Roman"/>
          <w:sz w:val="24"/>
          <w:szCs w:val="24"/>
        </w:rPr>
        <w:t xml:space="preserve"> </w:t>
      </w:r>
      <w:r w:rsidR="00436CB6" w:rsidRPr="007404FA">
        <w:rPr>
          <w:rFonts w:ascii="Times New Roman" w:hAnsi="Times New Roman"/>
          <w:sz w:val="24"/>
          <w:szCs w:val="24"/>
        </w:rPr>
        <w:t>Европейската комисия „</w:t>
      </w:r>
      <w:r w:rsidR="00C82B5D">
        <w:rPr>
          <w:rFonts w:ascii="Times New Roman" w:hAnsi="Times New Roman"/>
          <w:sz w:val="24"/>
          <w:szCs w:val="24"/>
        </w:rPr>
        <w:t xml:space="preserve">... </w:t>
      </w:r>
      <w:r w:rsidR="00436CB6" w:rsidRPr="007404FA">
        <w:rPr>
          <w:rFonts w:ascii="Times New Roman" w:hAnsi="Times New Roman"/>
          <w:sz w:val="24"/>
          <w:szCs w:val="24"/>
        </w:rPr>
        <w:t>потвърди, че България и Румъния не само продължават да прилагат новите правила и инструменти, но и значително са засилили цялостното прилагане на шенгенската архитектура във всичките ѝ измерения. Освен това тези две държави доказаха, че имат отлични резултати по отношение на при</w:t>
      </w:r>
      <w:r w:rsidR="00C82B5D">
        <w:rPr>
          <w:rFonts w:ascii="Times New Roman" w:hAnsi="Times New Roman"/>
          <w:sz w:val="24"/>
          <w:szCs w:val="24"/>
        </w:rPr>
        <w:t>лагането на шенгенските правила</w:t>
      </w:r>
      <w:r w:rsidR="00436CB6" w:rsidRPr="007404FA">
        <w:rPr>
          <w:rFonts w:ascii="Times New Roman" w:hAnsi="Times New Roman"/>
          <w:sz w:val="24"/>
          <w:szCs w:val="24"/>
        </w:rPr>
        <w:t>“</w:t>
      </w:r>
      <w:r w:rsidR="00C82B5D">
        <w:rPr>
          <w:rFonts w:ascii="Times New Roman" w:hAnsi="Times New Roman"/>
          <w:sz w:val="24"/>
          <w:szCs w:val="24"/>
        </w:rPr>
        <w:t>.</w:t>
      </w:r>
      <w:r w:rsidR="0071070C" w:rsidRPr="007404FA">
        <w:rPr>
          <w:rFonts w:ascii="Times New Roman" w:hAnsi="Times New Roman"/>
          <w:sz w:val="24"/>
          <w:szCs w:val="24"/>
        </w:rPr>
        <w:t xml:space="preserve"> </w:t>
      </w:r>
      <w:r w:rsidR="005644D8" w:rsidRPr="007404FA">
        <w:rPr>
          <w:rFonts w:ascii="Times New Roman" w:hAnsi="Times New Roman"/>
          <w:sz w:val="24"/>
          <w:szCs w:val="24"/>
        </w:rPr>
        <w:t>Министерството на вътрешните работи на Република България е изказало благодарности на КЗЛД за съществения принос на и</w:t>
      </w:r>
      <w:r w:rsidR="0071070C" w:rsidRPr="007404FA">
        <w:rPr>
          <w:rFonts w:ascii="Times New Roman" w:hAnsi="Times New Roman"/>
          <w:sz w:val="24"/>
          <w:szCs w:val="24"/>
        </w:rPr>
        <w:t xml:space="preserve">нституцията в проведената мисия и дадената висока оценка. </w:t>
      </w:r>
    </w:p>
    <w:p w:rsidR="00E42714" w:rsidRPr="007404FA" w:rsidRDefault="00E42714" w:rsidP="00DB6B05">
      <w:pPr>
        <w:spacing w:line="360" w:lineRule="auto"/>
        <w:ind w:firstLine="709"/>
        <w:jc w:val="both"/>
        <w:rPr>
          <w:rFonts w:ascii="Times New Roman" w:hAnsi="Times New Roman"/>
          <w:sz w:val="24"/>
          <w:szCs w:val="24"/>
        </w:rPr>
      </w:pPr>
      <w:r w:rsidRPr="007404FA">
        <w:rPr>
          <w:rFonts w:ascii="Times New Roman" w:hAnsi="Times New Roman"/>
          <w:b/>
          <w:sz w:val="24"/>
          <w:szCs w:val="24"/>
        </w:rPr>
        <w:t>Разяснителна кампания</w:t>
      </w:r>
    </w:p>
    <w:p w:rsidR="00E42714" w:rsidRPr="007404FA" w:rsidRDefault="00E42714" w:rsidP="00DB6B05">
      <w:pPr>
        <w:spacing w:line="360" w:lineRule="auto"/>
        <w:ind w:firstLine="709"/>
        <w:jc w:val="both"/>
        <w:rPr>
          <w:rFonts w:ascii="Times New Roman" w:hAnsi="Times New Roman"/>
          <w:sz w:val="24"/>
          <w:szCs w:val="24"/>
        </w:rPr>
      </w:pPr>
      <w:r w:rsidRPr="007404FA">
        <w:rPr>
          <w:rFonts w:ascii="Times New Roman" w:hAnsi="Times New Roman"/>
          <w:sz w:val="24"/>
          <w:szCs w:val="24"/>
        </w:rPr>
        <w:t xml:space="preserve">В изпълнение на </w:t>
      </w:r>
      <w:r w:rsidR="001467CD" w:rsidRPr="007404FA">
        <w:rPr>
          <w:rFonts w:ascii="Times New Roman" w:hAnsi="Times New Roman"/>
          <w:sz w:val="24"/>
          <w:szCs w:val="24"/>
        </w:rPr>
        <w:t>приоритетната задача за</w:t>
      </w:r>
      <w:r w:rsidRPr="007404FA">
        <w:rPr>
          <w:rFonts w:ascii="Times New Roman" w:hAnsi="Times New Roman"/>
          <w:sz w:val="24"/>
          <w:szCs w:val="24"/>
        </w:rPr>
        <w:t xml:space="preserve"> пълноправно членство на България в Шенгенското пространство </w:t>
      </w:r>
      <w:r w:rsidR="001467CD" w:rsidRPr="007404FA">
        <w:rPr>
          <w:rFonts w:ascii="Times New Roman" w:hAnsi="Times New Roman"/>
          <w:sz w:val="24"/>
          <w:szCs w:val="24"/>
        </w:rPr>
        <w:t xml:space="preserve">през отчетния период </w:t>
      </w:r>
      <w:r w:rsidRPr="007404FA">
        <w:rPr>
          <w:rFonts w:ascii="Times New Roman" w:hAnsi="Times New Roman"/>
          <w:sz w:val="24"/>
          <w:szCs w:val="24"/>
        </w:rPr>
        <w:t>е разработена и публикувана електронна брошура „Широкомащабни информационни системи на ЕС“. В информационния материал са представени широкомащабните информационни системи на ЕС, включително Шенгенската информационна система от второ поколение, Визовата информационна система, Информационната система Е</w:t>
      </w:r>
      <w:r w:rsidR="00C82B5D">
        <w:rPr>
          <w:rFonts w:ascii="Times New Roman" w:hAnsi="Times New Roman"/>
          <w:sz w:val="24"/>
          <w:szCs w:val="24"/>
        </w:rPr>
        <w:t>вродак</w:t>
      </w:r>
      <w:r w:rsidRPr="007404FA">
        <w:rPr>
          <w:rFonts w:ascii="Times New Roman" w:hAnsi="Times New Roman"/>
          <w:sz w:val="24"/>
          <w:szCs w:val="24"/>
        </w:rPr>
        <w:t>, Системата на Агенцията на ЕС за сътрудничество в областта на правоприлагането Е</w:t>
      </w:r>
      <w:r w:rsidR="00C82B5D">
        <w:rPr>
          <w:rFonts w:ascii="Times New Roman" w:hAnsi="Times New Roman"/>
          <w:sz w:val="24"/>
          <w:szCs w:val="24"/>
        </w:rPr>
        <w:t>вропол</w:t>
      </w:r>
      <w:r w:rsidRPr="007404FA">
        <w:rPr>
          <w:rFonts w:ascii="Times New Roman" w:hAnsi="Times New Roman"/>
          <w:sz w:val="24"/>
          <w:szCs w:val="24"/>
        </w:rPr>
        <w:t xml:space="preserve">, Митническата информационна система, Системата за влизане/излизане, Европейската система за информация за пътуванията и разрешаването им, Европейската система за информация за присъди срещу </w:t>
      </w:r>
      <w:r w:rsidRPr="007404FA">
        <w:rPr>
          <w:rFonts w:ascii="Times New Roman" w:hAnsi="Times New Roman"/>
          <w:sz w:val="24"/>
          <w:szCs w:val="24"/>
        </w:rPr>
        <w:lastRenderedPageBreak/>
        <w:t xml:space="preserve">граждани на трети държави и лица без гражданство и Системата на Агенцията на ЕС за сътрудничество в областта на наказателното правосъдие. </w:t>
      </w:r>
    </w:p>
    <w:p w:rsidR="00E42714" w:rsidRPr="007404FA" w:rsidRDefault="00E42714" w:rsidP="00DB6B05">
      <w:pPr>
        <w:spacing w:line="360" w:lineRule="auto"/>
        <w:ind w:firstLine="709"/>
        <w:jc w:val="both"/>
        <w:rPr>
          <w:rFonts w:ascii="Times New Roman" w:hAnsi="Times New Roman"/>
          <w:sz w:val="24"/>
          <w:szCs w:val="24"/>
        </w:rPr>
      </w:pPr>
      <w:r w:rsidRPr="007404FA">
        <w:rPr>
          <w:rFonts w:ascii="Times New Roman" w:hAnsi="Times New Roman"/>
          <w:sz w:val="24"/>
          <w:szCs w:val="24"/>
        </w:rPr>
        <w:t>Изрично е упоменато, че централните компоненти на европейско ниво на представените системи се администрират от Европейска</w:t>
      </w:r>
      <w:r w:rsidR="00C82B5D">
        <w:rPr>
          <w:rFonts w:ascii="Times New Roman" w:hAnsi="Times New Roman"/>
          <w:sz w:val="24"/>
          <w:szCs w:val="24"/>
        </w:rPr>
        <w:t>та</w:t>
      </w:r>
      <w:r w:rsidRPr="007404FA">
        <w:rPr>
          <w:rFonts w:ascii="Times New Roman" w:hAnsi="Times New Roman"/>
          <w:sz w:val="24"/>
          <w:szCs w:val="24"/>
        </w:rPr>
        <w:t xml:space="preserve"> агенция за оперативното управление на широкомащабни информационни системи (EU-LISA), като са представени компетентни</w:t>
      </w:r>
      <w:r w:rsidR="00C82B5D">
        <w:rPr>
          <w:rFonts w:ascii="Times New Roman" w:hAnsi="Times New Roman"/>
          <w:sz w:val="24"/>
          <w:szCs w:val="24"/>
        </w:rPr>
        <w:t>те</w:t>
      </w:r>
      <w:r w:rsidRPr="007404FA">
        <w:rPr>
          <w:rFonts w:ascii="Times New Roman" w:hAnsi="Times New Roman"/>
          <w:sz w:val="24"/>
          <w:szCs w:val="24"/>
        </w:rPr>
        <w:t xml:space="preserve"> органи на всяка система в Република България, които администрират националните части на тези системи. Описани са правата на физическите лица, както и осъществяването на надзора върху администраторите на лични данни на европейско и национално ниво. Електронната брошура е достъпна на български и английски език.</w:t>
      </w:r>
    </w:p>
    <w:p w:rsidR="00E42714" w:rsidRPr="007404FA" w:rsidRDefault="00E42714" w:rsidP="00DB6B05">
      <w:pPr>
        <w:spacing w:line="360" w:lineRule="auto"/>
        <w:ind w:firstLine="709"/>
        <w:jc w:val="both"/>
        <w:rPr>
          <w:rFonts w:ascii="Times New Roman" w:hAnsi="Times New Roman"/>
          <w:sz w:val="24"/>
          <w:szCs w:val="24"/>
        </w:rPr>
      </w:pPr>
      <w:r w:rsidRPr="007404FA">
        <w:rPr>
          <w:rFonts w:ascii="Times New Roman" w:hAnsi="Times New Roman"/>
          <w:sz w:val="24"/>
          <w:szCs w:val="24"/>
        </w:rPr>
        <w:t>В допълнение на този приоритет на КЗЛД за 2022</w:t>
      </w:r>
      <w:r w:rsidR="00F06583" w:rsidRPr="007404FA">
        <w:rPr>
          <w:rFonts w:ascii="Times New Roman" w:hAnsi="Times New Roman"/>
          <w:sz w:val="24"/>
          <w:szCs w:val="24"/>
        </w:rPr>
        <w:t> г.</w:t>
      </w:r>
      <w:r w:rsidRPr="007404FA">
        <w:rPr>
          <w:rFonts w:ascii="Times New Roman" w:hAnsi="Times New Roman"/>
          <w:sz w:val="24"/>
          <w:szCs w:val="24"/>
        </w:rPr>
        <w:t xml:space="preserve"> текущо се публикуват информационно-разяснителни материали на Европейската комисия (Шенгенска информационна система, гарантиране на свобода, сигурност и правосъдие), както и информационната брошура „Шенген. Вашият портал за свободно движение в Европа“ на Съвета на Европейския съюз. И двете брошури са достъпни и </w:t>
      </w:r>
      <w:r w:rsidR="00C82B5D">
        <w:rPr>
          <w:rFonts w:ascii="Times New Roman" w:hAnsi="Times New Roman"/>
          <w:sz w:val="24"/>
          <w:szCs w:val="24"/>
        </w:rPr>
        <w:t>в</w:t>
      </w:r>
      <w:r w:rsidRPr="007404FA">
        <w:rPr>
          <w:rFonts w:ascii="Times New Roman" w:hAnsi="Times New Roman"/>
          <w:sz w:val="24"/>
          <w:szCs w:val="24"/>
        </w:rPr>
        <w:t xml:space="preserve"> трите езикови версии на интернет страницата на КЗЛД. </w:t>
      </w:r>
    </w:p>
    <w:p w:rsidR="00E42714" w:rsidRPr="007404FA" w:rsidRDefault="00C82B5D" w:rsidP="00DB6B05">
      <w:pPr>
        <w:spacing w:line="360" w:lineRule="auto"/>
        <w:ind w:firstLine="709"/>
        <w:jc w:val="both"/>
        <w:rPr>
          <w:rFonts w:ascii="Times New Roman" w:hAnsi="Times New Roman"/>
          <w:sz w:val="24"/>
          <w:szCs w:val="24"/>
        </w:rPr>
      </w:pPr>
      <w:r>
        <w:rPr>
          <w:rFonts w:ascii="Times New Roman" w:hAnsi="Times New Roman"/>
          <w:sz w:val="24"/>
          <w:szCs w:val="24"/>
        </w:rPr>
        <w:t>В началото на отчетния период</w:t>
      </w:r>
      <w:r w:rsidR="00E42714" w:rsidRPr="007404FA">
        <w:rPr>
          <w:rFonts w:ascii="Times New Roman" w:hAnsi="Times New Roman"/>
          <w:sz w:val="24"/>
          <w:szCs w:val="24"/>
        </w:rPr>
        <w:t xml:space="preserve"> предвид започване прилагането на из</w:t>
      </w:r>
      <w:r>
        <w:rPr>
          <w:rFonts w:ascii="Times New Roman" w:hAnsi="Times New Roman"/>
          <w:sz w:val="24"/>
          <w:szCs w:val="24"/>
        </w:rPr>
        <w:t>менената шенгенска правна рамка</w:t>
      </w:r>
      <w:r w:rsidR="00E42714" w:rsidRPr="007404FA">
        <w:rPr>
          <w:rFonts w:ascii="Times New Roman" w:hAnsi="Times New Roman"/>
          <w:sz w:val="24"/>
          <w:szCs w:val="24"/>
        </w:rPr>
        <w:t xml:space="preserve"> са осъществени дейности по осъвременяване на брошурата на КЗЛД „Шенгенското пространство и защитата на личните данни“. Актуализираният текст на същата е достъпен в трите езикови версии на институционалната интернет страница </w:t>
      </w:r>
      <w:r w:rsidR="00E42714" w:rsidRPr="007404FA">
        <w:rPr>
          <w:rFonts w:ascii="Times New Roman" w:hAnsi="Times New Roman"/>
          <w:sz w:val="24"/>
          <w:szCs w:val="24"/>
        </w:rPr>
        <w:br/>
        <w:t>на КЗЛД.</w:t>
      </w:r>
    </w:p>
    <w:p w:rsidR="00E42714" w:rsidRPr="007404FA" w:rsidRDefault="00E42714" w:rsidP="00DB6B05">
      <w:pPr>
        <w:spacing w:line="360" w:lineRule="auto"/>
        <w:ind w:firstLine="709"/>
        <w:jc w:val="both"/>
        <w:rPr>
          <w:rFonts w:ascii="Times New Roman" w:hAnsi="Times New Roman"/>
          <w:b/>
          <w:sz w:val="24"/>
          <w:szCs w:val="24"/>
        </w:rPr>
      </w:pPr>
      <w:r w:rsidRPr="007404FA">
        <w:rPr>
          <w:rFonts w:ascii="Times New Roman" w:hAnsi="Times New Roman"/>
          <w:b/>
          <w:sz w:val="24"/>
          <w:szCs w:val="24"/>
        </w:rPr>
        <w:t>Упражняване на правата от субекти на данните</w:t>
      </w:r>
    </w:p>
    <w:p w:rsidR="00E42714" w:rsidRPr="007404FA" w:rsidRDefault="00E42714" w:rsidP="00DB6B05">
      <w:pPr>
        <w:spacing w:line="360" w:lineRule="auto"/>
        <w:ind w:firstLine="709"/>
        <w:jc w:val="both"/>
        <w:rPr>
          <w:rFonts w:ascii="Times New Roman" w:hAnsi="Times New Roman"/>
          <w:sz w:val="24"/>
          <w:szCs w:val="24"/>
        </w:rPr>
      </w:pPr>
      <w:r w:rsidRPr="007404FA">
        <w:rPr>
          <w:rFonts w:ascii="Times New Roman" w:hAnsi="Times New Roman"/>
          <w:sz w:val="24"/>
          <w:szCs w:val="24"/>
        </w:rPr>
        <w:t>Физическите лица имат право на информация и достъп до своите лични данни в ШИС II, както и да поискат тяхното коригиране или заличаване. Право</w:t>
      </w:r>
      <w:r w:rsidR="00D52F7A" w:rsidRPr="007404FA">
        <w:rPr>
          <w:rFonts w:ascii="Times New Roman" w:hAnsi="Times New Roman"/>
          <w:sz w:val="24"/>
          <w:szCs w:val="24"/>
        </w:rPr>
        <w:t>то</w:t>
      </w:r>
      <w:r w:rsidRPr="007404FA">
        <w:rPr>
          <w:rFonts w:ascii="Times New Roman" w:hAnsi="Times New Roman"/>
          <w:sz w:val="24"/>
          <w:szCs w:val="24"/>
        </w:rPr>
        <w:t xml:space="preserve"> на информация се отнася до това дали данните на физическото лице се обработват в системата. Право</w:t>
      </w:r>
      <w:r w:rsidR="00D52F7A" w:rsidRPr="007404FA">
        <w:rPr>
          <w:rFonts w:ascii="Times New Roman" w:hAnsi="Times New Roman"/>
          <w:sz w:val="24"/>
          <w:szCs w:val="24"/>
        </w:rPr>
        <w:t>то</w:t>
      </w:r>
      <w:r w:rsidRPr="007404FA">
        <w:rPr>
          <w:rFonts w:ascii="Times New Roman" w:hAnsi="Times New Roman"/>
          <w:sz w:val="24"/>
          <w:szCs w:val="24"/>
        </w:rPr>
        <w:t xml:space="preserve"> на поправка или заличаване на дан</w:t>
      </w:r>
      <w:r w:rsidR="00D52F7A" w:rsidRPr="007404FA">
        <w:rPr>
          <w:rFonts w:ascii="Times New Roman" w:hAnsi="Times New Roman"/>
          <w:sz w:val="24"/>
          <w:szCs w:val="24"/>
        </w:rPr>
        <w:t>ни означава</w:t>
      </w:r>
      <w:r w:rsidRPr="007404FA">
        <w:rPr>
          <w:rFonts w:ascii="Times New Roman" w:hAnsi="Times New Roman"/>
          <w:sz w:val="24"/>
          <w:szCs w:val="24"/>
        </w:rPr>
        <w:t xml:space="preserve"> личните данни </w:t>
      </w:r>
      <w:r w:rsidR="00D52F7A" w:rsidRPr="007404FA">
        <w:rPr>
          <w:rFonts w:ascii="Times New Roman" w:hAnsi="Times New Roman"/>
          <w:sz w:val="24"/>
          <w:szCs w:val="24"/>
        </w:rPr>
        <w:t xml:space="preserve">да </w:t>
      </w:r>
      <w:r w:rsidRPr="007404FA">
        <w:rPr>
          <w:rFonts w:ascii="Times New Roman" w:hAnsi="Times New Roman"/>
          <w:sz w:val="24"/>
          <w:szCs w:val="24"/>
        </w:rPr>
        <w:t xml:space="preserve">могат да се коригират, когато те са фактически неточни или непълни, и да се поиска тяхното заличаване, ако са били </w:t>
      </w:r>
      <w:r w:rsidRPr="007404FA">
        <w:rPr>
          <w:rFonts w:ascii="Times New Roman" w:hAnsi="Times New Roman"/>
          <w:sz w:val="24"/>
          <w:szCs w:val="24"/>
        </w:rPr>
        <w:br/>
        <w:t xml:space="preserve">незаконно съхранявани. </w:t>
      </w:r>
    </w:p>
    <w:p w:rsidR="00E42714" w:rsidRPr="007404FA" w:rsidRDefault="00E42714" w:rsidP="00DB6B05">
      <w:pPr>
        <w:spacing w:line="360" w:lineRule="auto"/>
        <w:ind w:firstLine="709"/>
        <w:jc w:val="both"/>
        <w:rPr>
          <w:rFonts w:ascii="Times New Roman" w:hAnsi="Times New Roman"/>
          <w:sz w:val="24"/>
          <w:szCs w:val="24"/>
        </w:rPr>
      </w:pPr>
      <w:r w:rsidRPr="007404FA">
        <w:rPr>
          <w:rFonts w:ascii="Times New Roman" w:hAnsi="Times New Roman"/>
          <w:sz w:val="24"/>
          <w:szCs w:val="24"/>
        </w:rPr>
        <w:t>Право на достъп на физическото лице може да бъде осъществено: пряко чрез искане от физ</w:t>
      </w:r>
      <w:r w:rsidR="00C82B5D">
        <w:rPr>
          <w:rFonts w:ascii="Times New Roman" w:hAnsi="Times New Roman"/>
          <w:sz w:val="24"/>
          <w:szCs w:val="24"/>
        </w:rPr>
        <w:t>ическото лице директно до бюро СИРЕНЕ</w:t>
      </w:r>
      <w:r w:rsidRPr="007404FA">
        <w:rPr>
          <w:rFonts w:ascii="Times New Roman" w:hAnsi="Times New Roman"/>
          <w:sz w:val="24"/>
          <w:szCs w:val="24"/>
        </w:rPr>
        <w:t xml:space="preserve"> в Дирекция „Международно оперативно сътрудничество“ на МВР или непряко чрез искане, адресирано до Комисията за защита на личните данни. Във втория случай КЗЛД препраща искането по служебен път до МВР. През отчетния период са отправени 19 искания за достъп до лични данни в Шенгенската информационна система на граждани на държави извън Европейския съюз до КЗЛД. Всички са препратени без забавяне към МВР.</w:t>
      </w:r>
    </w:p>
    <w:p w:rsidR="00E42714" w:rsidRPr="007404FA" w:rsidRDefault="00E42714" w:rsidP="00DB6B05">
      <w:pPr>
        <w:spacing w:line="360" w:lineRule="auto"/>
        <w:ind w:firstLine="709"/>
        <w:jc w:val="both"/>
        <w:rPr>
          <w:rFonts w:ascii="Times New Roman" w:hAnsi="Times New Roman"/>
          <w:sz w:val="24"/>
          <w:szCs w:val="24"/>
        </w:rPr>
      </w:pPr>
      <w:r w:rsidRPr="007404FA">
        <w:rPr>
          <w:rFonts w:ascii="Times New Roman" w:hAnsi="Times New Roman"/>
          <w:sz w:val="24"/>
          <w:szCs w:val="24"/>
        </w:rPr>
        <w:lastRenderedPageBreak/>
        <w:t>Когато искането на физическото лице не е било удовлетворено или то счита, че правата му са нарушени, същото има право да подаде жалба до националния надзорен орган по защита на данните</w:t>
      </w:r>
      <w:r w:rsidR="00553661" w:rsidRPr="007404FA">
        <w:rPr>
          <w:rFonts w:ascii="Times New Roman" w:hAnsi="Times New Roman"/>
          <w:sz w:val="24"/>
          <w:szCs w:val="24"/>
        </w:rPr>
        <w:t xml:space="preserve"> – </w:t>
      </w:r>
      <w:r w:rsidRPr="007404FA">
        <w:rPr>
          <w:rFonts w:ascii="Times New Roman" w:hAnsi="Times New Roman"/>
          <w:sz w:val="24"/>
          <w:szCs w:val="24"/>
        </w:rPr>
        <w:t xml:space="preserve">Комисията за защита на личните данни, или да се обърне към съответния компетентен съд. През отчетния период не са постъпвали жалби по отношение на обработване на данни в </w:t>
      </w:r>
      <w:r w:rsidR="006D68EB" w:rsidRPr="007404FA">
        <w:rPr>
          <w:rFonts w:ascii="Times New Roman" w:hAnsi="Times New Roman"/>
          <w:sz w:val="24"/>
          <w:szCs w:val="24"/>
        </w:rPr>
        <w:t>Н.</w:t>
      </w:r>
      <w:r w:rsidRPr="007404FA">
        <w:rPr>
          <w:rFonts w:ascii="Times New Roman" w:hAnsi="Times New Roman"/>
          <w:sz w:val="24"/>
          <w:szCs w:val="24"/>
        </w:rPr>
        <w:t>ШИС.</w:t>
      </w:r>
    </w:p>
    <w:p w:rsidR="00E42714" w:rsidRPr="007404FA" w:rsidRDefault="00E42714" w:rsidP="00DB6B05">
      <w:pPr>
        <w:spacing w:line="360" w:lineRule="auto"/>
        <w:ind w:firstLine="709"/>
        <w:jc w:val="both"/>
        <w:rPr>
          <w:rFonts w:ascii="Times New Roman" w:hAnsi="Times New Roman"/>
          <w:sz w:val="24"/>
          <w:szCs w:val="24"/>
        </w:rPr>
      </w:pPr>
    </w:p>
    <w:p w:rsidR="00E42714" w:rsidRPr="007404FA" w:rsidRDefault="00E42714" w:rsidP="00DB6B05">
      <w:pPr>
        <w:numPr>
          <w:ilvl w:val="0"/>
          <w:numId w:val="3"/>
        </w:numPr>
        <w:suppressAutoHyphens/>
        <w:autoSpaceDN w:val="0"/>
        <w:spacing w:line="360" w:lineRule="auto"/>
        <w:ind w:left="0" w:firstLine="709"/>
        <w:jc w:val="both"/>
        <w:textAlignment w:val="baseline"/>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 xml:space="preserve">Анализ на тенденциите, предизвикателствата и възможностите пред защитата на неприкосновеността на линия живот и личните данни в международната дейност. </w:t>
      </w:r>
    </w:p>
    <w:p w:rsidR="00E42714" w:rsidRPr="007404FA" w:rsidRDefault="00E42714" w:rsidP="00DB6B05">
      <w:pPr>
        <w:spacing w:line="360" w:lineRule="auto"/>
        <w:ind w:firstLine="709"/>
        <w:jc w:val="both"/>
        <w:rPr>
          <w:rFonts w:ascii="Times New Roman" w:hAnsi="Times New Roman" w:cs="Times New Roman"/>
          <w:bCs/>
          <w:sz w:val="24"/>
          <w:szCs w:val="24"/>
        </w:rPr>
      </w:pPr>
      <w:r w:rsidRPr="007404FA">
        <w:rPr>
          <w:rFonts w:ascii="Times New Roman" w:hAnsi="Times New Roman" w:cs="Times New Roman"/>
          <w:bCs/>
          <w:sz w:val="24"/>
          <w:szCs w:val="24"/>
        </w:rPr>
        <w:t xml:space="preserve">Сред основните тенденции пред защитата на неприкосновеността на линия живот и личните данни в </w:t>
      </w:r>
      <w:r w:rsidR="00F05C50" w:rsidRPr="007404FA">
        <w:rPr>
          <w:rFonts w:ascii="Times New Roman" w:hAnsi="Times New Roman" w:cs="Times New Roman"/>
          <w:bCs/>
          <w:sz w:val="24"/>
          <w:szCs w:val="24"/>
        </w:rPr>
        <w:t>международен аспект се откроява</w:t>
      </w:r>
      <w:r w:rsidRPr="007404FA">
        <w:rPr>
          <w:rFonts w:ascii="Times New Roman" w:hAnsi="Times New Roman" w:cs="Times New Roman"/>
          <w:bCs/>
          <w:sz w:val="24"/>
          <w:szCs w:val="24"/>
        </w:rPr>
        <w:t xml:space="preserve"> ангажирането на все повече държави в защитата на личните данни. Доказателство за това е включването в ръководните органи на отделните световни формати на представители от шест континента на света. Наблюдава се засилен интерес към участие със статут на наблюдатели по линия на Конвенция </w:t>
      </w:r>
      <w:r w:rsidR="00DE4C8A">
        <w:rPr>
          <w:rFonts w:ascii="Times New Roman" w:hAnsi="Times New Roman" w:cs="Times New Roman"/>
          <w:bCs/>
          <w:sz w:val="24"/>
          <w:szCs w:val="24"/>
        </w:rPr>
        <w:t>№</w:t>
      </w:r>
      <w:r w:rsidRPr="007404FA">
        <w:rPr>
          <w:rFonts w:ascii="Times New Roman" w:hAnsi="Times New Roman" w:cs="Times New Roman"/>
          <w:bCs/>
          <w:sz w:val="24"/>
          <w:szCs w:val="24"/>
        </w:rPr>
        <w:t>108 и Глобалната асамблея по въпросите на неприкосновеността на редица национални органи по защита на данните, които или са новоучредени</w:t>
      </w:r>
      <w:r w:rsidR="00C82B5D">
        <w:rPr>
          <w:rFonts w:ascii="Times New Roman" w:hAnsi="Times New Roman" w:cs="Times New Roman"/>
          <w:bCs/>
          <w:sz w:val="24"/>
          <w:szCs w:val="24"/>
        </w:rPr>
        <w:t>,</w:t>
      </w:r>
      <w:r w:rsidRPr="007404FA">
        <w:rPr>
          <w:rFonts w:ascii="Times New Roman" w:hAnsi="Times New Roman" w:cs="Times New Roman"/>
          <w:bCs/>
          <w:sz w:val="24"/>
          <w:szCs w:val="24"/>
        </w:rPr>
        <w:t xml:space="preserve"> или не са вземали участие в дейността на международните формати по защита на личните данни.</w:t>
      </w:r>
    </w:p>
    <w:p w:rsidR="00E42714" w:rsidRPr="007404FA" w:rsidRDefault="00E42714" w:rsidP="00DB6B05">
      <w:pPr>
        <w:spacing w:line="360" w:lineRule="auto"/>
        <w:ind w:firstLine="709"/>
        <w:jc w:val="both"/>
        <w:rPr>
          <w:rFonts w:ascii="Times New Roman" w:hAnsi="Times New Roman" w:cs="Times New Roman"/>
          <w:bCs/>
          <w:sz w:val="24"/>
          <w:szCs w:val="24"/>
        </w:rPr>
      </w:pPr>
      <w:r w:rsidRPr="007404FA">
        <w:rPr>
          <w:rFonts w:ascii="Times New Roman" w:hAnsi="Times New Roman" w:cs="Times New Roman"/>
          <w:bCs/>
          <w:sz w:val="24"/>
          <w:szCs w:val="24"/>
        </w:rPr>
        <w:t>Отчетлива тенденция и същевременно предизвикателство е и все по-тясното ангажиране на представители на неправителствения сектор, академичните среди и частния бизнес в дейностите по международното сътрудничество в защитата на неприкосновеността на личния живот. Възможност в тази връзка е включването на представители на КЗЛД в международни инициативи, организирани именно от подобен вид организации.</w:t>
      </w:r>
    </w:p>
    <w:p w:rsidR="00E42714" w:rsidRPr="007404FA" w:rsidRDefault="00E42714" w:rsidP="00DB6B05">
      <w:pPr>
        <w:spacing w:line="360" w:lineRule="auto"/>
        <w:ind w:firstLine="709"/>
        <w:jc w:val="both"/>
        <w:rPr>
          <w:rFonts w:ascii="Times New Roman" w:hAnsi="Times New Roman" w:cs="Times New Roman"/>
          <w:bCs/>
          <w:sz w:val="24"/>
          <w:szCs w:val="24"/>
        </w:rPr>
      </w:pPr>
      <w:r w:rsidRPr="007404FA">
        <w:rPr>
          <w:rFonts w:ascii="Times New Roman" w:hAnsi="Times New Roman" w:cs="Times New Roman"/>
          <w:bCs/>
          <w:sz w:val="24"/>
          <w:szCs w:val="24"/>
        </w:rPr>
        <w:t>Ускорява се обменът на информация между представителите в отделните надзорни органи, както и се задълбочава взаимодействието по различни и често „гранични“ на защитата на лични данни теми, например: използваните системи за провеждане на уебинари или други събития онлайн, анализиране на поведението при извършване на контролна дейност, изискването от авиокомпаниите за заплащане на такса при упражняване на правото по</w:t>
      </w:r>
      <w:r w:rsidR="00F06583" w:rsidRPr="007404FA">
        <w:rPr>
          <w:rFonts w:ascii="Times New Roman" w:hAnsi="Times New Roman" w:cs="Times New Roman"/>
          <w:bCs/>
          <w:sz w:val="24"/>
          <w:szCs w:val="24"/>
        </w:rPr>
        <w:t xml:space="preserve"> чл. </w:t>
      </w:r>
      <w:r w:rsidRPr="007404FA">
        <w:rPr>
          <w:rFonts w:ascii="Times New Roman" w:hAnsi="Times New Roman" w:cs="Times New Roman"/>
          <w:bCs/>
          <w:sz w:val="24"/>
          <w:szCs w:val="24"/>
        </w:rPr>
        <w:t>16 от ОРЗД, обработване на данни за застрахователни цели от устройства в превозни средства, предстоящо въвеждане на забрана за издаване на хартиен касов бон при покупка на стоки на</w:t>
      </w:r>
      <w:r w:rsidR="00157B49">
        <w:rPr>
          <w:rFonts w:ascii="Times New Roman" w:hAnsi="Times New Roman" w:cs="Times New Roman"/>
          <w:bCs/>
          <w:sz w:val="24"/>
          <w:szCs w:val="24"/>
        </w:rPr>
        <w:t xml:space="preserve"> </w:t>
      </w:r>
      <w:r w:rsidRPr="007404FA">
        <w:rPr>
          <w:rFonts w:ascii="Times New Roman" w:hAnsi="Times New Roman" w:cs="Times New Roman"/>
          <w:bCs/>
          <w:sz w:val="24"/>
          <w:szCs w:val="24"/>
        </w:rPr>
        <w:t>национално ниво, експерименти по обединяването на данни между банковите институции по линия на борбата срещу изпирането на пари и финансирането на тероризма.</w:t>
      </w:r>
    </w:p>
    <w:p w:rsidR="00E42714" w:rsidRPr="007404FA" w:rsidRDefault="00C82B5D" w:rsidP="00DB6B05">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Същевременно</w:t>
      </w:r>
      <w:r w:rsidR="00E42714" w:rsidRPr="007404FA">
        <w:rPr>
          <w:rFonts w:ascii="Times New Roman" w:hAnsi="Times New Roman" w:cs="Times New Roman"/>
          <w:bCs/>
          <w:sz w:val="24"/>
          <w:szCs w:val="24"/>
        </w:rPr>
        <w:t xml:space="preserve"> на европейско ниво продължава работата по най-всеобхватната реформа в сферата на защита на личните данни след приемането на </w:t>
      </w:r>
      <w:r w:rsidR="00B4402C" w:rsidRPr="007404FA">
        <w:rPr>
          <w:rFonts w:ascii="Times New Roman" w:hAnsi="Times New Roman" w:cs="Times New Roman"/>
          <w:bCs/>
          <w:sz w:val="24"/>
          <w:szCs w:val="24"/>
        </w:rPr>
        <w:t>ОРЗД</w:t>
      </w:r>
      <w:r w:rsidR="00E42714" w:rsidRPr="007404FA">
        <w:rPr>
          <w:rFonts w:ascii="Times New Roman" w:hAnsi="Times New Roman" w:cs="Times New Roman"/>
          <w:bCs/>
          <w:sz w:val="24"/>
          <w:szCs w:val="24"/>
        </w:rPr>
        <w:t xml:space="preserve"> през 2016</w:t>
      </w:r>
      <w:r w:rsidR="00F06583" w:rsidRPr="007404FA">
        <w:rPr>
          <w:rFonts w:ascii="Times New Roman" w:hAnsi="Times New Roman" w:cs="Times New Roman"/>
          <w:bCs/>
          <w:sz w:val="24"/>
          <w:szCs w:val="24"/>
        </w:rPr>
        <w:t> г.</w:t>
      </w:r>
      <w:r w:rsidR="00E42714" w:rsidRPr="007404FA">
        <w:rPr>
          <w:rFonts w:ascii="Times New Roman" w:hAnsi="Times New Roman" w:cs="Times New Roman"/>
          <w:bCs/>
          <w:sz w:val="24"/>
          <w:szCs w:val="24"/>
        </w:rPr>
        <w:t xml:space="preserve"> Със своята Европейска стратегия за данните от 2020</w:t>
      </w:r>
      <w:r w:rsidR="00F06583" w:rsidRPr="007404FA">
        <w:rPr>
          <w:rFonts w:ascii="Times New Roman" w:hAnsi="Times New Roman" w:cs="Times New Roman"/>
          <w:bCs/>
          <w:sz w:val="24"/>
          <w:szCs w:val="24"/>
        </w:rPr>
        <w:t> г.</w:t>
      </w:r>
      <w:r w:rsidR="00E42714" w:rsidRPr="007404FA">
        <w:rPr>
          <w:rFonts w:ascii="Times New Roman" w:hAnsi="Times New Roman" w:cs="Times New Roman"/>
          <w:bCs/>
          <w:sz w:val="24"/>
          <w:szCs w:val="24"/>
        </w:rPr>
        <w:t xml:space="preserve"> ЕК поставя акцент върху процеса на </w:t>
      </w:r>
      <w:r w:rsidR="00E42714" w:rsidRPr="007404FA">
        <w:rPr>
          <w:rFonts w:ascii="Times New Roman" w:hAnsi="Times New Roman" w:cs="Times New Roman"/>
          <w:bCs/>
          <w:sz w:val="24"/>
          <w:szCs w:val="24"/>
        </w:rPr>
        <w:lastRenderedPageBreak/>
        <w:t>преобразуване на икономиката и обществото чрез цифровите технологии. Същите засягат всички действащи сектори, както и всекидневния живот на всички европейци. Данните са в центъра на тази трансформация и в бъдеще предстоят дори още по-големи промени. Основаните на данни иновации носят огромни ползи на физическите лица: „В общество, в което отделните членове генерират все по-нарастващи количества данни, начинът, по който данните се събират и използват, трябва да поставя на първо място интересите на отделната личност в съответствие с европейските це</w:t>
      </w:r>
      <w:r>
        <w:rPr>
          <w:rFonts w:ascii="Times New Roman" w:hAnsi="Times New Roman" w:cs="Times New Roman"/>
          <w:bCs/>
          <w:sz w:val="24"/>
          <w:szCs w:val="24"/>
        </w:rPr>
        <w:t>нности, основни права и правила</w:t>
      </w:r>
      <w:r w:rsidR="00E42714" w:rsidRPr="007404FA">
        <w:rPr>
          <w:rFonts w:ascii="Times New Roman" w:hAnsi="Times New Roman" w:cs="Times New Roman"/>
          <w:bCs/>
          <w:sz w:val="24"/>
          <w:szCs w:val="24"/>
        </w:rPr>
        <w:t>“</w:t>
      </w:r>
      <w:r>
        <w:rPr>
          <w:rFonts w:ascii="Times New Roman" w:hAnsi="Times New Roman" w:cs="Times New Roman"/>
          <w:bCs/>
          <w:sz w:val="24"/>
          <w:szCs w:val="24"/>
        </w:rPr>
        <w:t>.</w:t>
      </w:r>
      <w:r w:rsidR="00E42714" w:rsidRPr="007404FA">
        <w:rPr>
          <w:rFonts w:ascii="Times New Roman" w:hAnsi="Times New Roman" w:cs="Times New Roman"/>
          <w:bCs/>
          <w:sz w:val="24"/>
          <w:szCs w:val="24"/>
        </w:rPr>
        <w:t xml:space="preserve"> </w:t>
      </w:r>
    </w:p>
    <w:p w:rsidR="00E42714" w:rsidRPr="007404FA" w:rsidRDefault="00E42714" w:rsidP="00DB6B05">
      <w:pPr>
        <w:spacing w:line="360" w:lineRule="auto"/>
        <w:ind w:firstLine="709"/>
        <w:jc w:val="both"/>
        <w:rPr>
          <w:rFonts w:ascii="Times New Roman" w:hAnsi="Times New Roman" w:cs="Times New Roman"/>
          <w:bCs/>
          <w:sz w:val="24"/>
          <w:szCs w:val="24"/>
        </w:rPr>
      </w:pPr>
      <w:r w:rsidRPr="007404FA">
        <w:rPr>
          <w:rFonts w:ascii="Times New Roman" w:hAnsi="Times New Roman" w:cs="Times New Roman"/>
          <w:bCs/>
          <w:sz w:val="24"/>
          <w:szCs w:val="24"/>
        </w:rPr>
        <w:t xml:space="preserve">Европейското пространство на данни ще даде на предприятията в ЕС възможността да надграждат </w:t>
      </w:r>
      <w:r w:rsidR="00C4060B" w:rsidRPr="007404FA">
        <w:rPr>
          <w:rFonts w:ascii="Times New Roman" w:hAnsi="Times New Roman" w:cs="Times New Roman"/>
          <w:bCs/>
          <w:sz w:val="24"/>
          <w:szCs w:val="24"/>
        </w:rPr>
        <w:t xml:space="preserve">своята конкурентоспособност </w:t>
      </w:r>
      <w:r w:rsidRPr="007404FA">
        <w:rPr>
          <w:rFonts w:ascii="Times New Roman" w:hAnsi="Times New Roman" w:cs="Times New Roman"/>
          <w:bCs/>
          <w:sz w:val="24"/>
          <w:szCs w:val="24"/>
        </w:rPr>
        <w:t xml:space="preserve">в условията на мащабността на единния </w:t>
      </w:r>
      <w:r w:rsidR="00C4060B" w:rsidRPr="007404FA">
        <w:rPr>
          <w:rFonts w:ascii="Times New Roman" w:hAnsi="Times New Roman" w:cs="Times New Roman"/>
          <w:bCs/>
          <w:sz w:val="24"/>
          <w:szCs w:val="24"/>
        </w:rPr>
        <w:t xml:space="preserve">европейски </w:t>
      </w:r>
      <w:r w:rsidRPr="007404FA">
        <w:rPr>
          <w:rFonts w:ascii="Times New Roman" w:hAnsi="Times New Roman" w:cs="Times New Roman"/>
          <w:bCs/>
          <w:sz w:val="24"/>
          <w:szCs w:val="24"/>
        </w:rPr>
        <w:t>пазар. Общите европейски правила и ефикасните механизми за правоприлагане следва да гарантират, че:</w:t>
      </w:r>
    </w:p>
    <w:p w:rsidR="00E42714" w:rsidRPr="007404FA" w:rsidRDefault="00E42714" w:rsidP="00DB6B05">
      <w:pPr>
        <w:pStyle w:val="ListParagraph"/>
        <w:numPr>
          <w:ilvl w:val="0"/>
          <w:numId w:val="30"/>
        </w:numPr>
        <w:spacing w:after="0" w:line="360" w:lineRule="auto"/>
        <w:ind w:left="0" w:firstLine="709"/>
        <w:jc w:val="both"/>
        <w:rPr>
          <w:rFonts w:ascii="Times New Roman" w:hAnsi="Times New Roman"/>
          <w:bCs/>
          <w:sz w:val="24"/>
          <w:szCs w:val="24"/>
          <w:lang w:val="bg-BG"/>
        </w:rPr>
      </w:pPr>
      <w:r w:rsidRPr="007404FA">
        <w:rPr>
          <w:rFonts w:ascii="Times New Roman" w:hAnsi="Times New Roman"/>
          <w:bCs/>
          <w:sz w:val="24"/>
          <w:szCs w:val="24"/>
          <w:lang w:val="bg-BG"/>
        </w:rPr>
        <w:t>данните могат да се движат свободно в ЕС и между секторите;</w:t>
      </w:r>
    </w:p>
    <w:p w:rsidR="00E42714" w:rsidRPr="007404FA" w:rsidRDefault="00E42714" w:rsidP="00DB6B05">
      <w:pPr>
        <w:pStyle w:val="ListParagraph"/>
        <w:numPr>
          <w:ilvl w:val="0"/>
          <w:numId w:val="30"/>
        </w:numPr>
        <w:spacing w:after="0" w:line="360" w:lineRule="auto"/>
        <w:ind w:left="0" w:firstLine="709"/>
        <w:jc w:val="both"/>
        <w:rPr>
          <w:rFonts w:ascii="Times New Roman" w:hAnsi="Times New Roman"/>
          <w:bCs/>
          <w:sz w:val="24"/>
          <w:szCs w:val="24"/>
          <w:lang w:val="bg-BG"/>
        </w:rPr>
      </w:pPr>
      <w:r w:rsidRPr="007404FA">
        <w:rPr>
          <w:rFonts w:ascii="Times New Roman" w:hAnsi="Times New Roman"/>
          <w:bCs/>
          <w:sz w:val="24"/>
          <w:szCs w:val="24"/>
          <w:lang w:val="bg-BG"/>
        </w:rPr>
        <w:t>изцяло се спазват европейските правила и ценности, по-специално</w:t>
      </w:r>
      <w:r w:rsidR="00C82B5D">
        <w:rPr>
          <w:rFonts w:ascii="Times New Roman" w:hAnsi="Times New Roman"/>
          <w:bCs/>
          <w:sz w:val="24"/>
          <w:szCs w:val="24"/>
          <w:lang w:val="bg-BG"/>
        </w:rPr>
        <w:t>,</w:t>
      </w:r>
      <w:r w:rsidRPr="007404FA">
        <w:rPr>
          <w:rFonts w:ascii="Times New Roman" w:hAnsi="Times New Roman"/>
          <w:bCs/>
          <w:sz w:val="24"/>
          <w:szCs w:val="24"/>
          <w:lang w:val="bg-BG"/>
        </w:rPr>
        <w:t xml:space="preserve"> защитата на личните данни, законодателството за защита на потребителите и правото в областта на конкуренцията;</w:t>
      </w:r>
    </w:p>
    <w:p w:rsidR="00E42714" w:rsidRPr="007404FA" w:rsidRDefault="00E42714" w:rsidP="00DB6B05">
      <w:pPr>
        <w:pStyle w:val="ListParagraph"/>
        <w:numPr>
          <w:ilvl w:val="0"/>
          <w:numId w:val="30"/>
        </w:numPr>
        <w:spacing w:after="0" w:line="360" w:lineRule="auto"/>
        <w:ind w:left="0" w:firstLine="709"/>
        <w:jc w:val="both"/>
        <w:rPr>
          <w:rFonts w:ascii="Times New Roman" w:hAnsi="Times New Roman"/>
          <w:bCs/>
          <w:sz w:val="24"/>
          <w:szCs w:val="24"/>
          <w:lang w:val="bg-BG"/>
        </w:rPr>
      </w:pPr>
      <w:r w:rsidRPr="007404FA">
        <w:rPr>
          <w:rFonts w:ascii="Times New Roman" w:hAnsi="Times New Roman"/>
          <w:bCs/>
          <w:sz w:val="24"/>
          <w:szCs w:val="24"/>
          <w:lang w:val="bg-BG"/>
        </w:rPr>
        <w:t xml:space="preserve">правилата за достъп и използване на данните са справедливи, практични и ясни и съществуват ясни и заслужаващи доверие механизми за управление на данните. </w:t>
      </w:r>
    </w:p>
    <w:p w:rsidR="00C8273D" w:rsidRPr="007404FA" w:rsidRDefault="00E42714"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bCs/>
          <w:sz w:val="24"/>
          <w:szCs w:val="24"/>
        </w:rPr>
        <w:t>В резултат на тези усилия през 2022</w:t>
      </w:r>
      <w:r w:rsidR="00F06583" w:rsidRPr="007404FA">
        <w:rPr>
          <w:rFonts w:ascii="Times New Roman" w:hAnsi="Times New Roman" w:cs="Times New Roman"/>
          <w:bCs/>
          <w:sz w:val="24"/>
          <w:szCs w:val="24"/>
        </w:rPr>
        <w:t> г.</w:t>
      </w:r>
      <w:r w:rsidRPr="007404FA">
        <w:rPr>
          <w:rFonts w:ascii="Times New Roman" w:hAnsi="Times New Roman" w:cs="Times New Roman"/>
          <w:bCs/>
          <w:sz w:val="24"/>
          <w:szCs w:val="24"/>
        </w:rPr>
        <w:t xml:space="preserve"> </w:t>
      </w:r>
      <w:r w:rsidR="00C2536D" w:rsidRPr="007404FA">
        <w:rPr>
          <w:rFonts w:ascii="Times New Roman" w:hAnsi="Times New Roman" w:cs="Times New Roman"/>
          <w:bCs/>
          <w:sz w:val="24"/>
          <w:szCs w:val="24"/>
        </w:rPr>
        <w:t>в сила са влезли</w:t>
      </w:r>
      <w:r w:rsidRPr="007404FA">
        <w:rPr>
          <w:rFonts w:ascii="Times New Roman" w:hAnsi="Times New Roman" w:cs="Times New Roman"/>
          <w:bCs/>
          <w:sz w:val="24"/>
          <w:szCs w:val="24"/>
        </w:rPr>
        <w:t>, макар и с отложен момент на прилагане през 2023</w:t>
      </w:r>
      <w:r w:rsidR="00F06583" w:rsidRPr="007404FA">
        <w:rPr>
          <w:rFonts w:ascii="Times New Roman" w:hAnsi="Times New Roman" w:cs="Times New Roman"/>
          <w:bCs/>
          <w:sz w:val="24"/>
          <w:szCs w:val="24"/>
        </w:rPr>
        <w:t> г.</w:t>
      </w:r>
      <w:r w:rsidRPr="007404FA">
        <w:rPr>
          <w:rFonts w:ascii="Times New Roman" w:hAnsi="Times New Roman" w:cs="Times New Roman"/>
          <w:bCs/>
          <w:sz w:val="24"/>
          <w:szCs w:val="24"/>
        </w:rPr>
        <w:t>, Актът за управление на данните, Актът за цифровите пазари и Актът за цифровите услуги</w:t>
      </w:r>
      <w:r w:rsidR="00C8273D" w:rsidRPr="007404FA">
        <w:rPr>
          <w:rFonts w:ascii="Times New Roman" w:hAnsi="Times New Roman" w:cs="Times New Roman"/>
          <w:bCs/>
          <w:sz w:val="24"/>
          <w:szCs w:val="24"/>
        </w:rPr>
        <w:t>.</w:t>
      </w:r>
    </w:p>
    <w:p w:rsidR="004260FB" w:rsidRPr="007404FA" w:rsidRDefault="004260FB" w:rsidP="00DB6B05">
      <w:pPr>
        <w:spacing w:line="259" w:lineRule="auto"/>
        <w:rPr>
          <w:rFonts w:ascii="Times New Roman" w:hAnsi="Times New Roman" w:cs="Times New Roman"/>
          <w:bCs/>
          <w:sz w:val="24"/>
          <w:szCs w:val="24"/>
        </w:rPr>
      </w:pPr>
      <w:r w:rsidRPr="007404FA">
        <w:rPr>
          <w:rFonts w:ascii="Times New Roman" w:hAnsi="Times New Roman" w:cs="Times New Roman"/>
          <w:bCs/>
          <w:sz w:val="24"/>
          <w:szCs w:val="24"/>
        </w:rPr>
        <w:br w:type="page"/>
      </w:r>
    </w:p>
    <w:p w:rsidR="00E42714" w:rsidRPr="00330A46" w:rsidRDefault="00E42714" w:rsidP="00330A46">
      <w:pPr>
        <w:pStyle w:val="Heading1"/>
        <w:spacing w:before="0" w:line="360" w:lineRule="auto"/>
        <w:ind w:firstLine="709"/>
        <w:jc w:val="both"/>
        <w:rPr>
          <w:rFonts w:ascii="Times New Roman" w:hAnsi="Times New Roman" w:cs="Times New Roman"/>
          <w:sz w:val="24"/>
          <w:szCs w:val="24"/>
        </w:rPr>
      </w:pPr>
      <w:bookmarkStart w:id="7" w:name="_Toc130915384"/>
      <w:r w:rsidRPr="00330A46">
        <w:rPr>
          <w:rFonts w:ascii="Times New Roman" w:hAnsi="Times New Roman" w:cs="Times New Roman"/>
          <w:sz w:val="24"/>
          <w:szCs w:val="24"/>
        </w:rPr>
        <w:lastRenderedPageBreak/>
        <w:t>VIII. ПОДПОМАГАНЕ ИЗПЪЛНЕНИЕТО НА ЦЕЛИТЕ НА КЗЛД ЧРЕЗ РЕАЛИЗАЦИЯ НА ПРОЕКТИ С НАЦИОНАЛНО И МЕЖДУНАРОДНО ФИНАНСИРАНЕ</w:t>
      </w:r>
      <w:bookmarkEnd w:id="7"/>
    </w:p>
    <w:p w:rsidR="00E42714" w:rsidRPr="007404FA" w:rsidRDefault="00E42714" w:rsidP="00DB6B05">
      <w:pPr>
        <w:spacing w:line="360" w:lineRule="auto"/>
        <w:ind w:firstLine="709"/>
        <w:jc w:val="both"/>
      </w:pPr>
    </w:p>
    <w:p w:rsidR="00E42714" w:rsidRPr="007404FA" w:rsidRDefault="00E42714" w:rsidP="00DB6B05">
      <w:pPr>
        <w:tabs>
          <w:tab w:val="left" w:pos="993"/>
        </w:tabs>
        <w:spacing w:line="360" w:lineRule="auto"/>
        <w:ind w:firstLine="709"/>
        <w:jc w:val="both"/>
        <w:rPr>
          <w:rFonts w:ascii="Times New Roman" w:hAnsi="Times New Roman" w:cs="Times New Roman"/>
          <w:b/>
          <w:sz w:val="24"/>
          <w:szCs w:val="24"/>
        </w:rPr>
      </w:pPr>
      <w:r w:rsidRPr="007404FA">
        <w:rPr>
          <w:rFonts w:ascii="Times New Roman" w:hAnsi="Times New Roman" w:cs="Times New Roman"/>
          <w:b/>
          <w:sz w:val="24"/>
          <w:szCs w:val="24"/>
        </w:rPr>
        <w:t>1. „Осигуряване на най-висока степен на защита на неприкосновеността на личния живот и личните данни чрез иновативни инструменти за малки и средни предприятия</w:t>
      </w:r>
      <w:r w:rsidRPr="007404FA">
        <w:rPr>
          <w:rFonts w:ascii="Times New Roman" w:hAnsi="Times New Roman" w:cs="Times New Roman"/>
          <w:sz w:val="24"/>
          <w:szCs w:val="24"/>
        </w:rPr>
        <w:t xml:space="preserve"> </w:t>
      </w:r>
      <w:r w:rsidRPr="007404FA">
        <w:rPr>
          <w:rFonts w:ascii="Times New Roman" w:hAnsi="Times New Roman" w:cs="Times New Roman"/>
          <w:b/>
          <w:sz w:val="24"/>
          <w:szCs w:val="24"/>
        </w:rPr>
        <w:t>и граждани</w:t>
      </w:r>
      <w:r w:rsidR="00553661" w:rsidRPr="007404FA">
        <w:rPr>
          <w:rFonts w:ascii="Times New Roman" w:hAnsi="Times New Roman" w:cs="Times New Roman"/>
          <w:b/>
          <w:sz w:val="24"/>
          <w:szCs w:val="24"/>
        </w:rPr>
        <w:t xml:space="preserve"> – </w:t>
      </w:r>
      <w:r w:rsidRPr="00972439">
        <w:rPr>
          <w:rFonts w:ascii="Times New Roman" w:hAnsi="Times New Roman" w:cs="Times New Roman"/>
          <w:b/>
          <w:sz w:val="24"/>
          <w:szCs w:val="24"/>
        </w:rPr>
        <w:t>SMEDATA II</w:t>
      </w:r>
      <w:r w:rsidRPr="007404FA">
        <w:rPr>
          <w:rFonts w:ascii="Times New Roman" w:hAnsi="Times New Roman" w:cs="Times New Roman"/>
          <w:b/>
          <w:sz w:val="24"/>
          <w:szCs w:val="24"/>
        </w:rPr>
        <w:t>“.</w:t>
      </w:r>
    </w:p>
    <w:p w:rsidR="00E42714" w:rsidRPr="007404FA" w:rsidRDefault="00E42714" w:rsidP="00DB6B05">
      <w:pPr>
        <w:tabs>
          <w:tab w:val="left" w:pos="993"/>
        </w:tabs>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Проектът </w:t>
      </w:r>
      <w:r w:rsidRPr="00972439">
        <w:rPr>
          <w:rFonts w:ascii="Times New Roman" w:hAnsi="Times New Roman" w:cs="Times New Roman"/>
          <w:sz w:val="24"/>
          <w:szCs w:val="24"/>
        </w:rPr>
        <w:t xml:space="preserve">SMEDATA II </w:t>
      </w:r>
      <w:r w:rsidRPr="007404FA">
        <w:rPr>
          <w:rFonts w:ascii="Times New Roman" w:hAnsi="Times New Roman" w:cs="Times New Roman"/>
          <w:sz w:val="24"/>
          <w:szCs w:val="24"/>
        </w:rPr>
        <w:t>цели осигуряването на ефективното прилагане на ОРЗД чрез информираност, мултиплициращо обучение и изграждане на устойчив капацитет в малките и средните предприятия. Сред планираните дейности са организирането на серия от събития за повишаване на осведомеността и обучение в България и Италия, надграждане на мобилното приложение „</w:t>
      </w:r>
      <w:r w:rsidRPr="00972439">
        <w:rPr>
          <w:rFonts w:ascii="Times New Roman" w:hAnsi="Times New Roman" w:cs="Times New Roman"/>
          <w:sz w:val="24"/>
          <w:szCs w:val="24"/>
        </w:rPr>
        <w:t>GDPR</w:t>
      </w:r>
      <w:r w:rsidRPr="007404FA">
        <w:rPr>
          <w:rFonts w:ascii="Times New Roman" w:hAnsi="Times New Roman" w:cs="Times New Roman"/>
          <w:sz w:val="24"/>
          <w:szCs w:val="24"/>
        </w:rPr>
        <w:t xml:space="preserve"> в твоя джоб“. Всички проектни дейности са разработени, за да разпространяват не само информация за целите и резултатите от проекта, но също така и новости в областта на защитата на личните данни от значение за МСП и гражданите.</w:t>
      </w:r>
    </w:p>
    <w:p w:rsidR="00E42714" w:rsidRPr="007404FA" w:rsidRDefault="00E42714" w:rsidP="00DB6B05">
      <w:pPr>
        <w:spacing w:line="360" w:lineRule="auto"/>
        <w:ind w:firstLine="709"/>
        <w:jc w:val="both"/>
        <w:rPr>
          <w:rFonts w:ascii="Times New Roman" w:hAnsi="Times New Roman" w:cs="Times New Roman"/>
          <w:color w:val="FF0000"/>
          <w:sz w:val="24"/>
          <w:szCs w:val="24"/>
        </w:rPr>
      </w:pPr>
      <w:r w:rsidRPr="007404FA">
        <w:rPr>
          <w:rFonts w:ascii="Times New Roman" w:hAnsi="Times New Roman" w:cs="Times New Roman"/>
          <w:sz w:val="24"/>
          <w:szCs w:val="24"/>
        </w:rPr>
        <w:t xml:space="preserve">През отчетния период са завършени успешно всички планирани дейности по проекта. Сред основните дейности </w:t>
      </w:r>
      <w:r w:rsidR="007A2DE9" w:rsidRPr="007404FA">
        <w:rPr>
          <w:rFonts w:ascii="Times New Roman" w:hAnsi="Times New Roman" w:cs="Times New Roman"/>
          <w:sz w:val="24"/>
          <w:szCs w:val="24"/>
        </w:rPr>
        <w:t>през 2023</w:t>
      </w:r>
      <w:r w:rsidR="00F06583" w:rsidRPr="007404FA">
        <w:rPr>
          <w:rFonts w:ascii="Times New Roman" w:hAnsi="Times New Roman" w:cs="Times New Roman"/>
          <w:sz w:val="24"/>
          <w:szCs w:val="24"/>
        </w:rPr>
        <w:t> г.</w:t>
      </w:r>
      <w:r w:rsidR="007A2DE9" w:rsidRPr="007404FA">
        <w:rPr>
          <w:rFonts w:ascii="Times New Roman" w:hAnsi="Times New Roman" w:cs="Times New Roman"/>
          <w:sz w:val="24"/>
          <w:szCs w:val="24"/>
        </w:rPr>
        <w:t xml:space="preserve"> </w:t>
      </w:r>
      <w:r w:rsidRPr="007404FA">
        <w:rPr>
          <w:rFonts w:ascii="Times New Roman" w:hAnsi="Times New Roman" w:cs="Times New Roman"/>
          <w:sz w:val="24"/>
          <w:szCs w:val="24"/>
        </w:rPr>
        <w:t>е финална актуализация на съдържанието на получилото ежегодната награда на БАИТ в началото на 2020</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мобилно приложение „</w:t>
      </w:r>
      <w:r w:rsidRPr="00972439">
        <w:rPr>
          <w:rFonts w:ascii="Times New Roman" w:hAnsi="Times New Roman" w:cs="Times New Roman"/>
          <w:sz w:val="24"/>
          <w:szCs w:val="24"/>
        </w:rPr>
        <w:t>GDPR</w:t>
      </w:r>
      <w:r w:rsidRPr="007404FA">
        <w:rPr>
          <w:rFonts w:ascii="Times New Roman" w:hAnsi="Times New Roman" w:cs="Times New Roman"/>
          <w:sz w:val="24"/>
          <w:szCs w:val="24"/>
        </w:rPr>
        <w:t xml:space="preserve"> в твоя джоб“</w:t>
      </w:r>
      <w:r w:rsidRPr="007404FA">
        <w:rPr>
          <w:rFonts w:ascii="Times New Roman" w:eastAsia="Batang" w:hAnsi="Times New Roman" w:cs="Times New Roman"/>
          <w:sz w:val="24"/>
          <w:szCs w:val="24"/>
        </w:rPr>
        <w:t>, предоставящо разяснения и насоки по прилагане на правната рамка по защита на личните данни за малките и средните предприятия и гражданите. Към края на юни 2022</w:t>
      </w:r>
      <w:r w:rsidR="00F06583" w:rsidRPr="007404FA">
        <w:rPr>
          <w:rFonts w:ascii="Times New Roman" w:eastAsia="Batang" w:hAnsi="Times New Roman" w:cs="Times New Roman"/>
          <w:sz w:val="24"/>
          <w:szCs w:val="24"/>
        </w:rPr>
        <w:t> г.</w:t>
      </w:r>
      <w:r w:rsidRPr="007404FA">
        <w:rPr>
          <w:rFonts w:ascii="Times New Roman" w:eastAsia="Batang" w:hAnsi="Times New Roman" w:cs="Times New Roman"/>
          <w:sz w:val="24"/>
          <w:szCs w:val="24"/>
        </w:rPr>
        <w:t xml:space="preserve">, когато е планирано и завършено изпълнението на проекта, </w:t>
      </w:r>
      <w:r w:rsidRPr="007404FA">
        <w:rPr>
          <w:rFonts w:ascii="Times New Roman" w:hAnsi="Times New Roman" w:cs="Times New Roman"/>
          <w:sz w:val="24"/>
          <w:szCs w:val="24"/>
        </w:rPr>
        <w:t>мобилното приложение е инсталирано на над 7500 устройства. Същото е достъпно и във версия за настолни компютри.</w:t>
      </w:r>
    </w:p>
    <w:p w:rsidR="00E42714" w:rsidRPr="007404FA" w:rsidRDefault="00E42714" w:rsidP="00DB6B05">
      <w:pPr>
        <w:tabs>
          <w:tab w:val="left" w:pos="993"/>
        </w:tabs>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Сред останалите осъществени дейности по проекта през отчетния период са реализирането на 6 разяснителни обучителни събития</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3 в Република България и 3 в Италия, за представител</w:t>
      </w:r>
      <w:r w:rsidR="00972439">
        <w:rPr>
          <w:rFonts w:ascii="Times New Roman" w:hAnsi="Times New Roman" w:cs="Times New Roman"/>
          <w:sz w:val="24"/>
          <w:szCs w:val="24"/>
        </w:rPr>
        <w:t>и на малкия и средния</w:t>
      </w:r>
      <w:r w:rsidRPr="007404FA">
        <w:rPr>
          <w:rFonts w:ascii="Times New Roman" w:hAnsi="Times New Roman" w:cs="Times New Roman"/>
          <w:sz w:val="24"/>
          <w:szCs w:val="24"/>
        </w:rPr>
        <w:t xml:space="preserve"> бизнес. Целта им е повишаване на осведомеността на представители на МСП във връзка с правната рамка за защита на личните данни. В хода на всяко обучение КЗЛД </w:t>
      </w:r>
      <w:r w:rsidR="00553310" w:rsidRPr="007404FA">
        <w:rPr>
          <w:rFonts w:ascii="Times New Roman" w:hAnsi="Times New Roman" w:cs="Times New Roman"/>
          <w:sz w:val="24"/>
          <w:szCs w:val="24"/>
        </w:rPr>
        <w:t xml:space="preserve">е </w:t>
      </w:r>
      <w:r w:rsidRPr="007404FA">
        <w:rPr>
          <w:rFonts w:ascii="Times New Roman" w:hAnsi="Times New Roman" w:cs="Times New Roman"/>
          <w:sz w:val="24"/>
          <w:szCs w:val="24"/>
        </w:rPr>
        <w:t>представи</w:t>
      </w:r>
      <w:r w:rsidR="00553310" w:rsidRPr="007404FA">
        <w:rPr>
          <w:rFonts w:ascii="Times New Roman" w:hAnsi="Times New Roman" w:cs="Times New Roman"/>
          <w:sz w:val="24"/>
          <w:szCs w:val="24"/>
        </w:rPr>
        <w:t>ла</w:t>
      </w:r>
      <w:r w:rsidRPr="007404FA">
        <w:rPr>
          <w:rFonts w:ascii="Times New Roman" w:hAnsi="Times New Roman" w:cs="Times New Roman"/>
          <w:sz w:val="24"/>
          <w:szCs w:val="24"/>
        </w:rPr>
        <w:t xml:space="preserve"> практическото приложение и тълкуване на </w:t>
      </w:r>
      <w:r w:rsidR="00B4402C" w:rsidRPr="007404FA">
        <w:rPr>
          <w:rFonts w:ascii="Times New Roman" w:hAnsi="Times New Roman" w:cs="Times New Roman"/>
          <w:sz w:val="24"/>
          <w:szCs w:val="24"/>
        </w:rPr>
        <w:t>ОРЗД</w:t>
      </w:r>
      <w:r w:rsidRPr="007404FA">
        <w:rPr>
          <w:rFonts w:ascii="Times New Roman" w:hAnsi="Times New Roman" w:cs="Times New Roman"/>
          <w:sz w:val="24"/>
          <w:szCs w:val="24"/>
        </w:rPr>
        <w:t>, както и казуси от</w:t>
      </w:r>
      <w:r w:rsidR="00972439">
        <w:rPr>
          <w:rFonts w:ascii="Times New Roman" w:hAnsi="Times New Roman" w:cs="Times New Roman"/>
          <w:sz w:val="24"/>
          <w:szCs w:val="24"/>
        </w:rPr>
        <w:t xml:space="preserve"> практиката на К</w:t>
      </w:r>
      <w:r w:rsidRPr="007404FA">
        <w:rPr>
          <w:rFonts w:ascii="Times New Roman" w:hAnsi="Times New Roman" w:cs="Times New Roman"/>
          <w:sz w:val="24"/>
          <w:szCs w:val="24"/>
        </w:rPr>
        <w:t>омисията. Обучителните събития са проведени в 3 български града</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 xml:space="preserve">Варна, Пловдив и София. В тях на място и посредством интернет участват над 440 </w:t>
      </w:r>
      <w:r w:rsidR="00972439">
        <w:rPr>
          <w:rFonts w:ascii="Times New Roman" w:hAnsi="Times New Roman" w:cs="Times New Roman"/>
          <w:sz w:val="24"/>
          <w:szCs w:val="24"/>
        </w:rPr>
        <w:t>души</w:t>
      </w:r>
      <w:r w:rsidRPr="007404FA">
        <w:rPr>
          <w:rFonts w:ascii="Times New Roman" w:hAnsi="Times New Roman" w:cs="Times New Roman"/>
          <w:sz w:val="24"/>
          <w:szCs w:val="24"/>
        </w:rPr>
        <w:t>. Запис от последното събитие, както и обучителното съдържание за представители на МСП, са достъпни на интернет страницата на проекта</w:t>
      </w:r>
      <w:r w:rsidR="00553661" w:rsidRPr="007404FA">
        <w:rPr>
          <w:rFonts w:ascii="Times New Roman" w:hAnsi="Times New Roman" w:cs="Times New Roman"/>
          <w:sz w:val="24"/>
          <w:szCs w:val="24"/>
        </w:rPr>
        <w:t xml:space="preserve"> – </w:t>
      </w:r>
      <w:r w:rsidRPr="00972439">
        <w:rPr>
          <w:rFonts w:ascii="Times New Roman" w:hAnsi="Times New Roman" w:cs="Times New Roman"/>
          <w:sz w:val="24"/>
          <w:szCs w:val="24"/>
        </w:rPr>
        <w:t>www.smedata.eu.</w:t>
      </w:r>
    </w:p>
    <w:p w:rsidR="00E42714" w:rsidRPr="007404FA" w:rsidRDefault="00E42714" w:rsidP="00DB6B05">
      <w:pPr>
        <w:tabs>
          <w:tab w:val="left" w:pos="993"/>
        </w:tabs>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В средата на юни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в гр. Брюксел, Белгия, по проекта е организир</w:t>
      </w:r>
      <w:r w:rsidR="00972439">
        <w:rPr>
          <w:rFonts w:ascii="Times New Roman" w:hAnsi="Times New Roman" w:cs="Times New Roman"/>
          <w:sz w:val="24"/>
          <w:szCs w:val="24"/>
        </w:rPr>
        <w:t xml:space="preserve">ана международната конференция </w:t>
      </w:r>
      <w:r w:rsidRPr="007404FA">
        <w:rPr>
          <w:rFonts w:ascii="Times New Roman" w:hAnsi="Times New Roman" w:cs="Times New Roman"/>
          <w:sz w:val="24"/>
          <w:szCs w:val="24"/>
        </w:rPr>
        <w:t xml:space="preserve">Future Opportunities for Privacy Minded Enterprises, на която са представени бъдещите предизвикателства пред администратори и обработващи лични </w:t>
      </w:r>
      <w:r w:rsidRPr="007404FA">
        <w:rPr>
          <w:rFonts w:ascii="Times New Roman" w:hAnsi="Times New Roman" w:cs="Times New Roman"/>
          <w:sz w:val="24"/>
          <w:szCs w:val="24"/>
        </w:rPr>
        <w:lastRenderedPageBreak/>
        <w:t>данни. Международната конференция e посветена на последните промени на европейското законодателство в областта на защита</w:t>
      </w:r>
      <w:r w:rsidR="00553310" w:rsidRPr="007404FA">
        <w:rPr>
          <w:rFonts w:ascii="Times New Roman" w:hAnsi="Times New Roman" w:cs="Times New Roman"/>
          <w:sz w:val="24"/>
          <w:szCs w:val="24"/>
        </w:rPr>
        <w:t>та</w:t>
      </w:r>
      <w:r w:rsidRPr="007404FA">
        <w:rPr>
          <w:rFonts w:ascii="Times New Roman" w:hAnsi="Times New Roman" w:cs="Times New Roman"/>
          <w:sz w:val="24"/>
          <w:szCs w:val="24"/>
        </w:rPr>
        <w:t xml:space="preserve"> на данните и ефектите, които има за предприятията. </w:t>
      </w:r>
    </w:p>
    <w:p w:rsidR="00E42714" w:rsidRPr="007404FA" w:rsidRDefault="00E42714" w:rsidP="00DB6B05">
      <w:pPr>
        <w:tabs>
          <w:tab w:val="left" w:pos="993"/>
        </w:tabs>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Тя е организирана в три панела по актуални теми, свързани с обработването и защитата на личните данни четири години след влизането в сила на GDPR: SMEDATA</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„Постигнатото до момента</w:t>
      </w:r>
      <w:r w:rsidR="00972439">
        <w:rPr>
          <w:rFonts w:ascii="Times New Roman" w:hAnsi="Times New Roman" w:cs="Times New Roman"/>
          <w:sz w:val="24"/>
          <w:szCs w:val="24"/>
        </w:rPr>
        <w:t>...</w:t>
      </w:r>
      <w:r w:rsidRPr="007404FA">
        <w:rPr>
          <w:rFonts w:ascii="Times New Roman" w:hAnsi="Times New Roman" w:cs="Times New Roman"/>
          <w:sz w:val="24"/>
          <w:szCs w:val="24"/>
        </w:rPr>
        <w:t>“, текущи предизвикателства пред МСП, свързани с етичното управление на данни, и перспективата на надзорните органи след четири години от прилагането на ОРЗД, както и бъдещи предизвикателства, свързани с разпространението на знания за ОРЗД</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стъпка към защита пра</w:t>
      </w:r>
      <w:r w:rsidR="00972439">
        <w:rPr>
          <w:rFonts w:ascii="Times New Roman" w:hAnsi="Times New Roman" w:cs="Times New Roman"/>
          <w:sz w:val="24"/>
          <w:szCs w:val="24"/>
        </w:rPr>
        <w:t>вата на гражданите; изкуствения</w:t>
      </w:r>
      <w:r w:rsidRPr="007404FA">
        <w:rPr>
          <w:rFonts w:ascii="Times New Roman" w:hAnsi="Times New Roman" w:cs="Times New Roman"/>
          <w:sz w:val="24"/>
          <w:szCs w:val="24"/>
        </w:rPr>
        <w:t xml:space="preserve"> интелект и защита</w:t>
      </w:r>
      <w:r w:rsidR="00553310" w:rsidRPr="007404FA">
        <w:rPr>
          <w:rFonts w:ascii="Times New Roman" w:hAnsi="Times New Roman" w:cs="Times New Roman"/>
          <w:sz w:val="24"/>
          <w:szCs w:val="24"/>
        </w:rPr>
        <w:t>та</w:t>
      </w:r>
      <w:r w:rsidRPr="007404FA">
        <w:rPr>
          <w:rFonts w:ascii="Times New Roman" w:hAnsi="Times New Roman" w:cs="Times New Roman"/>
          <w:sz w:val="24"/>
          <w:szCs w:val="24"/>
        </w:rPr>
        <w:t xml:space="preserve"> на данните; съвременни подходи за повишаване на осведомеността относно ОРЗД</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 xml:space="preserve">приложение „GDPR в </w:t>
      </w:r>
      <w:r w:rsidR="00FA2FEB" w:rsidRPr="007404FA">
        <w:rPr>
          <w:rFonts w:ascii="Times New Roman" w:hAnsi="Times New Roman" w:cs="Times New Roman"/>
          <w:sz w:val="24"/>
          <w:szCs w:val="24"/>
        </w:rPr>
        <w:t>твоя джоб</w:t>
      </w:r>
      <w:r w:rsidRPr="007404FA">
        <w:rPr>
          <w:rFonts w:ascii="Times New Roman" w:hAnsi="Times New Roman" w:cs="Times New Roman"/>
          <w:sz w:val="24"/>
          <w:szCs w:val="24"/>
        </w:rPr>
        <w:t>“ и бъдещето, което искаме: по-добри политики за следващото поколение и устойчив преход. Това е първо по рода си събитие, което е организирано изцяло в държава, различна от Република България, в която няма партньорска организация по проекта. Участниците са от България, Италия, Германия, Белгия и Франция.</w:t>
      </w:r>
    </w:p>
    <w:p w:rsidR="00E42714" w:rsidRPr="007404FA" w:rsidRDefault="00E42714" w:rsidP="00DB6B05">
      <w:pPr>
        <w:tabs>
          <w:tab w:val="left" w:pos="993"/>
        </w:tabs>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Комисията за защита на личните данни е водещ партньор</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 xml:space="preserve">координатор на проектните дейности. В проектния консорциум участват Съюзът на юристите в България, „Апис Европа“, адвокатското дружество </w:t>
      </w:r>
      <w:r w:rsidRPr="00972439">
        <w:rPr>
          <w:rFonts w:ascii="Times New Roman" w:hAnsi="Times New Roman" w:cs="Times New Roman"/>
          <w:sz w:val="24"/>
          <w:szCs w:val="24"/>
        </w:rPr>
        <w:t>EY</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 xml:space="preserve">България, университетът </w:t>
      </w:r>
      <w:r w:rsidRPr="00972439">
        <w:rPr>
          <w:rFonts w:ascii="Times New Roman" w:hAnsi="Times New Roman" w:cs="Times New Roman"/>
          <w:sz w:val="24"/>
          <w:szCs w:val="24"/>
        </w:rPr>
        <w:t>Roma Tre</w:t>
      </w:r>
      <w:r w:rsidRPr="007404FA">
        <w:rPr>
          <w:rFonts w:ascii="Times New Roman" w:hAnsi="Times New Roman" w:cs="Times New Roman"/>
          <w:sz w:val="24"/>
          <w:szCs w:val="24"/>
        </w:rPr>
        <w:t xml:space="preserve"> и Европейската асоциация на жените юристи</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клон България. Общият бюджет за всички партньори по проекта е 399</w:t>
      </w:r>
      <w:r w:rsidR="002B2E4F" w:rsidRPr="007404FA">
        <w:rPr>
          <w:rFonts w:ascii="Times New Roman" w:hAnsi="Times New Roman" w:cs="Times New Roman"/>
          <w:sz w:val="24"/>
          <w:szCs w:val="24"/>
        </w:rPr>
        <w:t xml:space="preserve"> </w:t>
      </w:r>
      <w:r w:rsidRPr="007404FA">
        <w:rPr>
          <w:rFonts w:ascii="Times New Roman" w:hAnsi="Times New Roman" w:cs="Times New Roman"/>
          <w:sz w:val="24"/>
          <w:szCs w:val="24"/>
        </w:rPr>
        <w:t>576,68</w:t>
      </w:r>
      <w:r w:rsidR="003742EB" w:rsidRPr="007404FA">
        <w:rPr>
          <w:rFonts w:ascii="Times New Roman" w:hAnsi="Times New Roman" w:cs="Times New Roman"/>
          <w:sz w:val="24"/>
          <w:szCs w:val="24"/>
        </w:rPr>
        <w:t> лв.</w:t>
      </w:r>
      <w:r w:rsidRPr="007404FA">
        <w:rPr>
          <w:rFonts w:ascii="Times New Roman" w:hAnsi="Times New Roman" w:cs="Times New Roman"/>
          <w:sz w:val="24"/>
          <w:szCs w:val="24"/>
        </w:rPr>
        <w:t xml:space="preserve"> (204</w:t>
      </w:r>
      <w:r w:rsidR="002B2E4F" w:rsidRPr="007404FA">
        <w:rPr>
          <w:rFonts w:ascii="Times New Roman" w:hAnsi="Times New Roman" w:cs="Times New Roman"/>
          <w:sz w:val="24"/>
          <w:szCs w:val="24"/>
        </w:rPr>
        <w:t xml:space="preserve"> </w:t>
      </w:r>
      <w:r w:rsidRPr="007404FA">
        <w:rPr>
          <w:rFonts w:ascii="Times New Roman" w:hAnsi="Times New Roman" w:cs="Times New Roman"/>
          <w:sz w:val="24"/>
          <w:szCs w:val="24"/>
        </w:rPr>
        <w:t>300,31 евро). Следва да се отбележи, че всички разходвани средства по проекта са признати за допустими от Европейската комисия като</w:t>
      </w:r>
      <w:r w:rsidR="00157B49">
        <w:rPr>
          <w:rFonts w:ascii="Times New Roman" w:hAnsi="Times New Roman" w:cs="Times New Roman"/>
          <w:sz w:val="24"/>
          <w:szCs w:val="24"/>
        </w:rPr>
        <w:t xml:space="preserve"> </w:t>
      </w:r>
      <w:r w:rsidRPr="007404FA">
        <w:rPr>
          <w:rFonts w:ascii="Times New Roman" w:hAnsi="Times New Roman" w:cs="Times New Roman"/>
          <w:sz w:val="24"/>
          <w:szCs w:val="24"/>
        </w:rPr>
        <w:t>финансираща организация.</w:t>
      </w:r>
    </w:p>
    <w:p w:rsidR="00E42714" w:rsidRPr="007404FA" w:rsidRDefault="00E42714" w:rsidP="00DB6B05">
      <w:pPr>
        <w:tabs>
          <w:tab w:val="left" w:pos="993"/>
        </w:tabs>
        <w:spacing w:line="360" w:lineRule="auto"/>
        <w:ind w:firstLine="709"/>
        <w:jc w:val="both"/>
        <w:rPr>
          <w:rFonts w:ascii="Times New Roman" w:hAnsi="Times New Roman" w:cs="Times New Roman"/>
          <w:sz w:val="24"/>
          <w:szCs w:val="24"/>
        </w:rPr>
      </w:pPr>
    </w:p>
    <w:p w:rsidR="00E42714" w:rsidRPr="007404FA" w:rsidRDefault="00E42714" w:rsidP="00DB6B05">
      <w:pPr>
        <w:tabs>
          <w:tab w:val="left" w:pos="993"/>
        </w:tabs>
        <w:spacing w:line="360" w:lineRule="auto"/>
        <w:ind w:firstLine="709"/>
        <w:jc w:val="both"/>
        <w:rPr>
          <w:rFonts w:ascii="Times New Roman" w:hAnsi="Times New Roman" w:cs="Times New Roman"/>
          <w:b/>
          <w:sz w:val="24"/>
          <w:szCs w:val="24"/>
        </w:rPr>
      </w:pPr>
      <w:r w:rsidRPr="007404FA">
        <w:rPr>
          <w:rFonts w:ascii="Times New Roman" w:hAnsi="Times New Roman" w:cs="Times New Roman"/>
          <w:b/>
          <w:sz w:val="24"/>
          <w:szCs w:val="24"/>
        </w:rPr>
        <w:t>2. Подготовка на проектни предложения</w:t>
      </w:r>
      <w:r w:rsidR="00553661" w:rsidRPr="007404FA">
        <w:rPr>
          <w:rFonts w:ascii="Times New Roman" w:hAnsi="Times New Roman" w:cs="Times New Roman"/>
          <w:b/>
          <w:sz w:val="24"/>
          <w:szCs w:val="24"/>
        </w:rPr>
        <w:t xml:space="preserve"> – </w:t>
      </w:r>
      <w:r w:rsidRPr="007404FA">
        <w:rPr>
          <w:rFonts w:ascii="Times New Roman" w:hAnsi="Times New Roman" w:cs="Times New Roman"/>
          <w:b/>
          <w:sz w:val="24"/>
          <w:szCs w:val="24"/>
        </w:rPr>
        <w:t>програма „Еразъм+“, рамковата програма „Хоризонт Европа“ и Финансовия механизъм на</w:t>
      </w:r>
      <w:r w:rsidR="00157B49">
        <w:rPr>
          <w:rFonts w:ascii="Times New Roman" w:hAnsi="Times New Roman" w:cs="Times New Roman"/>
          <w:b/>
          <w:sz w:val="24"/>
          <w:szCs w:val="24"/>
        </w:rPr>
        <w:t xml:space="preserve"> </w:t>
      </w:r>
      <w:r w:rsidRPr="007404FA">
        <w:rPr>
          <w:rFonts w:ascii="Times New Roman" w:hAnsi="Times New Roman" w:cs="Times New Roman"/>
          <w:b/>
          <w:sz w:val="24"/>
          <w:szCs w:val="24"/>
        </w:rPr>
        <w:t>Европейското икономическо пространство.</w:t>
      </w:r>
    </w:p>
    <w:p w:rsidR="002F4FF7" w:rsidRPr="007404FA" w:rsidRDefault="00E42714" w:rsidP="00DB6B05">
      <w:pPr>
        <w:tabs>
          <w:tab w:val="left" w:pos="993"/>
        </w:tabs>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През отчетния период са подготвени 3 проектни предложения по различни програми на Европейския съюз и на Финансовия механизъм на Европейското икономическо пространство, чието кандидатстване се осъществява през второто и третото тримесечие на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w:t>
      </w:r>
    </w:p>
    <w:p w:rsidR="00E42714" w:rsidRPr="007404FA" w:rsidRDefault="00E42714" w:rsidP="00DB6B05">
      <w:pPr>
        <w:tabs>
          <w:tab w:val="left" w:pos="993"/>
        </w:tabs>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През април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е подготвено и подадено проектно предложение с наименование „Стимулиране на гражданската култура чрез подобряване разбирането и осведомеността за неприкосновеността на личния </w:t>
      </w:r>
      <w:r w:rsidR="001D16FF" w:rsidRPr="007404FA">
        <w:rPr>
          <w:rFonts w:ascii="Times New Roman" w:hAnsi="Times New Roman" w:cs="Times New Roman"/>
          <w:sz w:val="24"/>
          <w:szCs w:val="24"/>
        </w:rPr>
        <w:t>живот и данните в цифровия свят</w:t>
      </w:r>
      <w:r w:rsidRPr="007404FA">
        <w:rPr>
          <w:rFonts w:ascii="Times New Roman" w:hAnsi="Times New Roman" w:cs="Times New Roman"/>
          <w:sz w:val="24"/>
          <w:szCs w:val="24"/>
        </w:rPr>
        <w:t xml:space="preserve">“ по Схемата за финансиране на малки инициативи на Финансовия механизъм на Европейското икономическо пространство. Специфичните заложени цели са създаването на условия за проактивно действие срещу дезинформацията посредством гражданско образование, целенасочена подкрепа на способността на гражданите да се ангажират критично с </w:t>
      </w:r>
      <w:r w:rsidRPr="007404FA">
        <w:rPr>
          <w:rFonts w:ascii="Times New Roman" w:hAnsi="Times New Roman" w:cs="Times New Roman"/>
          <w:sz w:val="24"/>
          <w:szCs w:val="24"/>
        </w:rPr>
        <w:lastRenderedPageBreak/>
        <w:t>новинарското съдържание и да откриват дезинформация онлайн, както и дейности за популяризиране и прилагане на вече съществуващи инструменти, разработени на европейско ниво.</w:t>
      </w:r>
    </w:p>
    <w:p w:rsidR="00E42714" w:rsidRPr="007404FA" w:rsidRDefault="00E42714" w:rsidP="00DB6B05">
      <w:pPr>
        <w:tabs>
          <w:tab w:val="left" w:pos="993"/>
        </w:tabs>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През същия месец</w:t>
      </w:r>
      <w:r w:rsidR="00157B49">
        <w:rPr>
          <w:rFonts w:ascii="Times New Roman" w:hAnsi="Times New Roman" w:cs="Times New Roman"/>
          <w:sz w:val="24"/>
          <w:szCs w:val="24"/>
        </w:rPr>
        <w:t xml:space="preserve"> </w:t>
      </w:r>
      <w:r w:rsidRPr="007404FA">
        <w:rPr>
          <w:rFonts w:ascii="Times New Roman" w:hAnsi="Times New Roman" w:cs="Times New Roman"/>
          <w:sz w:val="24"/>
          <w:szCs w:val="24"/>
        </w:rPr>
        <w:t>е подадено проектно предложение по рамкова програма на ЕС за научни изследвания и иновации „Х</w:t>
      </w:r>
      <w:r w:rsidR="00972439">
        <w:rPr>
          <w:rFonts w:ascii="Times New Roman" w:hAnsi="Times New Roman" w:cs="Times New Roman"/>
          <w:sz w:val="24"/>
          <w:szCs w:val="24"/>
        </w:rPr>
        <w:t>оризонт Европа“ с наименование LIBERTE –</w:t>
      </w:r>
      <w:r w:rsidRPr="007404FA">
        <w:t xml:space="preserve"> </w:t>
      </w:r>
      <w:r w:rsidRPr="007404FA">
        <w:rPr>
          <w:rFonts w:ascii="Times New Roman" w:hAnsi="Times New Roman" w:cs="Times New Roman"/>
          <w:sz w:val="24"/>
          <w:szCs w:val="24"/>
        </w:rPr>
        <w:t>Are social media aLgorIthms BrEaching fR</w:t>
      </w:r>
      <w:r w:rsidR="00972439">
        <w:rPr>
          <w:rFonts w:ascii="Times New Roman" w:hAnsi="Times New Roman" w:cs="Times New Roman"/>
          <w:sz w:val="24"/>
          <w:szCs w:val="24"/>
        </w:rPr>
        <w:t>eedom of Thought and Expression</w:t>
      </w:r>
      <w:r w:rsidRPr="007404FA">
        <w:rPr>
          <w:rFonts w:ascii="Times New Roman" w:hAnsi="Times New Roman" w:cs="Times New Roman"/>
          <w:sz w:val="24"/>
          <w:szCs w:val="24"/>
        </w:rPr>
        <w:t xml:space="preserve">. Сред основните цели на проектното предложение са събирането на доказателства, преглед и анализ на заплахите за свободата на изразяване, произтичащи от използването на AI и големи данни в онлайн платформи в сътрудничеството на гражданското общество, органите за защита на данните и експерти по AI в академичните среди и индустрията. Водещ партньор е Vrije Universiteit Brussel, като проектното предложение се стреми да обедини усилията на академични организации, бизнеса и публични органи от Белгия, Франция, Полша, България, Италия </w:t>
      </w:r>
      <w:r w:rsidRPr="007404FA">
        <w:rPr>
          <w:rFonts w:ascii="Times New Roman" w:hAnsi="Times New Roman" w:cs="Times New Roman"/>
          <w:sz w:val="24"/>
          <w:szCs w:val="24"/>
        </w:rPr>
        <w:br/>
        <w:t>и Великобритания.</w:t>
      </w:r>
    </w:p>
    <w:p w:rsidR="00E42714" w:rsidRPr="007404FA" w:rsidRDefault="00E42714" w:rsidP="00DB6B05">
      <w:pPr>
        <w:tabs>
          <w:tab w:val="left" w:pos="993"/>
        </w:tabs>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На 15 септември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успешно е подадено проек</w:t>
      </w:r>
      <w:r w:rsidR="00972439">
        <w:rPr>
          <w:rFonts w:ascii="Times New Roman" w:hAnsi="Times New Roman" w:cs="Times New Roman"/>
          <w:sz w:val="24"/>
          <w:szCs w:val="24"/>
        </w:rPr>
        <w:t xml:space="preserve">тно предложение с наименование </w:t>
      </w:r>
      <w:r w:rsidRPr="007404FA">
        <w:rPr>
          <w:rFonts w:ascii="Times New Roman" w:hAnsi="Times New Roman" w:cs="Times New Roman"/>
          <w:sz w:val="24"/>
          <w:szCs w:val="24"/>
        </w:rPr>
        <w:t>VR-eOpenSpace</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Open Space Virtual</w:t>
      </w:r>
      <w:r w:rsidR="00972439">
        <w:rPr>
          <w:rFonts w:ascii="Times New Roman" w:hAnsi="Times New Roman" w:cs="Times New Roman"/>
          <w:sz w:val="24"/>
          <w:szCs w:val="24"/>
        </w:rPr>
        <w:t xml:space="preserve"> Reality Learning and Education</w:t>
      </w:r>
      <w:r w:rsidRPr="007404FA">
        <w:rPr>
          <w:rFonts w:ascii="Times New Roman" w:hAnsi="Times New Roman" w:cs="Times New Roman"/>
          <w:sz w:val="24"/>
          <w:szCs w:val="24"/>
        </w:rPr>
        <w:t xml:space="preserve"> по програма „Еразъм+“. Основната цел на проекта е да насърчи младото поколе</w:t>
      </w:r>
      <w:r w:rsidR="00972439">
        <w:rPr>
          <w:rFonts w:ascii="Times New Roman" w:hAnsi="Times New Roman" w:cs="Times New Roman"/>
          <w:sz w:val="24"/>
          <w:szCs w:val="24"/>
        </w:rPr>
        <w:t>ние към запознаване и ефективн</w:t>
      </w:r>
      <w:r w:rsidRPr="007404FA">
        <w:rPr>
          <w:rFonts w:ascii="Times New Roman" w:hAnsi="Times New Roman" w:cs="Times New Roman"/>
          <w:sz w:val="24"/>
          <w:szCs w:val="24"/>
        </w:rPr>
        <w:t xml:space="preserve">о прилагане на ОРЗД, за да подсигури </w:t>
      </w:r>
      <w:r w:rsidR="001D16FF" w:rsidRPr="007404FA">
        <w:rPr>
          <w:rFonts w:ascii="Times New Roman" w:hAnsi="Times New Roman" w:cs="Times New Roman"/>
          <w:sz w:val="24"/>
          <w:szCs w:val="24"/>
        </w:rPr>
        <w:t>неговото</w:t>
      </w:r>
      <w:r w:rsidRPr="007404FA">
        <w:rPr>
          <w:rFonts w:ascii="Times New Roman" w:hAnsi="Times New Roman" w:cs="Times New Roman"/>
          <w:sz w:val="24"/>
          <w:szCs w:val="24"/>
        </w:rPr>
        <w:t xml:space="preserve"> участие на пазара на труда. Проектното предложение прилага иновативен подход за обучение, базиран на практически опит.</w:t>
      </w:r>
      <w:r w:rsidR="00157B49">
        <w:rPr>
          <w:rFonts w:ascii="Times New Roman" w:hAnsi="Times New Roman" w:cs="Times New Roman"/>
          <w:sz w:val="24"/>
          <w:szCs w:val="24"/>
        </w:rPr>
        <w:t xml:space="preserve"> </w:t>
      </w:r>
      <w:r w:rsidRPr="007404FA">
        <w:rPr>
          <w:rFonts w:ascii="Times New Roman" w:hAnsi="Times New Roman" w:cs="Times New Roman"/>
          <w:sz w:val="24"/>
          <w:szCs w:val="24"/>
        </w:rPr>
        <w:t>В рамките на проектната инициатива ще бъдат разработени „чатбот“ и инструмент за „виртуална реалност“, чрез които разпоредбите в областт</w:t>
      </w:r>
      <w:r w:rsidR="00972439">
        <w:rPr>
          <w:rFonts w:ascii="Times New Roman" w:hAnsi="Times New Roman" w:cs="Times New Roman"/>
          <w:sz w:val="24"/>
          <w:szCs w:val="24"/>
        </w:rPr>
        <w:t>а на защитата на личните данни</w:t>
      </w:r>
      <w:r w:rsidRPr="007404FA">
        <w:rPr>
          <w:rFonts w:ascii="Times New Roman" w:hAnsi="Times New Roman" w:cs="Times New Roman"/>
          <w:sz w:val="24"/>
          <w:szCs w:val="24"/>
        </w:rPr>
        <w:t xml:space="preserve"> ще бъдат поднесени по лесен и разбираем начин</w:t>
      </w:r>
      <w:r w:rsidR="001D16FF" w:rsidRPr="007404FA">
        <w:rPr>
          <w:rFonts w:ascii="Times New Roman" w:hAnsi="Times New Roman" w:cs="Times New Roman"/>
          <w:sz w:val="24"/>
          <w:szCs w:val="24"/>
        </w:rPr>
        <w:t>,</w:t>
      </w:r>
      <w:r w:rsidRPr="007404FA">
        <w:rPr>
          <w:rFonts w:ascii="Times New Roman" w:hAnsi="Times New Roman" w:cs="Times New Roman"/>
          <w:sz w:val="24"/>
          <w:szCs w:val="24"/>
        </w:rPr>
        <w:t xml:space="preserve"> базиран на новите технологии в областта на образованието. Координатор на проектното предложение е КЗЛД, а партньорските организации са университети, неправителствени организации, надзорни органи по защита на данните от България, Хърватия, Сърбия, Гърция, Италия, Молдова</w:t>
      </w:r>
      <w:r w:rsidR="00C004BD">
        <w:rPr>
          <w:rFonts w:ascii="Times New Roman" w:hAnsi="Times New Roman" w:cs="Times New Roman"/>
          <w:sz w:val="24"/>
          <w:szCs w:val="24"/>
        </w:rPr>
        <w:t xml:space="preserve"> </w:t>
      </w:r>
      <w:r w:rsidRPr="007404FA">
        <w:rPr>
          <w:rFonts w:ascii="Times New Roman" w:hAnsi="Times New Roman" w:cs="Times New Roman"/>
          <w:sz w:val="24"/>
          <w:szCs w:val="24"/>
        </w:rPr>
        <w:t>и Румъния.</w:t>
      </w:r>
    </w:p>
    <w:p w:rsidR="00EF6785" w:rsidRPr="007404FA" w:rsidRDefault="00EF6785" w:rsidP="00DB6B05">
      <w:pPr>
        <w:spacing w:line="259" w:lineRule="auto"/>
        <w:rPr>
          <w:rFonts w:ascii="Times New Roman" w:hAnsi="Times New Roman" w:cs="Times New Roman"/>
          <w:sz w:val="24"/>
          <w:szCs w:val="24"/>
        </w:rPr>
      </w:pPr>
      <w:r w:rsidRPr="007404FA">
        <w:rPr>
          <w:rFonts w:ascii="Times New Roman" w:hAnsi="Times New Roman" w:cs="Times New Roman"/>
          <w:sz w:val="24"/>
          <w:szCs w:val="24"/>
        </w:rPr>
        <w:br w:type="page"/>
      </w:r>
    </w:p>
    <w:p w:rsidR="00E42714" w:rsidRPr="00F1586A" w:rsidRDefault="00E42714" w:rsidP="00F1586A">
      <w:pPr>
        <w:pStyle w:val="Heading1"/>
        <w:spacing w:before="0" w:line="360" w:lineRule="auto"/>
        <w:ind w:firstLine="709"/>
        <w:jc w:val="both"/>
        <w:rPr>
          <w:rFonts w:ascii="Times New Roman" w:eastAsia="Calibri" w:hAnsi="Times New Roman" w:cs="Times New Roman"/>
          <w:sz w:val="24"/>
          <w:szCs w:val="24"/>
        </w:rPr>
      </w:pPr>
      <w:bookmarkStart w:id="8" w:name="_Toc130915385"/>
      <w:r w:rsidRPr="00F1586A">
        <w:rPr>
          <w:rFonts w:ascii="Times New Roman" w:eastAsia="Calibri" w:hAnsi="Times New Roman" w:cs="Times New Roman"/>
          <w:sz w:val="24"/>
          <w:szCs w:val="24"/>
        </w:rPr>
        <w:lastRenderedPageBreak/>
        <w:t>IX. КОМИСИЯ ЗА ЗАЩИТА НА ЛИЧНИТЕ ДАННИ</w:t>
      </w:r>
      <w:r w:rsidR="00553661" w:rsidRPr="00F1586A">
        <w:rPr>
          <w:rFonts w:ascii="Times New Roman" w:eastAsia="Calibri" w:hAnsi="Times New Roman" w:cs="Times New Roman"/>
          <w:sz w:val="24"/>
          <w:szCs w:val="24"/>
        </w:rPr>
        <w:t xml:space="preserve"> – </w:t>
      </w:r>
      <w:r w:rsidRPr="00F1586A">
        <w:rPr>
          <w:rFonts w:ascii="Times New Roman" w:eastAsia="Calibri" w:hAnsi="Times New Roman" w:cs="Times New Roman"/>
          <w:sz w:val="24"/>
          <w:szCs w:val="24"/>
        </w:rPr>
        <w:t>НАБЛЮДАВАЩ ОРГАН ОТНОСНО СИГУРНОСТТА НА ДАННИТЕ СЪГЛАСНО З</w:t>
      </w:r>
      <w:r w:rsidR="00E67135" w:rsidRPr="00F1586A">
        <w:rPr>
          <w:rFonts w:ascii="Times New Roman" w:eastAsia="Calibri" w:hAnsi="Times New Roman" w:cs="Times New Roman"/>
          <w:sz w:val="24"/>
          <w:szCs w:val="24"/>
        </w:rPr>
        <w:t>АКОНА ЗА ЕЛЕКТРОННИТЕ СЪОБЩЕНИЯ</w:t>
      </w:r>
      <w:bookmarkEnd w:id="8"/>
    </w:p>
    <w:p w:rsidR="00E42714" w:rsidRPr="007404FA" w:rsidRDefault="00E42714" w:rsidP="00DB6B05">
      <w:pPr>
        <w:spacing w:line="360" w:lineRule="auto"/>
        <w:ind w:firstLine="709"/>
        <w:jc w:val="both"/>
        <w:rPr>
          <w:rFonts w:ascii="Times New Roman" w:hAnsi="Times New Roman" w:cs="Times New Roman"/>
          <w:sz w:val="24"/>
          <w:szCs w:val="24"/>
        </w:rPr>
      </w:pPr>
    </w:p>
    <w:p w:rsidR="00D55BC5" w:rsidRPr="007404FA" w:rsidRDefault="00D55BC5" w:rsidP="00DB6B05">
      <w:pPr>
        <w:numPr>
          <w:ilvl w:val="0"/>
          <w:numId w:val="2"/>
        </w:numPr>
        <w:shd w:val="clear" w:color="auto" w:fill="FFFFFF"/>
        <w:spacing w:line="360" w:lineRule="auto"/>
        <w:ind w:left="0" w:firstLine="709"/>
        <w:contextualSpacing/>
        <w:jc w:val="both"/>
        <w:textAlignment w:val="top"/>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Статистика и анализ на исканията за достъп до трафични данни.</w:t>
      </w:r>
    </w:p>
    <w:p w:rsidR="00D55BC5" w:rsidRPr="007404FA" w:rsidRDefault="00D55BC5" w:rsidP="00DB6B05">
      <w:pPr>
        <w:tabs>
          <w:tab w:val="left" w:pos="993"/>
          <w:tab w:val="left" w:pos="1134"/>
        </w:tabs>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 xml:space="preserve">КЗЛД е </w:t>
      </w:r>
      <w:r w:rsidR="00AD04EE" w:rsidRPr="007404FA">
        <w:rPr>
          <w:rFonts w:ascii="Times New Roman" w:eastAsia="Calibri" w:hAnsi="Times New Roman" w:cs="Times New Roman"/>
          <w:sz w:val="24"/>
          <w:szCs w:val="24"/>
        </w:rPr>
        <w:t>наблюдаващ</w:t>
      </w:r>
      <w:r w:rsidRPr="007404FA">
        <w:rPr>
          <w:rFonts w:ascii="Times New Roman" w:eastAsia="Calibri" w:hAnsi="Times New Roman" w:cs="Times New Roman"/>
          <w:sz w:val="24"/>
          <w:szCs w:val="24"/>
        </w:rPr>
        <w:t xml:space="preserve"> орган </w:t>
      </w:r>
      <w:r w:rsidR="00AD04EE" w:rsidRPr="007404FA">
        <w:rPr>
          <w:rFonts w:ascii="Times New Roman" w:eastAsia="Calibri" w:hAnsi="Times New Roman" w:cs="Times New Roman"/>
          <w:sz w:val="24"/>
          <w:szCs w:val="24"/>
        </w:rPr>
        <w:t>относно сигурността на трафичните данни съгласно</w:t>
      </w:r>
      <w:r w:rsidR="00157B49">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Закона за електронните съобщения (ЗЕС). В изпълнение на разпоредбите на</w:t>
      </w:r>
      <w:r w:rsidR="00F06583" w:rsidRPr="007404FA">
        <w:rPr>
          <w:rFonts w:ascii="Times New Roman" w:eastAsia="Calibri" w:hAnsi="Times New Roman" w:cs="Times New Roman"/>
          <w:sz w:val="24"/>
          <w:szCs w:val="24"/>
        </w:rPr>
        <w:t xml:space="preserve"> чл. </w:t>
      </w:r>
      <w:r w:rsidRPr="007404FA">
        <w:rPr>
          <w:rFonts w:ascii="Times New Roman" w:eastAsia="Calibri" w:hAnsi="Times New Roman" w:cs="Times New Roman"/>
          <w:sz w:val="24"/>
          <w:szCs w:val="24"/>
        </w:rPr>
        <w:t>261а,</w:t>
      </w:r>
      <w:r w:rsidR="00F06583" w:rsidRPr="007404FA">
        <w:rPr>
          <w:rFonts w:ascii="Times New Roman" w:eastAsia="Calibri" w:hAnsi="Times New Roman" w:cs="Times New Roman"/>
          <w:sz w:val="24"/>
          <w:szCs w:val="24"/>
        </w:rPr>
        <w:t xml:space="preserve"> ал. </w:t>
      </w:r>
      <w:r w:rsidRPr="007404FA">
        <w:rPr>
          <w:rFonts w:ascii="Times New Roman" w:eastAsia="Calibri" w:hAnsi="Times New Roman" w:cs="Times New Roman"/>
          <w:sz w:val="24"/>
          <w:szCs w:val="24"/>
        </w:rPr>
        <w:t xml:space="preserve">5 от ЗЕС КЗЛД ежегодно до 31 май предоставя на Народното събрание и на Европейската комисия обобщена статистическа информация относно случаите на предоставяне на трафични данни на компетентните органи за нуждите на националната сигурност и за предотвратяване, разкриване и разследване на тежки престъпления. Тя се изготвя въз основа на постъпилите данни за предходната година от предприятията, предоставящи обществени електронни съобщителни мрежи и/или услуги, относно: </w:t>
      </w:r>
    </w:p>
    <w:p w:rsidR="00D55BC5" w:rsidRPr="007404FA" w:rsidRDefault="00D55BC5" w:rsidP="00DB6B05">
      <w:pPr>
        <w:numPr>
          <w:ilvl w:val="0"/>
          <w:numId w:val="31"/>
        </w:numPr>
        <w:suppressAutoHyphens/>
        <w:autoSpaceDN w:val="0"/>
        <w:spacing w:line="360" w:lineRule="auto"/>
        <w:ind w:left="0" w:firstLine="709"/>
        <w:contextualSpacing/>
        <w:jc w:val="both"/>
        <w:textAlignment w:val="baseline"/>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случаите, при които са били предоставени данни на компетентните органи;</w:t>
      </w:r>
    </w:p>
    <w:p w:rsidR="00D55BC5" w:rsidRPr="007404FA" w:rsidRDefault="00D55BC5" w:rsidP="00DB6B05">
      <w:pPr>
        <w:numPr>
          <w:ilvl w:val="0"/>
          <w:numId w:val="31"/>
        </w:numPr>
        <w:suppressAutoHyphens/>
        <w:autoSpaceDN w:val="0"/>
        <w:spacing w:line="360" w:lineRule="auto"/>
        <w:ind w:left="0" w:firstLine="709"/>
        <w:contextualSpacing/>
        <w:jc w:val="both"/>
        <w:textAlignment w:val="baseline"/>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времето, изтекло от началната дата на съхранението до датата, на която компетентните органи са поискали предаването на данните;</w:t>
      </w:r>
    </w:p>
    <w:p w:rsidR="00D55BC5" w:rsidRPr="007404FA" w:rsidRDefault="00D55BC5" w:rsidP="00DB6B05">
      <w:pPr>
        <w:numPr>
          <w:ilvl w:val="0"/>
          <w:numId w:val="31"/>
        </w:numPr>
        <w:suppressAutoHyphens/>
        <w:autoSpaceDN w:val="0"/>
        <w:spacing w:line="360" w:lineRule="auto"/>
        <w:ind w:left="0" w:firstLine="709"/>
        <w:contextualSpacing/>
        <w:jc w:val="both"/>
        <w:textAlignment w:val="baseline"/>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 xml:space="preserve">случаите, при които не е могло да се отговори на искането за данни. </w:t>
      </w:r>
    </w:p>
    <w:p w:rsidR="00D55BC5" w:rsidRPr="007404FA" w:rsidRDefault="00D55BC5" w:rsidP="00DB6B05">
      <w:pPr>
        <w:tabs>
          <w:tab w:val="left" w:pos="993"/>
        </w:tabs>
        <w:spacing w:line="360" w:lineRule="auto"/>
        <w:ind w:firstLine="709"/>
        <w:jc w:val="both"/>
        <w:rPr>
          <w:rFonts w:ascii="Times New Roman" w:eastAsia="Calibri" w:hAnsi="Times New Roman"/>
          <w:sz w:val="24"/>
          <w:szCs w:val="24"/>
        </w:rPr>
      </w:pPr>
      <w:r w:rsidRPr="007404FA">
        <w:rPr>
          <w:rFonts w:ascii="Times New Roman" w:eastAsia="Calibri" w:hAnsi="Times New Roman"/>
          <w:sz w:val="24"/>
          <w:szCs w:val="24"/>
        </w:rPr>
        <w:t>На база предоставената през 2021</w:t>
      </w:r>
      <w:r w:rsidR="00F06583" w:rsidRPr="007404FA">
        <w:rPr>
          <w:rFonts w:ascii="Times New Roman" w:eastAsia="Calibri" w:hAnsi="Times New Roman"/>
          <w:sz w:val="24"/>
          <w:szCs w:val="24"/>
        </w:rPr>
        <w:t> г.</w:t>
      </w:r>
      <w:r w:rsidRPr="007404FA">
        <w:rPr>
          <w:rFonts w:ascii="Times New Roman" w:eastAsia="Calibri" w:hAnsi="Times New Roman"/>
          <w:sz w:val="24"/>
          <w:szCs w:val="24"/>
        </w:rPr>
        <w:t xml:space="preserve"> информация от 74 предприятия, предоставящи обществени електронни съобщителни услуги, през 2022</w:t>
      </w:r>
      <w:r w:rsidR="00F06583" w:rsidRPr="007404FA">
        <w:rPr>
          <w:rFonts w:ascii="Times New Roman" w:eastAsia="Calibri" w:hAnsi="Times New Roman"/>
          <w:sz w:val="24"/>
          <w:szCs w:val="24"/>
        </w:rPr>
        <w:t> г.</w:t>
      </w:r>
      <w:r w:rsidRPr="007404FA">
        <w:rPr>
          <w:rFonts w:ascii="Times New Roman" w:eastAsia="Calibri" w:hAnsi="Times New Roman"/>
          <w:sz w:val="24"/>
          <w:szCs w:val="24"/>
        </w:rPr>
        <w:t xml:space="preserve"> КЗЛД е предоставила следните статистически данни на Народното събрание и Европейската комисия:</w:t>
      </w:r>
    </w:p>
    <w:p w:rsidR="00D55BC5" w:rsidRPr="007404FA" w:rsidRDefault="00972439" w:rsidP="00DB6B05">
      <w:pPr>
        <w:numPr>
          <w:ilvl w:val="0"/>
          <w:numId w:val="32"/>
        </w:numPr>
        <w:suppressAutoHyphens/>
        <w:autoSpaceDN w:val="0"/>
        <w:spacing w:line="360" w:lineRule="auto"/>
        <w:ind w:left="0" w:firstLine="709"/>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D55BC5" w:rsidRPr="007404FA">
        <w:rPr>
          <w:rFonts w:ascii="Times New Roman" w:eastAsia="Times New Roman" w:hAnsi="Times New Roman" w:cs="Times New Roman"/>
          <w:sz w:val="24"/>
          <w:szCs w:val="24"/>
        </w:rPr>
        <w:t xml:space="preserve">бщият брой на исканията за достъп до трафични данни е </w:t>
      </w:r>
      <w:r w:rsidR="00D55BC5" w:rsidRPr="007404FA">
        <w:rPr>
          <w:rFonts w:ascii="Times New Roman" w:eastAsia="Calibri" w:hAnsi="Times New Roman" w:cs="Times New Roman"/>
          <w:b/>
          <w:sz w:val="24"/>
          <w:szCs w:val="24"/>
        </w:rPr>
        <w:t>33</w:t>
      </w:r>
      <w:r>
        <w:rPr>
          <w:rFonts w:ascii="Times New Roman" w:eastAsia="Calibri" w:hAnsi="Times New Roman" w:cs="Times New Roman"/>
          <w:b/>
          <w:sz w:val="24"/>
          <w:szCs w:val="24"/>
        </w:rPr>
        <w:t> </w:t>
      </w:r>
      <w:r w:rsidR="00D55BC5" w:rsidRPr="007404FA">
        <w:rPr>
          <w:rFonts w:ascii="Times New Roman" w:eastAsia="Calibri" w:hAnsi="Times New Roman" w:cs="Times New Roman"/>
          <w:b/>
          <w:sz w:val="24"/>
          <w:szCs w:val="24"/>
        </w:rPr>
        <w:t>540</w:t>
      </w:r>
      <w:r>
        <w:rPr>
          <w:rFonts w:ascii="Times New Roman" w:eastAsia="Times New Roman" w:hAnsi="Times New Roman" w:cs="Times New Roman"/>
          <w:sz w:val="24"/>
          <w:szCs w:val="24"/>
        </w:rPr>
        <w:t>;</w:t>
      </w:r>
    </w:p>
    <w:p w:rsidR="00D55BC5" w:rsidRPr="007404FA" w:rsidRDefault="008478D7" w:rsidP="00DB6B05">
      <w:pPr>
        <w:numPr>
          <w:ilvl w:val="0"/>
          <w:numId w:val="32"/>
        </w:numPr>
        <w:tabs>
          <w:tab w:val="left" w:pos="567"/>
          <w:tab w:val="left" w:pos="993"/>
        </w:tabs>
        <w:suppressAutoHyphens/>
        <w:autoSpaceDN w:val="0"/>
        <w:spacing w:line="360" w:lineRule="auto"/>
        <w:ind w:left="0" w:firstLine="709"/>
        <w:contextualSpacing/>
        <w:jc w:val="both"/>
        <w:textAlignment w:val="baseline"/>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ab/>
      </w:r>
      <w:r w:rsidR="00972439">
        <w:rPr>
          <w:rFonts w:ascii="Times New Roman" w:eastAsia="Times New Roman" w:hAnsi="Times New Roman" w:cs="Times New Roman"/>
          <w:sz w:val="24"/>
          <w:szCs w:val="24"/>
        </w:rPr>
        <w:t>с</w:t>
      </w:r>
      <w:r w:rsidR="00D55BC5" w:rsidRPr="007404FA">
        <w:rPr>
          <w:rFonts w:ascii="Times New Roman" w:eastAsia="Times New Roman" w:hAnsi="Times New Roman" w:cs="Times New Roman"/>
          <w:sz w:val="24"/>
          <w:szCs w:val="24"/>
        </w:rPr>
        <w:t>лучаите, при които са били предоставени данни на компетентните органи по</w:t>
      </w:r>
      <w:r w:rsidR="00F06583" w:rsidRPr="007404FA">
        <w:rPr>
          <w:rFonts w:ascii="Times New Roman" w:eastAsia="Times New Roman" w:hAnsi="Times New Roman" w:cs="Times New Roman"/>
          <w:sz w:val="24"/>
          <w:szCs w:val="24"/>
        </w:rPr>
        <w:t xml:space="preserve"> чл. </w:t>
      </w:r>
      <w:r w:rsidR="00D55BC5" w:rsidRPr="007404FA">
        <w:rPr>
          <w:rFonts w:ascii="Times New Roman" w:eastAsia="Times New Roman" w:hAnsi="Times New Roman" w:cs="Times New Roman"/>
          <w:sz w:val="24"/>
          <w:szCs w:val="24"/>
        </w:rPr>
        <w:t>251 в,</w:t>
      </w:r>
      <w:r w:rsidR="00F06583" w:rsidRPr="007404FA">
        <w:rPr>
          <w:rFonts w:ascii="Times New Roman" w:eastAsia="Times New Roman" w:hAnsi="Times New Roman" w:cs="Times New Roman"/>
          <w:sz w:val="24"/>
          <w:szCs w:val="24"/>
        </w:rPr>
        <w:t xml:space="preserve"> ал. </w:t>
      </w:r>
      <w:r w:rsidR="00D55BC5" w:rsidRPr="007404FA">
        <w:rPr>
          <w:rFonts w:ascii="Times New Roman" w:eastAsia="Times New Roman" w:hAnsi="Times New Roman" w:cs="Times New Roman"/>
          <w:sz w:val="24"/>
          <w:szCs w:val="24"/>
        </w:rPr>
        <w:t>1 и</w:t>
      </w:r>
      <w:r w:rsidR="00F06583" w:rsidRPr="007404FA">
        <w:rPr>
          <w:rFonts w:ascii="Times New Roman" w:eastAsia="Times New Roman" w:hAnsi="Times New Roman" w:cs="Times New Roman"/>
          <w:sz w:val="24"/>
          <w:szCs w:val="24"/>
        </w:rPr>
        <w:t xml:space="preserve"> ал. </w:t>
      </w:r>
      <w:r w:rsidR="00D55BC5" w:rsidRPr="007404FA">
        <w:rPr>
          <w:rFonts w:ascii="Times New Roman" w:eastAsia="Times New Roman" w:hAnsi="Times New Roman" w:cs="Times New Roman"/>
          <w:sz w:val="24"/>
          <w:szCs w:val="24"/>
        </w:rPr>
        <w:t>2 и</w:t>
      </w:r>
      <w:r w:rsidR="00F06583" w:rsidRPr="007404FA">
        <w:rPr>
          <w:rFonts w:ascii="Times New Roman" w:eastAsia="Times New Roman" w:hAnsi="Times New Roman" w:cs="Times New Roman"/>
          <w:sz w:val="24"/>
          <w:szCs w:val="24"/>
        </w:rPr>
        <w:t xml:space="preserve"> чл. </w:t>
      </w:r>
      <w:r w:rsidR="00D55BC5" w:rsidRPr="007404FA">
        <w:rPr>
          <w:rFonts w:ascii="Times New Roman" w:eastAsia="Times New Roman" w:hAnsi="Times New Roman" w:cs="Times New Roman"/>
          <w:sz w:val="24"/>
          <w:szCs w:val="24"/>
        </w:rPr>
        <w:t>251 г,</w:t>
      </w:r>
      <w:r w:rsidR="00F06583" w:rsidRPr="007404FA">
        <w:rPr>
          <w:rFonts w:ascii="Times New Roman" w:eastAsia="Times New Roman" w:hAnsi="Times New Roman" w:cs="Times New Roman"/>
          <w:sz w:val="24"/>
          <w:szCs w:val="24"/>
        </w:rPr>
        <w:t xml:space="preserve"> ал. </w:t>
      </w:r>
      <w:r w:rsidR="00D55BC5" w:rsidRPr="007404FA">
        <w:rPr>
          <w:rFonts w:ascii="Times New Roman" w:eastAsia="Times New Roman" w:hAnsi="Times New Roman" w:cs="Times New Roman"/>
          <w:sz w:val="24"/>
          <w:szCs w:val="24"/>
        </w:rPr>
        <w:t>8</w:t>
      </w:r>
      <w:r w:rsidRPr="007404FA">
        <w:rPr>
          <w:rFonts w:ascii="Times New Roman" w:eastAsia="Times New Roman" w:hAnsi="Times New Roman" w:cs="Times New Roman"/>
          <w:sz w:val="24"/>
          <w:szCs w:val="24"/>
        </w:rPr>
        <w:t>,</w:t>
      </w:r>
      <w:r w:rsidR="00D55BC5" w:rsidRPr="007404FA">
        <w:rPr>
          <w:rFonts w:ascii="Times New Roman" w:eastAsia="Times New Roman" w:hAnsi="Times New Roman" w:cs="Times New Roman"/>
          <w:sz w:val="24"/>
          <w:szCs w:val="24"/>
        </w:rPr>
        <w:t xml:space="preserve"> са общо </w:t>
      </w:r>
      <w:r w:rsidR="00D55BC5" w:rsidRPr="007404FA">
        <w:rPr>
          <w:rFonts w:ascii="Times New Roman" w:eastAsia="Times New Roman" w:hAnsi="Times New Roman" w:cs="Times New Roman"/>
          <w:b/>
          <w:sz w:val="24"/>
          <w:szCs w:val="24"/>
        </w:rPr>
        <w:t>33</w:t>
      </w:r>
      <w:r w:rsidR="00972439">
        <w:rPr>
          <w:rFonts w:ascii="Times New Roman" w:eastAsia="Times New Roman" w:hAnsi="Times New Roman" w:cs="Times New Roman"/>
          <w:b/>
          <w:sz w:val="24"/>
          <w:szCs w:val="24"/>
        </w:rPr>
        <w:t> </w:t>
      </w:r>
      <w:r w:rsidR="00D55BC5" w:rsidRPr="007404FA">
        <w:rPr>
          <w:rFonts w:ascii="Times New Roman" w:eastAsia="Times New Roman" w:hAnsi="Times New Roman" w:cs="Times New Roman"/>
          <w:b/>
          <w:sz w:val="24"/>
          <w:szCs w:val="24"/>
        </w:rPr>
        <w:t>252</w:t>
      </w:r>
      <w:r w:rsidR="00972439">
        <w:rPr>
          <w:rFonts w:ascii="Times New Roman" w:eastAsia="Times New Roman" w:hAnsi="Times New Roman" w:cs="Times New Roman"/>
          <w:sz w:val="24"/>
          <w:szCs w:val="24"/>
        </w:rPr>
        <w:t>;</w:t>
      </w:r>
      <w:r w:rsidR="00D55BC5" w:rsidRPr="007404FA">
        <w:rPr>
          <w:rFonts w:ascii="Times New Roman" w:eastAsia="Times New Roman" w:hAnsi="Times New Roman" w:cs="Times New Roman"/>
          <w:sz w:val="24"/>
          <w:szCs w:val="24"/>
        </w:rPr>
        <w:t xml:space="preserve"> </w:t>
      </w:r>
    </w:p>
    <w:p w:rsidR="008478D7" w:rsidRPr="007404FA" w:rsidRDefault="00972439" w:rsidP="00DB6B05">
      <w:pPr>
        <w:numPr>
          <w:ilvl w:val="0"/>
          <w:numId w:val="32"/>
        </w:numPr>
        <w:suppressAutoHyphens/>
        <w:autoSpaceDN w:val="0"/>
        <w:spacing w:line="360" w:lineRule="auto"/>
        <w:ind w:left="0" w:firstLine="709"/>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D55BC5" w:rsidRPr="007404FA">
        <w:rPr>
          <w:rFonts w:ascii="Times New Roman" w:eastAsia="Times New Roman" w:hAnsi="Times New Roman" w:cs="Times New Roman"/>
          <w:sz w:val="24"/>
          <w:szCs w:val="24"/>
        </w:rPr>
        <w:t xml:space="preserve">ремето, изтекло от началната дата на съхранението до датата, на която компетентните органи са поискали предаването на данните, е основно до 3 (три) месеца </w:t>
      </w:r>
      <w:r w:rsidR="00D55BC5" w:rsidRPr="007404FA">
        <w:rPr>
          <w:rFonts w:ascii="Times New Roman" w:eastAsia="Times New Roman" w:hAnsi="Times New Roman" w:cs="Times New Roman"/>
          <w:sz w:val="24"/>
          <w:szCs w:val="24"/>
        </w:rPr>
        <w:sym w:font="Symbol" w:char="F02D"/>
      </w:r>
      <w:r w:rsidR="00D55BC5" w:rsidRPr="007404FA">
        <w:rPr>
          <w:rFonts w:ascii="Times New Roman" w:eastAsia="Times New Roman" w:hAnsi="Times New Roman" w:cs="Times New Roman"/>
          <w:sz w:val="24"/>
          <w:szCs w:val="24"/>
        </w:rPr>
        <w:t xml:space="preserve"> </w:t>
      </w:r>
      <w:r w:rsidR="0093583F" w:rsidRPr="007404FA">
        <w:rPr>
          <w:rFonts w:ascii="Times New Roman" w:eastAsia="Times New Roman" w:hAnsi="Times New Roman" w:cs="Times New Roman"/>
          <w:sz w:val="24"/>
          <w:szCs w:val="24"/>
        </w:rPr>
        <w:t xml:space="preserve">в 59,91% от случаите </w:t>
      </w:r>
      <w:r w:rsidR="0093583F" w:rsidRPr="007404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фиг. 13)</w:t>
      </w:r>
      <w:r>
        <w:rPr>
          <w:rFonts w:ascii="Times New Roman" w:eastAsia="Times New Roman" w:hAnsi="Times New Roman" w:cs="Times New Roman"/>
          <w:sz w:val="24"/>
          <w:szCs w:val="24"/>
        </w:rPr>
        <w:t>;</w:t>
      </w:r>
    </w:p>
    <w:p w:rsidR="00D55BC5" w:rsidRPr="007404FA" w:rsidRDefault="00972439" w:rsidP="00DB6B05">
      <w:pPr>
        <w:numPr>
          <w:ilvl w:val="0"/>
          <w:numId w:val="32"/>
        </w:numPr>
        <w:suppressAutoHyphens/>
        <w:autoSpaceDN w:val="0"/>
        <w:spacing w:line="360" w:lineRule="auto"/>
        <w:ind w:left="0" w:firstLine="709"/>
        <w:contextualSpacing/>
        <w:jc w:val="both"/>
        <w:textAlignment w:val="baseline"/>
        <w:rPr>
          <w:rFonts w:ascii="Times New Roman" w:eastAsia="Times New Roman" w:hAnsi="Times New Roman" w:cs="Times New Roman"/>
          <w:sz w:val="24"/>
          <w:szCs w:val="24"/>
        </w:rPr>
      </w:pPr>
      <w:r>
        <w:rPr>
          <w:rFonts w:ascii="Times New Roman" w:eastAsia="Calibri" w:hAnsi="Times New Roman" w:cs="Times New Roman"/>
          <w:sz w:val="24"/>
          <w:szCs w:val="24"/>
        </w:rPr>
        <w:t>с</w:t>
      </w:r>
      <w:r w:rsidR="00D55BC5" w:rsidRPr="007404FA">
        <w:rPr>
          <w:rFonts w:ascii="Times New Roman" w:eastAsia="Calibri" w:hAnsi="Times New Roman" w:cs="Times New Roman"/>
          <w:sz w:val="24"/>
          <w:szCs w:val="24"/>
        </w:rPr>
        <w:t>лучаите, при които не е могло да се отговори на искането за предоставяне на трафични данни, са 288.</w:t>
      </w:r>
    </w:p>
    <w:p w:rsidR="00D55BC5" w:rsidRPr="007404FA" w:rsidRDefault="00D55BC5" w:rsidP="00DB6B05">
      <w:pPr>
        <w:spacing w:line="360" w:lineRule="auto"/>
        <w:ind w:firstLine="709"/>
        <w:jc w:val="both"/>
        <w:rPr>
          <w:rFonts w:ascii="Times New Roman" w:eastAsia="Calibri" w:hAnsi="Times New Roman" w:cs="Times New Roman"/>
          <w:sz w:val="24"/>
          <w:szCs w:val="24"/>
        </w:rPr>
      </w:pPr>
    </w:p>
    <w:p w:rsidR="00D55BC5" w:rsidRPr="007404FA" w:rsidRDefault="00D55BC5" w:rsidP="00DB6B05">
      <w:pPr>
        <w:tabs>
          <w:tab w:val="left" w:pos="3345"/>
        </w:tabs>
        <w:spacing w:line="360" w:lineRule="auto"/>
        <w:ind w:firstLine="709"/>
        <w:jc w:val="both"/>
        <w:rPr>
          <w:rFonts w:ascii="Times New Roman" w:eastAsia="Calibri" w:hAnsi="Times New Roman" w:cs="Times New Roman"/>
          <w:b/>
          <w:sz w:val="24"/>
          <w:szCs w:val="24"/>
        </w:rPr>
      </w:pPr>
    </w:p>
    <w:p w:rsidR="0093583F" w:rsidRPr="007404FA" w:rsidRDefault="0093583F" w:rsidP="00DB6B05">
      <w:pPr>
        <w:tabs>
          <w:tab w:val="left" w:pos="3345"/>
        </w:tabs>
        <w:spacing w:line="360" w:lineRule="auto"/>
        <w:ind w:firstLine="709"/>
        <w:jc w:val="center"/>
        <w:rPr>
          <w:rFonts w:ascii="Times New Roman" w:eastAsia="Calibri" w:hAnsi="Times New Roman" w:cs="Times New Roman"/>
          <w:b/>
          <w:sz w:val="24"/>
          <w:szCs w:val="24"/>
          <w:highlight w:val="yellow"/>
        </w:rPr>
      </w:pPr>
    </w:p>
    <w:p w:rsidR="0093583F" w:rsidRPr="007404FA" w:rsidRDefault="0093583F" w:rsidP="008A3D7C">
      <w:pPr>
        <w:tabs>
          <w:tab w:val="left" w:pos="3345"/>
        </w:tabs>
        <w:spacing w:line="360" w:lineRule="auto"/>
        <w:ind w:firstLine="567"/>
        <w:rPr>
          <w:rFonts w:ascii="Times New Roman" w:eastAsia="Calibri" w:hAnsi="Times New Roman" w:cs="Times New Roman"/>
          <w:b/>
          <w:sz w:val="24"/>
          <w:szCs w:val="24"/>
          <w:highlight w:val="yellow"/>
        </w:rPr>
      </w:pPr>
      <w:r w:rsidRPr="007404FA">
        <w:rPr>
          <w:rFonts w:eastAsia="Calibri" w:cs="Times New Roman"/>
          <w:noProof/>
          <w:color w:val="365F91"/>
          <w:lang w:val="en-US" w:eastAsia="en-US"/>
        </w:rPr>
        <w:lastRenderedPageBreak/>
        <w:drawing>
          <wp:inline distT="0" distB="0" distL="0" distR="0" wp14:anchorId="68D9677C" wp14:editId="7763F3BC">
            <wp:extent cx="5391150" cy="4105275"/>
            <wp:effectExtent l="57150" t="57150" r="45720" b="47625"/>
            <wp:docPr id="25"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55BC5" w:rsidRPr="007404FA" w:rsidRDefault="00D55BC5" w:rsidP="00DB6B05">
      <w:pPr>
        <w:tabs>
          <w:tab w:val="left" w:pos="3345"/>
        </w:tabs>
        <w:spacing w:line="360" w:lineRule="auto"/>
        <w:ind w:firstLine="709"/>
        <w:jc w:val="center"/>
        <w:rPr>
          <w:rFonts w:ascii="Times New Roman" w:eastAsia="Calibri" w:hAnsi="Times New Roman" w:cs="Times New Roman"/>
          <w:b/>
          <w:sz w:val="24"/>
          <w:szCs w:val="24"/>
        </w:rPr>
      </w:pPr>
      <w:r w:rsidRPr="007404FA">
        <w:rPr>
          <w:rFonts w:ascii="Times New Roman" w:eastAsia="Calibri" w:hAnsi="Times New Roman" w:cs="Times New Roman"/>
          <w:b/>
          <w:sz w:val="24"/>
          <w:szCs w:val="24"/>
        </w:rPr>
        <w:t>Фиг. 13</w:t>
      </w:r>
    </w:p>
    <w:p w:rsidR="00D55BC5" w:rsidRPr="007404FA" w:rsidRDefault="00D55BC5" w:rsidP="00DB6B05">
      <w:pPr>
        <w:tabs>
          <w:tab w:val="left" w:pos="3345"/>
        </w:tabs>
        <w:spacing w:line="360" w:lineRule="auto"/>
        <w:ind w:firstLine="709"/>
        <w:jc w:val="both"/>
        <w:rPr>
          <w:rFonts w:ascii="Times New Roman" w:eastAsia="Calibri" w:hAnsi="Times New Roman" w:cs="Times New Roman"/>
          <w:b/>
          <w:sz w:val="24"/>
          <w:szCs w:val="24"/>
        </w:rPr>
      </w:pPr>
    </w:p>
    <w:p w:rsidR="00D55BC5" w:rsidRPr="007404FA" w:rsidRDefault="00D55BC5" w:rsidP="00DB6B05">
      <w:pPr>
        <w:numPr>
          <w:ilvl w:val="0"/>
          <w:numId w:val="2"/>
        </w:numPr>
        <w:shd w:val="clear" w:color="auto" w:fill="FFFFFF"/>
        <w:spacing w:line="360" w:lineRule="auto"/>
        <w:ind w:left="0" w:firstLine="709"/>
        <w:contextualSpacing/>
        <w:jc w:val="both"/>
        <w:textAlignment w:val="top"/>
        <w:rPr>
          <w:rFonts w:ascii="Times New Roman" w:eastAsia="Calibri" w:hAnsi="Times New Roman" w:cs="Times New Roman"/>
          <w:b/>
          <w:sz w:val="24"/>
          <w:szCs w:val="24"/>
        </w:rPr>
      </w:pPr>
      <w:r w:rsidRPr="007404FA">
        <w:rPr>
          <w:rFonts w:ascii="Times New Roman" w:eastAsia="Calibri" w:hAnsi="Times New Roman" w:cs="Times New Roman"/>
          <w:b/>
          <w:sz w:val="24"/>
          <w:szCs w:val="24"/>
        </w:rPr>
        <w:t>Статистика на получените протоколи за унищожени трафични данни.</w:t>
      </w:r>
    </w:p>
    <w:p w:rsidR="00D55BC5" w:rsidRPr="007404FA" w:rsidRDefault="00D55BC5" w:rsidP="00DB6B05">
      <w:pPr>
        <w:tabs>
          <w:tab w:val="left" w:pos="3345"/>
        </w:tabs>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В изпълнение на задълженията си по</w:t>
      </w:r>
      <w:r w:rsidR="00F06583" w:rsidRPr="007404FA">
        <w:rPr>
          <w:rFonts w:ascii="Times New Roman" w:eastAsia="Calibri" w:hAnsi="Times New Roman" w:cs="Times New Roman"/>
          <w:sz w:val="24"/>
          <w:szCs w:val="24"/>
        </w:rPr>
        <w:t xml:space="preserve"> чл. </w:t>
      </w:r>
      <w:r w:rsidRPr="007404FA">
        <w:rPr>
          <w:rFonts w:ascii="Times New Roman" w:eastAsia="Calibri" w:hAnsi="Times New Roman" w:cs="Times New Roman"/>
          <w:sz w:val="24"/>
          <w:szCs w:val="24"/>
        </w:rPr>
        <w:t>251ж,</w:t>
      </w:r>
      <w:r w:rsidR="00F06583" w:rsidRPr="007404FA">
        <w:rPr>
          <w:rFonts w:ascii="Times New Roman" w:eastAsia="Calibri" w:hAnsi="Times New Roman" w:cs="Times New Roman"/>
          <w:sz w:val="24"/>
          <w:szCs w:val="24"/>
        </w:rPr>
        <w:t xml:space="preserve"> ал. </w:t>
      </w:r>
      <w:r w:rsidRPr="007404FA">
        <w:rPr>
          <w:rFonts w:ascii="Times New Roman" w:eastAsia="Calibri" w:hAnsi="Times New Roman" w:cs="Times New Roman"/>
          <w:sz w:val="24"/>
          <w:szCs w:val="24"/>
        </w:rPr>
        <w:t xml:space="preserve">1 от ЗЕС КЗЛД поддържа регистър на получените протоколи от предприятията за унищожените данни с оглед упражняване на ефективен текущ и последващ контрол. </w:t>
      </w:r>
      <w:r w:rsidR="000E599C" w:rsidRPr="007404FA">
        <w:rPr>
          <w:rFonts w:ascii="Times New Roman" w:eastAsia="Calibri" w:hAnsi="Times New Roman" w:cs="Times New Roman"/>
          <w:sz w:val="24"/>
          <w:szCs w:val="24"/>
        </w:rPr>
        <w:t>За 2022</w:t>
      </w:r>
      <w:r w:rsidR="00F06583" w:rsidRPr="007404FA">
        <w:rPr>
          <w:rFonts w:ascii="Times New Roman" w:eastAsia="Calibri" w:hAnsi="Times New Roman" w:cs="Times New Roman"/>
          <w:sz w:val="24"/>
          <w:szCs w:val="24"/>
        </w:rPr>
        <w:t> г.</w:t>
      </w:r>
      <w:r w:rsidR="000E599C" w:rsidRPr="007404FA">
        <w:rPr>
          <w:rFonts w:ascii="Times New Roman" w:eastAsia="Calibri" w:hAnsi="Times New Roman" w:cs="Times New Roman"/>
          <w:sz w:val="24"/>
          <w:szCs w:val="24"/>
        </w:rPr>
        <w:t xml:space="preserve"> са обработени и въведени в регистъра </w:t>
      </w:r>
      <w:r w:rsidR="00D15D8A" w:rsidRPr="007404FA">
        <w:rPr>
          <w:rFonts w:ascii="Times New Roman" w:eastAsia="Calibri" w:hAnsi="Times New Roman" w:cs="Times New Roman"/>
          <w:sz w:val="24"/>
          <w:szCs w:val="24"/>
        </w:rPr>
        <w:t>851 протокола.</w:t>
      </w:r>
      <w:r w:rsidR="000E599C" w:rsidRPr="007404FA">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Статистическата информация относно получените през отчетната год</w:t>
      </w:r>
      <w:r w:rsidR="006A3A66" w:rsidRPr="007404FA">
        <w:rPr>
          <w:rFonts w:ascii="Times New Roman" w:eastAsia="Calibri" w:hAnsi="Times New Roman" w:cs="Times New Roman"/>
          <w:sz w:val="24"/>
          <w:szCs w:val="24"/>
        </w:rPr>
        <w:t xml:space="preserve">ина протоколи е представена на </w:t>
      </w:r>
      <w:r w:rsidR="00EB3A1F">
        <w:rPr>
          <w:rFonts w:ascii="Times New Roman" w:eastAsia="Calibri" w:hAnsi="Times New Roman" w:cs="Times New Roman"/>
          <w:b/>
          <w:sz w:val="24"/>
          <w:szCs w:val="24"/>
        </w:rPr>
        <w:t>ф</w:t>
      </w:r>
      <w:r w:rsidRPr="007404FA">
        <w:rPr>
          <w:rFonts w:ascii="Times New Roman" w:eastAsia="Calibri" w:hAnsi="Times New Roman" w:cs="Times New Roman"/>
          <w:b/>
          <w:sz w:val="24"/>
          <w:szCs w:val="24"/>
        </w:rPr>
        <w:t>иг. 14</w:t>
      </w:r>
      <w:r w:rsidR="00DE4C8A">
        <w:rPr>
          <w:rFonts w:ascii="Times New Roman" w:eastAsia="Calibri" w:hAnsi="Times New Roman" w:cs="Times New Roman"/>
          <w:sz w:val="24"/>
          <w:szCs w:val="24"/>
        </w:rPr>
        <w:t>:</w:t>
      </w:r>
    </w:p>
    <w:p w:rsidR="00D55BC5" w:rsidRPr="007404FA" w:rsidRDefault="00D55BC5" w:rsidP="00DB6B05">
      <w:pPr>
        <w:spacing w:line="360" w:lineRule="auto"/>
        <w:ind w:firstLine="709"/>
        <w:jc w:val="both"/>
        <w:rPr>
          <w:rFonts w:ascii="Times New Roman" w:eastAsia="Calibri" w:hAnsi="Times New Roman" w:cs="Times New Roman"/>
          <w:b/>
          <w:sz w:val="24"/>
          <w:szCs w:val="24"/>
        </w:rPr>
      </w:pPr>
    </w:p>
    <w:p w:rsidR="009945CE" w:rsidRPr="007404FA" w:rsidRDefault="009945CE" w:rsidP="00DB6B05">
      <w:pPr>
        <w:spacing w:line="360" w:lineRule="auto"/>
        <w:ind w:firstLine="709"/>
        <w:jc w:val="center"/>
        <w:rPr>
          <w:rFonts w:ascii="Times New Roman" w:eastAsia="Calibri" w:hAnsi="Times New Roman" w:cs="Times New Roman"/>
          <w:b/>
          <w:sz w:val="24"/>
          <w:szCs w:val="24"/>
          <w:highlight w:val="yellow"/>
        </w:rPr>
      </w:pPr>
    </w:p>
    <w:p w:rsidR="009945CE" w:rsidRPr="007404FA" w:rsidRDefault="009945CE" w:rsidP="00DB6B05">
      <w:pPr>
        <w:spacing w:line="360" w:lineRule="auto"/>
        <w:rPr>
          <w:rFonts w:ascii="Times New Roman" w:eastAsia="Calibri" w:hAnsi="Times New Roman" w:cs="Times New Roman"/>
          <w:b/>
          <w:sz w:val="24"/>
          <w:szCs w:val="24"/>
          <w:highlight w:val="yellow"/>
        </w:rPr>
      </w:pPr>
      <w:r w:rsidRPr="007404FA">
        <w:rPr>
          <w:rFonts w:eastAsia="Batang" w:cs="Times New Roman"/>
          <w:b/>
          <w:noProof/>
          <w:lang w:val="en-US" w:eastAsia="en-US"/>
        </w:rPr>
        <w:lastRenderedPageBreak/>
        <w:drawing>
          <wp:inline distT="0" distB="0" distL="0" distR="0" wp14:anchorId="509D7521" wp14:editId="43A34AF4">
            <wp:extent cx="5943600" cy="4314825"/>
            <wp:effectExtent l="57150" t="57150" r="38100" b="4699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55BC5" w:rsidRPr="007404FA" w:rsidRDefault="00D55BC5" w:rsidP="00DB6B05">
      <w:pPr>
        <w:spacing w:line="360" w:lineRule="auto"/>
        <w:ind w:firstLine="709"/>
        <w:jc w:val="center"/>
        <w:rPr>
          <w:rFonts w:ascii="Times New Roman" w:eastAsia="Calibri" w:hAnsi="Times New Roman" w:cs="Times New Roman"/>
          <w:b/>
          <w:sz w:val="24"/>
          <w:szCs w:val="24"/>
        </w:rPr>
      </w:pPr>
      <w:r w:rsidRPr="007404FA">
        <w:rPr>
          <w:rFonts w:ascii="Times New Roman" w:eastAsia="Calibri" w:hAnsi="Times New Roman" w:cs="Times New Roman"/>
          <w:b/>
          <w:sz w:val="24"/>
          <w:szCs w:val="24"/>
        </w:rPr>
        <w:t>Фиг. 14</w:t>
      </w:r>
    </w:p>
    <w:p w:rsidR="00D55BC5" w:rsidRPr="007404FA" w:rsidRDefault="00D55BC5" w:rsidP="00DB6B05">
      <w:pPr>
        <w:spacing w:line="360" w:lineRule="auto"/>
        <w:ind w:firstLine="709"/>
        <w:contextualSpacing/>
        <w:jc w:val="both"/>
        <w:rPr>
          <w:rFonts w:ascii="Times New Roman" w:eastAsia="Times New Roman" w:hAnsi="Times New Roman" w:cs="Times New Roman"/>
          <w:sz w:val="24"/>
          <w:szCs w:val="24"/>
        </w:rPr>
      </w:pPr>
    </w:p>
    <w:p w:rsidR="00D55BC5" w:rsidRPr="007404FA" w:rsidRDefault="00D55BC5"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Броят на предприятията, които изпълняват задължението си за ежемесечно предоставяне на протоколи по</w:t>
      </w:r>
      <w:r w:rsidR="00F06583" w:rsidRPr="007404FA">
        <w:rPr>
          <w:rFonts w:ascii="Times New Roman" w:eastAsia="Calibri" w:hAnsi="Times New Roman" w:cs="Times New Roman"/>
          <w:sz w:val="24"/>
          <w:szCs w:val="24"/>
        </w:rPr>
        <w:t xml:space="preserve"> чл. </w:t>
      </w:r>
      <w:r w:rsidRPr="007404FA">
        <w:rPr>
          <w:rFonts w:ascii="Times New Roman" w:eastAsia="Calibri" w:hAnsi="Times New Roman" w:cs="Times New Roman"/>
          <w:sz w:val="24"/>
          <w:szCs w:val="24"/>
        </w:rPr>
        <w:t>251ж,</w:t>
      </w:r>
      <w:r w:rsidR="00F06583" w:rsidRPr="007404FA">
        <w:rPr>
          <w:rFonts w:ascii="Times New Roman" w:eastAsia="Calibri" w:hAnsi="Times New Roman" w:cs="Times New Roman"/>
          <w:sz w:val="24"/>
          <w:szCs w:val="24"/>
        </w:rPr>
        <w:t xml:space="preserve"> ал. </w:t>
      </w:r>
      <w:r w:rsidRPr="007404FA">
        <w:rPr>
          <w:rFonts w:ascii="Times New Roman" w:eastAsia="Calibri" w:hAnsi="Times New Roman" w:cs="Times New Roman"/>
          <w:sz w:val="24"/>
          <w:szCs w:val="24"/>
        </w:rPr>
        <w:t>1 от ЗЕС за унищожените данни през отчетната година, средно е 71 на месец.</w:t>
      </w:r>
    </w:p>
    <w:p w:rsidR="00F64A63" w:rsidRPr="007404FA" w:rsidRDefault="00F64A63" w:rsidP="00DB6B05">
      <w:pPr>
        <w:spacing w:line="259" w:lineRule="auto"/>
        <w:rPr>
          <w:rFonts w:ascii="Times New Roman" w:eastAsia="Calibri" w:hAnsi="Times New Roman" w:cs="Times New Roman"/>
          <w:sz w:val="24"/>
          <w:szCs w:val="24"/>
        </w:rPr>
      </w:pPr>
      <w:r w:rsidRPr="007404FA">
        <w:rPr>
          <w:rFonts w:ascii="Times New Roman" w:eastAsia="Calibri" w:hAnsi="Times New Roman" w:cs="Times New Roman"/>
          <w:sz w:val="24"/>
          <w:szCs w:val="24"/>
        </w:rPr>
        <w:br w:type="page"/>
      </w:r>
    </w:p>
    <w:p w:rsidR="009F41E8" w:rsidRPr="004F35A1" w:rsidRDefault="009F41E8" w:rsidP="004F35A1">
      <w:pPr>
        <w:pStyle w:val="Heading1"/>
        <w:spacing w:before="0" w:line="360" w:lineRule="auto"/>
        <w:ind w:firstLine="709"/>
        <w:jc w:val="both"/>
        <w:rPr>
          <w:rFonts w:ascii="Times New Roman" w:eastAsia="Calibri" w:hAnsi="Times New Roman" w:cs="Times New Roman"/>
          <w:sz w:val="24"/>
          <w:szCs w:val="24"/>
        </w:rPr>
      </w:pPr>
      <w:bookmarkStart w:id="9" w:name="_Toc130915386"/>
      <w:r w:rsidRPr="004F35A1">
        <w:rPr>
          <w:rFonts w:ascii="Times New Roman" w:eastAsia="Calibri" w:hAnsi="Times New Roman" w:cs="Times New Roman"/>
          <w:sz w:val="24"/>
          <w:szCs w:val="24"/>
        </w:rPr>
        <w:lastRenderedPageBreak/>
        <w:t>X. РЕАЛИЗИРАНЕ НА ПОЛИТИКИТЕ ЗА ПУБЛИЧНОСТ И ПОВИШАВАНЕ НА ОБЩЕСТВЕНАТА ИНФОРМИРАНОСТ И РАЗБИРАНЕ НА РИСКОВЕТЕ, ПРАВИЛАТА, ГАРАНЦИИТЕ И ПРАВАТА, СВЪРЗАНИ С ОБРАБОТВАНЕТО НА ЛИЧНИ ДАННИ.</w:t>
      </w:r>
      <w:r w:rsidR="00EB3A1F" w:rsidRPr="004F35A1">
        <w:rPr>
          <w:rFonts w:ascii="Times New Roman" w:eastAsia="Calibri" w:hAnsi="Times New Roman" w:cs="Times New Roman"/>
          <w:sz w:val="24"/>
          <w:szCs w:val="24"/>
        </w:rPr>
        <w:t xml:space="preserve"> </w:t>
      </w:r>
      <w:r w:rsidRPr="004F35A1">
        <w:rPr>
          <w:rFonts w:ascii="Times New Roman" w:eastAsia="Calibri" w:hAnsi="Times New Roman" w:cs="Times New Roman"/>
          <w:sz w:val="24"/>
          <w:szCs w:val="24"/>
        </w:rPr>
        <w:t>ИНСТИТУЦИОНАЛНО ВЗАИМОДЕЙСТВИЕ</w:t>
      </w:r>
      <w:bookmarkEnd w:id="9"/>
      <w:r w:rsidRPr="004F35A1">
        <w:rPr>
          <w:rFonts w:ascii="Times New Roman" w:eastAsia="Calibri" w:hAnsi="Times New Roman" w:cs="Times New Roman"/>
          <w:sz w:val="24"/>
          <w:szCs w:val="24"/>
        </w:rPr>
        <w:t xml:space="preserve"> </w:t>
      </w:r>
    </w:p>
    <w:p w:rsidR="009F41E8" w:rsidRPr="007404FA" w:rsidRDefault="009F41E8" w:rsidP="00DB6B05"/>
    <w:p w:rsidR="008F0A24" w:rsidRPr="007404FA" w:rsidRDefault="008F0A24" w:rsidP="00DB6B05">
      <w:pPr>
        <w:spacing w:line="360" w:lineRule="auto"/>
        <w:ind w:firstLine="709"/>
        <w:jc w:val="both"/>
        <w:rPr>
          <w:rFonts w:ascii="Times New Roman" w:hAnsi="Times New Roman" w:cs="Times New Roman"/>
          <w:b/>
          <w:sz w:val="24"/>
          <w:szCs w:val="24"/>
        </w:rPr>
      </w:pPr>
      <w:r w:rsidRPr="007404FA">
        <w:rPr>
          <w:rFonts w:ascii="Times New Roman" w:hAnsi="Times New Roman" w:cs="Times New Roman"/>
          <w:b/>
          <w:sz w:val="24"/>
          <w:szCs w:val="24"/>
        </w:rPr>
        <w:t>1. Сътрудничество с държавни органи, неправителствени организации и частни организации.</w:t>
      </w:r>
    </w:p>
    <w:p w:rsidR="008F0A24" w:rsidRPr="007404FA" w:rsidRDefault="008F0A24"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В рамките на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КЗЛД участва активно в подготовката на Република България за членство в Организацията за икономическо сътрудничество и развитие (ОИСР). Представители на КЗЛД се включват в заседанията на Междуведомствения координационен механизъм за процеса на разговори за присъединяване към ОИСР. Изготвени са всички самооценки в Комитета по политика в областта на цифровата икономика, по които КЗЛД</w:t>
      </w:r>
      <w:r w:rsidR="00EB3A1F">
        <w:rPr>
          <w:rFonts w:ascii="Times New Roman" w:hAnsi="Times New Roman" w:cs="Times New Roman"/>
          <w:sz w:val="24"/>
          <w:szCs w:val="24"/>
        </w:rPr>
        <w:t xml:space="preserve"> е водеща институция. Паралелно</w:t>
      </w:r>
      <w:r w:rsidRPr="007404FA">
        <w:rPr>
          <w:rFonts w:ascii="Times New Roman" w:hAnsi="Times New Roman" w:cs="Times New Roman"/>
          <w:sz w:val="24"/>
          <w:szCs w:val="24"/>
        </w:rPr>
        <w:t xml:space="preserve"> КЗЛД допринася като партнираща институция в самооценките на правни инструменти от компетентността ѝ. Всички предложения на КЗЛД в Националната пътната карта с дейности по сътрудни</w:t>
      </w:r>
      <w:r w:rsidR="00EB3A1F">
        <w:rPr>
          <w:rFonts w:ascii="Times New Roman" w:hAnsi="Times New Roman" w:cs="Times New Roman"/>
          <w:sz w:val="24"/>
          <w:szCs w:val="24"/>
        </w:rPr>
        <w:t xml:space="preserve">чеството с ОИСР за периода 2023 – </w:t>
      </w:r>
      <w:r w:rsidRPr="007404FA">
        <w:rPr>
          <w:rFonts w:ascii="Times New Roman" w:hAnsi="Times New Roman" w:cs="Times New Roman"/>
          <w:sz w:val="24"/>
          <w:szCs w:val="24"/>
        </w:rPr>
        <w:t xml:space="preserve">2025 </w:t>
      </w:r>
      <w:r w:rsidR="00EB3A1F">
        <w:rPr>
          <w:rFonts w:ascii="Times New Roman" w:hAnsi="Times New Roman" w:cs="Times New Roman"/>
          <w:sz w:val="24"/>
          <w:szCs w:val="24"/>
        </w:rPr>
        <w:t xml:space="preserve">г. </w:t>
      </w:r>
      <w:r w:rsidRPr="007404FA">
        <w:rPr>
          <w:rFonts w:ascii="Times New Roman" w:hAnsi="Times New Roman" w:cs="Times New Roman"/>
          <w:sz w:val="24"/>
          <w:szCs w:val="24"/>
        </w:rPr>
        <w:t>са приети.</w:t>
      </w:r>
    </w:p>
    <w:p w:rsidR="008F0A24" w:rsidRPr="007404FA" w:rsidRDefault="008F0A24"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Присъединяването към Организацията за икономическо сътрудничество и развитие</w:t>
      </w:r>
      <w:r w:rsidR="00157B49">
        <w:rPr>
          <w:rFonts w:ascii="Times New Roman" w:hAnsi="Times New Roman" w:cs="Times New Roman"/>
          <w:sz w:val="24"/>
          <w:szCs w:val="24"/>
        </w:rPr>
        <w:t xml:space="preserve"> </w:t>
      </w:r>
      <w:r w:rsidRPr="007404FA">
        <w:rPr>
          <w:rFonts w:ascii="Times New Roman" w:hAnsi="Times New Roman" w:cs="Times New Roman"/>
          <w:sz w:val="24"/>
          <w:szCs w:val="24"/>
        </w:rPr>
        <w:t>е сред основните цели на външната политика</w:t>
      </w:r>
      <w:r w:rsidR="00EB3A1F">
        <w:rPr>
          <w:rFonts w:ascii="Times New Roman" w:hAnsi="Times New Roman" w:cs="Times New Roman"/>
          <w:sz w:val="24"/>
          <w:szCs w:val="24"/>
        </w:rPr>
        <w:t xml:space="preserve"> на Република България. На 25</w:t>
      </w:r>
      <w:r w:rsidRPr="007404FA">
        <w:rPr>
          <w:rFonts w:ascii="Times New Roman" w:hAnsi="Times New Roman" w:cs="Times New Roman"/>
          <w:sz w:val="24"/>
          <w:szCs w:val="24"/>
        </w:rPr>
        <w:t xml:space="preserve"> януари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е прието решение на Съвета на ОИСР за започване на разговори за присъединяване към Организацията с Република България и остана</w:t>
      </w:r>
      <w:r w:rsidR="00EB3A1F">
        <w:rPr>
          <w:rFonts w:ascii="Times New Roman" w:hAnsi="Times New Roman" w:cs="Times New Roman"/>
          <w:sz w:val="24"/>
          <w:szCs w:val="24"/>
        </w:rPr>
        <w:t>лите страни кандидатки. На 10</w:t>
      </w:r>
      <w:r w:rsidRPr="007404FA">
        <w:rPr>
          <w:rFonts w:ascii="Times New Roman" w:hAnsi="Times New Roman" w:cs="Times New Roman"/>
          <w:sz w:val="24"/>
          <w:szCs w:val="24"/>
        </w:rPr>
        <w:t xml:space="preserve"> юни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Република България официално получава нейната Пътна карта за присъединяване към Организацията, приета от Съвета на ОИСР по време на годишната министерск</w:t>
      </w:r>
      <w:r w:rsidR="00EB3A1F">
        <w:rPr>
          <w:rFonts w:ascii="Times New Roman" w:hAnsi="Times New Roman" w:cs="Times New Roman"/>
          <w:sz w:val="24"/>
          <w:szCs w:val="24"/>
        </w:rPr>
        <w:t>а среща, която е проведена на 9 – 10</w:t>
      </w:r>
      <w:r w:rsidRPr="007404FA">
        <w:rPr>
          <w:rFonts w:ascii="Times New Roman" w:hAnsi="Times New Roman" w:cs="Times New Roman"/>
          <w:sz w:val="24"/>
          <w:szCs w:val="24"/>
        </w:rPr>
        <w:t xml:space="preserve"> юни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в Париж.</w:t>
      </w:r>
    </w:p>
    <w:p w:rsidR="008F0A24" w:rsidRPr="007404FA" w:rsidRDefault="008F0A24"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Решението за стартиране на процес на преговори за присъединяване на нови членове към ОИСР подлежи на единодушно приемане от Съвета на Организацията, включващ всички страни членки. За приемането на такова решение се отчита както наличието на политически консенсус, така и готовността на страната кандидат, която се оценява на базата на извършен от Секретариата на ОИСР обстоен преглед спрямо общите критерии за членство, съдържащи се в приетия от Съвета през 2017</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документ</w:t>
      </w:r>
      <w:r w:rsidR="00EB3A1F">
        <w:rPr>
          <w:rFonts w:ascii="Times New Roman" w:hAnsi="Times New Roman" w:cs="Times New Roman"/>
          <w:sz w:val="24"/>
          <w:szCs w:val="24"/>
        </w:rPr>
        <w:t xml:space="preserve"> –</w:t>
      </w:r>
      <w:r w:rsidRPr="007404FA">
        <w:rPr>
          <w:rFonts w:ascii="Times New Roman" w:hAnsi="Times New Roman" w:cs="Times New Roman"/>
          <w:sz w:val="24"/>
          <w:szCs w:val="24"/>
        </w:rPr>
        <w:t xml:space="preserve"> Рамка за оценка на бъдещите членове.</w:t>
      </w:r>
    </w:p>
    <w:p w:rsidR="008F0A24" w:rsidRPr="007404FA" w:rsidRDefault="008F0A24"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На 11 август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Министерски</w:t>
      </w:r>
      <w:r w:rsidR="00EB3A1F">
        <w:rPr>
          <w:rFonts w:ascii="Times New Roman" w:hAnsi="Times New Roman" w:cs="Times New Roman"/>
          <w:sz w:val="24"/>
          <w:szCs w:val="24"/>
        </w:rPr>
        <w:t>ят съвет приема Постановление №</w:t>
      </w:r>
      <w:r w:rsidRPr="007404FA">
        <w:rPr>
          <w:rFonts w:ascii="Times New Roman" w:hAnsi="Times New Roman" w:cs="Times New Roman"/>
          <w:sz w:val="24"/>
          <w:szCs w:val="24"/>
        </w:rPr>
        <w:t>242 за организация и координация на процеса на разговори и подготвителни дейности за присъединяване на Република България към ОИСР. По силата на</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 xml:space="preserve">4 от него се създава постоянно действащ Междуведомствен координационен механизъм (МКМ) за процеса на разговори и подготвителни дейности за присъединяване на Република България към ОИСР под ръководството на министъра на външните работи. Към МКМ се създават и </w:t>
      </w:r>
      <w:r w:rsidRPr="007404FA">
        <w:rPr>
          <w:rFonts w:ascii="Times New Roman" w:hAnsi="Times New Roman" w:cs="Times New Roman"/>
          <w:sz w:val="24"/>
          <w:szCs w:val="24"/>
        </w:rPr>
        <w:lastRenderedPageBreak/>
        <w:t>функционират 25 работни групи, отразяващи дейността на 25-те тематични комитет</w:t>
      </w:r>
      <w:r w:rsidR="00EB3A1F">
        <w:rPr>
          <w:rFonts w:ascii="Times New Roman" w:hAnsi="Times New Roman" w:cs="Times New Roman"/>
          <w:sz w:val="24"/>
          <w:szCs w:val="24"/>
        </w:rPr>
        <w:t>а</w:t>
      </w:r>
      <w:r w:rsidRPr="007404FA">
        <w:rPr>
          <w:rFonts w:ascii="Times New Roman" w:hAnsi="Times New Roman" w:cs="Times New Roman"/>
          <w:sz w:val="24"/>
          <w:szCs w:val="24"/>
        </w:rPr>
        <w:t xml:space="preserve"> </w:t>
      </w:r>
      <w:r w:rsidR="00EC5B05" w:rsidRPr="007404FA">
        <w:rPr>
          <w:rFonts w:ascii="Times New Roman" w:hAnsi="Times New Roman" w:cs="Times New Roman"/>
          <w:sz w:val="24"/>
          <w:szCs w:val="24"/>
        </w:rPr>
        <w:br/>
      </w:r>
      <w:r w:rsidRPr="007404FA">
        <w:rPr>
          <w:rFonts w:ascii="Times New Roman" w:hAnsi="Times New Roman" w:cs="Times New Roman"/>
          <w:sz w:val="24"/>
          <w:szCs w:val="24"/>
        </w:rPr>
        <w:t xml:space="preserve">на ОИСР. </w:t>
      </w:r>
    </w:p>
    <w:p w:rsidR="008F0A24" w:rsidRPr="007404FA" w:rsidRDefault="008F0A24"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Във връзка с интензивния процес по присъединяване на Република България към ОИСР са предприети стъпки за изготвяне на проект на Първоначален меморандум. Меморандумът включва технически анализи по всеки правен инструмент към </w:t>
      </w:r>
      <w:r w:rsidR="00EB3A1F">
        <w:rPr>
          <w:rFonts w:ascii="Times New Roman" w:hAnsi="Times New Roman" w:cs="Times New Roman"/>
          <w:sz w:val="24"/>
          <w:szCs w:val="24"/>
        </w:rPr>
        <w:t>к</w:t>
      </w:r>
      <w:r w:rsidRPr="007404FA">
        <w:rPr>
          <w:rFonts w:ascii="Times New Roman" w:hAnsi="Times New Roman" w:cs="Times New Roman"/>
          <w:sz w:val="24"/>
          <w:szCs w:val="24"/>
        </w:rPr>
        <w:t>омитетите на Организацията. КЗЛД активно участва в сформираните работни групи, които да извършат техническия анализ по отделните правни инструменти.</w:t>
      </w:r>
    </w:p>
    <w:p w:rsidR="002E4492" w:rsidRPr="007404FA" w:rsidRDefault="002E4492" w:rsidP="00DB6B05">
      <w:pPr>
        <w:spacing w:line="360" w:lineRule="auto"/>
        <w:ind w:firstLine="709"/>
        <w:jc w:val="both"/>
        <w:rPr>
          <w:rFonts w:ascii="Times New Roman" w:hAnsi="Times New Roman"/>
          <w:sz w:val="24"/>
          <w:szCs w:val="24"/>
        </w:rPr>
      </w:pPr>
      <w:r w:rsidRPr="007404FA">
        <w:rPr>
          <w:rFonts w:ascii="Times New Roman" w:hAnsi="Times New Roman"/>
          <w:sz w:val="24"/>
          <w:szCs w:val="24"/>
        </w:rPr>
        <w:t>През отчетния период продължава ползотворното междуинституционално сътрудничество с Министерството на външните работа. Защитата на личните данни е част от програмата за обучение на новоназначените консули на Република България. През април 2022</w:t>
      </w:r>
      <w:r w:rsidR="00F06583" w:rsidRPr="007404FA">
        <w:rPr>
          <w:rFonts w:ascii="Times New Roman" w:hAnsi="Times New Roman"/>
          <w:sz w:val="24"/>
          <w:szCs w:val="24"/>
        </w:rPr>
        <w:t> г.</w:t>
      </w:r>
      <w:r w:rsidRPr="007404FA">
        <w:rPr>
          <w:rFonts w:ascii="Times New Roman" w:hAnsi="Times New Roman"/>
          <w:sz w:val="24"/>
          <w:szCs w:val="24"/>
        </w:rPr>
        <w:t xml:space="preserve"> представители на КЗЛД прове</w:t>
      </w:r>
      <w:r w:rsidR="00EB3A1F">
        <w:rPr>
          <w:rFonts w:ascii="Times New Roman" w:hAnsi="Times New Roman"/>
          <w:sz w:val="24"/>
          <w:szCs w:val="24"/>
        </w:rPr>
        <w:t>ждат обучение на ново</w:t>
      </w:r>
      <w:r w:rsidRPr="007404FA">
        <w:rPr>
          <w:rFonts w:ascii="Times New Roman" w:hAnsi="Times New Roman"/>
          <w:sz w:val="24"/>
          <w:szCs w:val="24"/>
        </w:rPr>
        <w:t>определени консули на Република България по различните елементи на защитата на лични данни, различните хипотези, които биха възникнали в тяхната практика, както процедурите за действия при отправени искания за упражняване на права на физически лица.</w:t>
      </w:r>
    </w:p>
    <w:p w:rsidR="008F0A24" w:rsidRPr="007404FA" w:rsidRDefault="008F0A24" w:rsidP="00DB6B05">
      <w:pPr>
        <w:widowControl w:val="0"/>
        <w:tabs>
          <w:tab w:val="left" w:pos="993"/>
        </w:tabs>
        <w:spacing w:line="360" w:lineRule="auto"/>
        <w:ind w:firstLine="709"/>
        <w:jc w:val="both"/>
        <w:rPr>
          <w:rFonts w:ascii="Times New Roman" w:hAnsi="Times New Roman" w:cs="Times New Roman"/>
          <w:bCs/>
          <w:sz w:val="24"/>
          <w:szCs w:val="24"/>
        </w:rPr>
      </w:pPr>
      <w:r w:rsidRPr="007404FA">
        <w:rPr>
          <w:rFonts w:ascii="Times New Roman" w:hAnsi="Times New Roman" w:cs="Times New Roman"/>
          <w:bCs/>
          <w:sz w:val="24"/>
          <w:szCs w:val="24"/>
        </w:rPr>
        <w:t>В изпълнение на сключения през 2020</w:t>
      </w:r>
      <w:r w:rsidR="00F06583" w:rsidRPr="007404FA">
        <w:rPr>
          <w:rFonts w:ascii="Times New Roman" w:hAnsi="Times New Roman" w:cs="Times New Roman"/>
          <w:bCs/>
          <w:sz w:val="24"/>
          <w:szCs w:val="24"/>
        </w:rPr>
        <w:t> г.</w:t>
      </w:r>
      <w:r w:rsidRPr="007404FA">
        <w:rPr>
          <w:rFonts w:ascii="Times New Roman" w:hAnsi="Times New Roman" w:cs="Times New Roman"/>
          <w:bCs/>
          <w:sz w:val="24"/>
          <w:szCs w:val="24"/>
        </w:rPr>
        <w:t xml:space="preserve"> договор за сътрудничество между Икономическия университет</w:t>
      </w:r>
      <w:r w:rsidR="00553661" w:rsidRPr="007404FA">
        <w:rPr>
          <w:rFonts w:ascii="Times New Roman" w:hAnsi="Times New Roman" w:cs="Times New Roman"/>
          <w:bCs/>
          <w:sz w:val="24"/>
          <w:szCs w:val="24"/>
        </w:rPr>
        <w:t xml:space="preserve"> – </w:t>
      </w:r>
      <w:r w:rsidRPr="007404FA">
        <w:rPr>
          <w:rFonts w:ascii="Times New Roman" w:hAnsi="Times New Roman" w:cs="Times New Roman"/>
          <w:bCs/>
          <w:sz w:val="24"/>
          <w:szCs w:val="24"/>
        </w:rPr>
        <w:t>Варна (ИУ</w:t>
      </w:r>
      <w:r w:rsidR="00553661" w:rsidRPr="007404FA">
        <w:rPr>
          <w:rFonts w:ascii="Times New Roman" w:hAnsi="Times New Roman" w:cs="Times New Roman"/>
          <w:bCs/>
          <w:sz w:val="24"/>
          <w:szCs w:val="24"/>
        </w:rPr>
        <w:t xml:space="preserve"> – </w:t>
      </w:r>
      <w:r w:rsidRPr="007404FA">
        <w:rPr>
          <w:rFonts w:ascii="Times New Roman" w:hAnsi="Times New Roman" w:cs="Times New Roman"/>
          <w:bCs/>
          <w:sz w:val="24"/>
          <w:szCs w:val="24"/>
        </w:rPr>
        <w:t>Варна), и КЗЛД на 12</w:t>
      </w:r>
      <w:r w:rsidR="00EB3A1F">
        <w:rPr>
          <w:rFonts w:ascii="Times New Roman" w:hAnsi="Times New Roman" w:cs="Times New Roman"/>
          <w:bCs/>
          <w:sz w:val="24"/>
          <w:szCs w:val="24"/>
        </w:rPr>
        <w:t>-и</w:t>
      </w:r>
      <w:r w:rsidRPr="007404FA">
        <w:rPr>
          <w:rFonts w:ascii="Times New Roman" w:hAnsi="Times New Roman" w:cs="Times New Roman"/>
          <w:bCs/>
          <w:sz w:val="24"/>
          <w:szCs w:val="24"/>
        </w:rPr>
        <w:t xml:space="preserve"> и 13.12.2022</w:t>
      </w:r>
      <w:r w:rsidR="00F06583" w:rsidRPr="007404FA">
        <w:rPr>
          <w:rFonts w:ascii="Times New Roman" w:hAnsi="Times New Roman" w:cs="Times New Roman"/>
          <w:bCs/>
          <w:sz w:val="24"/>
          <w:szCs w:val="24"/>
        </w:rPr>
        <w:t> г.</w:t>
      </w:r>
      <w:r w:rsidRPr="007404FA">
        <w:rPr>
          <w:rFonts w:ascii="Times New Roman" w:hAnsi="Times New Roman" w:cs="Times New Roman"/>
          <w:bCs/>
          <w:sz w:val="24"/>
          <w:szCs w:val="24"/>
        </w:rPr>
        <w:t xml:space="preserve"> експерти от администрацията на КЗЛД провеждат обучения за представители на съдилищата от Североизточна България, както и за академичния състав и служители от администрацията на университета.</w:t>
      </w:r>
    </w:p>
    <w:p w:rsidR="008F0A24" w:rsidRPr="007404FA" w:rsidRDefault="008F0A24" w:rsidP="00DB6B05">
      <w:pPr>
        <w:widowControl w:val="0"/>
        <w:tabs>
          <w:tab w:val="left" w:pos="993"/>
        </w:tabs>
        <w:spacing w:line="360" w:lineRule="auto"/>
        <w:ind w:firstLine="709"/>
        <w:jc w:val="both"/>
        <w:rPr>
          <w:rFonts w:ascii="Times New Roman" w:hAnsi="Times New Roman" w:cs="Times New Roman"/>
          <w:bCs/>
          <w:sz w:val="24"/>
          <w:szCs w:val="24"/>
        </w:rPr>
      </w:pPr>
      <w:r w:rsidRPr="007404FA">
        <w:rPr>
          <w:rFonts w:ascii="Times New Roman" w:hAnsi="Times New Roman" w:cs="Times New Roman"/>
          <w:bCs/>
          <w:sz w:val="24"/>
          <w:szCs w:val="24"/>
        </w:rPr>
        <w:t>В началото на декември 2022</w:t>
      </w:r>
      <w:r w:rsidR="00F06583" w:rsidRPr="007404FA">
        <w:rPr>
          <w:rFonts w:ascii="Times New Roman" w:hAnsi="Times New Roman" w:cs="Times New Roman"/>
          <w:bCs/>
          <w:sz w:val="24"/>
          <w:szCs w:val="24"/>
        </w:rPr>
        <w:t> г.</w:t>
      </w:r>
      <w:r w:rsidRPr="007404FA">
        <w:rPr>
          <w:rFonts w:ascii="Times New Roman" w:hAnsi="Times New Roman" w:cs="Times New Roman"/>
          <w:bCs/>
          <w:sz w:val="24"/>
          <w:szCs w:val="24"/>
        </w:rPr>
        <w:t xml:space="preserve"> в рамките на ползотворното сътрудничество със</w:t>
      </w:r>
      <w:r w:rsidR="00157B49">
        <w:rPr>
          <w:rFonts w:ascii="Times New Roman" w:hAnsi="Times New Roman" w:cs="Times New Roman"/>
          <w:bCs/>
          <w:sz w:val="24"/>
          <w:szCs w:val="24"/>
        </w:rPr>
        <w:t xml:space="preserve"> </w:t>
      </w:r>
      <w:r w:rsidRPr="007404FA">
        <w:rPr>
          <w:rFonts w:ascii="Times New Roman" w:hAnsi="Times New Roman" w:cs="Times New Roman"/>
          <w:bCs/>
          <w:sz w:val="24"/>
          <w:szCs w:val="24"/>
        </w:rPr>
        <w:t>Съюза на българските журналисти е организирано и проведено обучение за журналисти и PR практици, посветено на прилагането на ОРЗД и проекта за европейски законодателен акт за свободата на медиите.</w:t>
      </w:r>
    </w:p>
    <w:p w:rsidR="008F0A24" w:rsidRPr="007404FA" w:rsidRDefault="008F0A24" w:rsidP="00DB6B05">
      <w:pPr>
        <w:widowControl w:val="0"/>
        <w:tabs>
          <w:tab w:val="left" w:pos="993"/>
        </w:tabs>
        <w:spacing w:line="360" w:lineRule="auto"/>
        <w:ind w:firstLine="709"/>
        <w:jc w:val="both"/>
        <w:rPr>
          <w:rFonts w:ascii="Times New Roman" w:hAnsi="Times New Roman" w:cs="Times New Roman"/>
          <w:bCs/>
          <w:sz w:val="24"/>
          <w:szCs w:val="24"/>
        </w:rPr>
      </w:pPr>
      <w:r w:rsidRPr="007404FA">
        <w:rPr>
          <w:rFonts w:ascii="Times New Roman" w:hAnsi="Times New Roman" w:cs="Times New Roman"/>
          <w:bCs/>
          <w:sz w:val="24"/>
          <w:szCs w:val="24"/>
        </w:rPr>
        <w:t>За разлика от предходните две години, които налагат предимно онлайн форми на обучение, през 2022</w:t>
      </w:r>
      <w:r w:rsidR="00F06583" w:rsidRPr="007404FA">
        <w:rPr>
          <w:rFonts w:ascii="Times New Roman" w:hAnsi="Times New Roman" w:cs="Times New Roman"/>
          <w:bCs/>
          <w:sz w:val="24"/>
          <w:szCs w:val="24"/>
        </w:rPr>
        <w:t> г.</w:t>
      </w:r>
      <w:r w:rsidRPr="007404FA">
        <w:rPr>
          <w:rFonts w:ascii="Times New Roman" w:hAnsi="Times New Roman" w:cs="Times New Roman"/>
          <w:bCs/>
          <w:sz w:val="24"/>
          <w:szCs w:val="24"/>
        </w:rPr>
        <w:t xml:space="preserve"> се реализират все повече присъствени обучително-разяснителни събития. Сред тях са двата реализирани през отчетния период информационни</w:t>
      </w:r>
      <w:r w:rsidR="00157B49">
        <w:rPr>
          <w:rFonts w:ascii="Times New Roman" w:hAnsi="Times New Roman" w:cs="Times New Roman"/>
          <w:bCs/>
          <w:sz w:val="24"/>
          <w:szCs w:val="24"/>
        </w:rPr>
        <w:t xml:space="preserve"> </w:t>
      </w:r>
      <w:r w:rsidRPr="007404FA">
        <w:rPr>
          <w:rFonts w:ascii="Times New Roman" w:hAnsi="Times New Roman" w:cs="Times New Roman"/>
          <w:bCs/>
          <w:sz w:val="24"/>
          <w:szCs w:val="24"/>
        </w:rPr>
        <w:t>семинара на тема „Защита на личните данни</w:t>
      </w:r>
      <w:r w:rsidR="00553661" w:rsidRPr="007404FA">
        <w:rPr>
          <w:rFonts w:ascii="Times New Roman" w:hAnsi="Times New Roman" w:cs="Times New Roman"/>
          <w:bCs/>
          <w:sz w:val="24"/>
          <w:szCs w:val="24"/>
        </w:rPr>
        <w:t xml:space="preserve"> – </w:t>
      </w:r>
      <w:r w:rsidRPr="007404FA">
        <w:rPr>
          <w:rFonts w:ascii="Times New Roman" w:hAnsi="Times New Roman" w:cs="Times New Roman"/>
          <w:bCs/>
          <w:sz w:val="24"/>
          <w:szCs w:val="24"/>
        </w:rPr>
        <w:t>актуални въпроси на нормативната уредба</w:t>
      </w:r>
      <w:r w:rsidR="00E435D6">
        <w:rPr>
          <w:rFonts w:ascii="Times New Roman" w:hAnsi="Times New Roman" w:cs="Times New Roman"/>
          <w:bCs/>
          <w:sz w:val="24"/>
          <w:szCs w:val="24"/>
        </w:rPr>
        <w:t>“</w:t>
      </w:r>
      <w:r w:rsidRPr="007404FA">
        <w:rPr>
          <w:rFonts w:ascii="Times New Roman" w:hAnsi="Times New Roman" w:cs="Times New Roman"/>
          <w:bCs/>
          <w:sz w:val="24"/>
          <w:szCs w:val="24"/>
        </w:rPr>
        <w:t xml:space="preserve">. Целевата група обхваща служители на ръководни и експертни длъжности от Главна дирекция </w:t>
      </w:r>
      <w:r w:rsidR="00B262DA" w:rsidRPr="007404FA">
        <w:rPr>
          <w:rFonts w:ascii="Times New Roman" w:hAnsi="Times New Roman" w:cs="Times New Roman"/>
          <w:bCs/>
          <w:sz w:val="24"/>
          <w:szCs w:val="24"/>
        </w:rPr>
        <w:t>„</w:t>
      </w:r>
      <w:r w:rsidRPr="007404FA">
        <w:rPr>
          <w:rFonts w:ascii="Times New Roman" w:hAnsi="Times New Roman" w:cs="Times New Roman"/>
          <w:bCs/>
          <w:sz w:val="24"/>
          <w:szCs w:val="24"/>
        </w:rPr>
        <w:t xml:space="preserve">Европейски фондове и международни програми и проекти“ и дирекция „Човешки ресурси“ на </w:t>
      </w:r>
      <w:r w:rsidR="00BE29E8" w:rsidRPr="007404FA">
        <w:rPr>
          <w:rFonts w:ascii="Times New Roman" w:hAnsi="Times New Roman" w:cs="Times New Roman"/>
          <w:bCs/>
          <w:sz w:val="24"/>
          <w:szCs w:val="24"/>
        </w:rPr>
        <w:t>Министерство</w:t>
      </w:r>
      <w:r w:rsidR="00EB3A1F">
        <w:rPr>
          <w:rFonts w:ascii="Times New Roman" w:hAnsi="Times New Roman" w:cs="Times New Roman"/>
          <w:bCs/>
          <w:sz w:val="24"/>
          <w:szCs w:val="24"/>
        </w:rPr>
        <w:t>то</w:t>
      </w:r>
      <w:r w:rsidR="00BE29E8" w:rsidRPr="007404FA">
        <w:rPr>
          <w:rFonts w:ascii="Times New Roman" w:hAnsi="Times New Roman" w:cs="Times New Roman"/>
          <w:bCs/>
          <w:sz w:val="24"/>
          <w:szCs w:val="24"/>
        </w:rPr>
        <w:t xml:space="preserve"> на труда и социалната политика</w:t>
      </w:r>
      <w:r w:rsidRPr="007404FA">
        <w:rPr>
          <w:rFonts w:ascii="Times New Roman" w:hAnsi="Times New Roman" w:cs="Times New Roman"/>
          <w:bCs/>
          <w:sz w:val="24"/>
          <w:szCs w:val="24"/>
        </w:rPr>
        <w:t xml:space="preserve">, както и служители от </w:t>
      </w:r>
      <w:r w:rsidR="00BE29E8" w:rsidRPr="007404FA">
        <w:rPr>
          <w:rFonts w:ascii="Times New Roman" w:hAnsi="Times New Roman" w:cs="Times New Roman"/>
          <w:bCs/>
          <w:sz w:val="24"/>
          <w:szCs w:val="24"/>
        </w:rPr>
        <w:t>Държавна</w:t>
      </w:r>
      <w:r w:rsidR="00EB3A1F">
        <w:rPr>
          <w:rFonts w:ascii="Times New Roman" w:hAnsi="Times New Roman" w:cs="Times New Roman"/>
          <w:bCs/>
          <w:sz w:val="24"/>
          <w:szCs w:val="24"/>
        </w:rPr>
        <w:t>та</w:t>
      </w:r>
      <w:r w:rsidR="00BE29E8" w:rsidRPr="007404FA">
        <w:rPr>
          <w:rFonts w:ascii="Times New Roman" w:hAnsi="Times New Roman" w:cs="Times New Roman"/>
          <w:bCs/>
          <w:sz w:val="24"/>
          <w:szCs w:val="24"/>
        </w:rPr>
        <w:t xml:space="preserve"> агенция за закрила на детето, Агенция</w:t>
      </w:r>
      <w:r w:rsidR="00EB3A1F">
        <w:rPr>
          <w:rFonts w:ascii="Times New Roman" w:hAnsi="Times New Roman" w:cs="Times New Roman"/>
          <w:bCs/>
          <w:sz w:val="24"/>
          <w:szCs w:val="24"/>
        </w:rPr>
        <w:t>та</w:t>
      </w:r>
      <w:r w:rsidR="00BE29E8" w:rsidRPr="007404FA">
        <w:rPr>
          <w:rFonts w:ascii="Times New Roman" w:hAnsi="Times New Roman" w:cs="Times New Roman"/>
          <w:bCs/>
          <w:sz w:val="24"/>
          <w:szCs w:val="24"/>
        </w:rPr>
        <w:t xml:space="preserve"> за качеството на социалните услуги, Агенция</w:t>
      </w:r>
      <w:r w:rsidR="00EB3A1F">
        <w:rPr>
          <w:rFonts w:ascii="Times New Roman" w:hAnsi="Times New Roman" w:cs="Times New Roman"/>
          <w:bCs/>
          <w:sz w:val="24"/>
          <w:szCs w:val="24"/>
        </w:rPr>
        <w:t>та</w:t>
      </w:r>
      <w:r w:rsidR="00BE29E8" w:rsidRPr="007404FA">
        <w:rPr>
          <w:rFonts w:ascii="Times New Roman" w:hAnsi="Times New Roman" w:cs="Times New Roman"/>
          <w:bCs/>
          <w:sz w:val="24"/>
          <w:szCs w:val="24"/>
        </w:rPr>
        <w:t xml:space="preserve"> по заетостта, Изпълнителна агенция „Главна инспекция по труда“, Агенция</w:t>
      </w:r>
      <w:r w:rsidR="00EB3A1F">
        <w:rPr>
          <w:rFonts w:ascii="Times New Roman" w:hAnsi="Times New Roman" w:cs="Times New Roman"/>
          <w:bCs/>
          <w:sz w:val="24"/>
          <w:szCs w:val="24"/>
        </w:rPr>
        <w:t>та</w:t>
      </w:r>
      <w:r w:rsidR="00BE29E8" w:rsidRPr="007404FA">
        <w:rPr>
          <w:rFonts w:ascii="Times New Roman" w:hAnsi="Times New Roman" w:cs="Times New Roman"/>
          <w:bCs/>
          <w:sz w:val="24"/>
          <w:szCs w:val="24"/>
        </w:rPr>
        <w:t xml:space="preserve"> за социално подпомагане, Агенция</w:t>
      </w:r>
      <w:r w:rsidR="00EB3A1F">
        <w:rPr>
          <w:rFonts w:ascii="Times New Roman" w:hAnsi="Times New Roman" w:cs="Times New Roman"/>
          <w:bCs/>
          <w:sz w:val="24"/>
          <w:szCs w:val="24"/>
        </w:rPr>
        <w:t>та</w:t>
      </w:r>
      <w:r w:rsidR="00BE29E8" w:rsidRPr="007404FA">
        <w:rPr>
          <w:rFonts w:ascii="Times New Roman" w:hAnsi="Times New Roman" w:cs="Times New Roman"/>
          <w:bCs/>
          <w:sz w:val="24"/>
          <w:szCs w:val="24"/>
        </w:rPr>
        <w:t xml:space="preserve"> за хората с увреждания</w:t>
      </w:r>
      <w:r w:rsidRPr="007404FA">
        <w:rPr>
          <w:rFonts w:ascii="Times New Roman" w:hAnsi="Times New Roman" w:cs="Times New Roman"/>
          <w:bCs/>
          <w:sz w:val="24"/>
          <w:szCs w:val="24"/>
        </w:rPr>
        <w:t xml:space="preserve">. В семинарите са разгледани темите, свързани с правната уредба за защита на личните данни на европейско и национално ниво, правата на физическите лица съгласно ОРЗД и ЗЗЛД, задълженията на </w:t>
      </w:r>
      <w:r w:rsidRPr="007404FA">
        <w:rPr>
          <w:rFonts w:ascii="Times New Roman" w:hAnsi="Times New Roman" w:cs="Times New Roman"/>
          <w:bCs/>
          <w:sz w:val="24"/>
          <w:szCs w:val="24"/>
        </w:rPr>
        <w:lastRenderedPageBreak/>
        <w:t>администраторите на лични данни и техните служители, функциите на Европейския комитет по защита на данни, ролята и задачите на длъжностните лица по защита на личните данни; практиката по прилагане на правилата за защита на личните данни; защитата на личните данни в трудовоправен и служебен контекст, както и тенденциите за развитие в сферата на защитата на личните данни.</w:t>
      </w:r>
    </w:p>
    <w:p w:rsidR="008F0A24" w:rsidRPr="007404FA" w:rsidRDefault="008F0A24" w:rsidP="00DB6B05">
      <w:pPr>
        <w:widowControl w:val="0"/>
        <w:tabs>
          <w:tab w:val="left" w:pos="993"/>
        </w:tabs>
        <w:spacing w:line="360" w:lineRule="auto"/>
        <w:ind w:firstLine="709"/>
        <w:jc w:val="both"/>
        <w:rPr>
          <w:rFonts w:ascii="Times New Roman" w:hAnsi="Times New Roman" w:cs="Times New Roman"/>
          <w:bCs/>
          <w:sz w:val="24"/>
          <w:szCs w:val="24"/>
        </w:rPr>
      </w:pPr>
      <w:r w:rsidRPr="007404FA">
        <w:rPr>
          <w:rFonts w:ascii="Times New Roman" w:hAnsi="Times New Roman" w:cs="Times New Roman"/>
          <w:bCs/>
          <w:sz w:val="24"/>
          <w:szCs w:val="24"/>
        </w:rPr>
        <w:t>Представители на КЗЛД участват</w:t>
      </w:r>
      <w:r w:rsidR="00EB3A1F">
        <w:rPr>
          <w:rFonts w:ascii="Times New Roman" w:hAnsi="Times New Roman" w:cs="Times New Roman"/>
          <w:bCs/>
          <w:sz w:val="24"/>
          <w:szCs w:val="24"/>
        </w:rPr>
        <w:t xml:space="preserve"> в подгрупа към Работна група №</w:t>
      </w:r>
      <w:r w:rsidRPr="007404FA">
        <w:rPr>
          <w:rFonts w:ascii="Times New Roman" w:hAnsi="Times New Roman" w:cs="Times New Roman"/>
          <w:bCs/>
          <w:sz w:val="24"/>
          <w:szCs w:val="24"/>
        </w:rPr>
        <w:t>3 „Право на установяване и свободно предоставяне на услуги“ към</w:t>
      </w:r>
      <w:r w:rsidR="00EB3A1F">
        <w:rPr>
          <w:rFonts w:ascii="Times New Roman" w:hAnsi="Times New Roman" w:cs="Times New Roman"/>
          <w:bCs/>
          <w:sz w:val="24"/>
          <w:szCs w:val="24"/>
        </w:rPr>
        <w:t xml:space="preserve"> Съвета по европейските въпроси</w:t>
      </w:r>
      <w:r w:rsidRPr="007404FA">
        <w:rPr>
          <w:rFonts w:ascii="Times New Roman" w:hAnsi="Times New Roman" w:cs="Times New Roman"/>
          <w:bCs/>
          <w:sz w:val="24"/>
          <w:szCs w:val="24"/>
        </w:rPr>
        <w:t xml:space="preserve"> във връзка с досие 2020/0361 (COD) относно предложение за Регламент на Европейския парламент и на Съвета за Единния пазар за цифрови услуги (</w:t>
      </w:r>
      <w:r w:rsidR="00EB3A1F">
        <w:rPr>
          <w:rFonts w:ascii="Times New Roman" w:hAnsi="Times New Roman" w:cs="Times New Roman"/>
          <w:bCs/>
          <w:sz w:val="24"/>
          <w:szCs w:val="24"/>
        </w:rPr>
        <w:t>з</w:t>
      </w:r>
      <w:r w:rsidRPr="007404FA">
        <w:rPr>
          <w:rFonts w:ascii="Times New Roman" w:hAnsi="Times New Roman" w:cs="Times New Roman"/>
          <w:bCs/>
          <w:sz w:val="24"/>
          <w:szCs w:val="24"/>
        </w:rPr>
        <w:t>аконодателен акт за цифровите услуги) и за изменение на директива 2000/31/ЕО. Регламент (ЕС) 2022/2065 е приет през октомври 2022</w:t>
      </w:r>
      <w:r w:rsidR="00F06583" w:rsidRPr="007404FA">
        <w:rPr>
          <w:rFonts w:ascii="Times New Roman" w:hAnsi="Times New Roman" w:cs="Times New Roman"/>
          <w:bCs/>
          <w:sz w:val="24"/>
          <w:szCs w:val="24"/>
        </w:rPr>
        <w:t> г.</w:t>
      </w:r>
      <w:r w:rsidRPr="007404FA">
        <w:rPr>
          <w:rFonts w:ascii="Times New Roman" w:hAnsi="Times New Roman" w:cs="Times New Roman"/>
          <w:bCs/>
          <w:sz w:val="24"/>
          <w:szCs w:val="24"/>
        </w:rPr>
        <w:t xml:space="preserve"> и ще се прилага от 17 февруари 2024</w:t>
      </w:r>
      <w:r w:rsidR="00F06583" w:rsidRPr="007404FA">
        <w:rPr>
          <w:rFonts w:ascii="Times New Roman" w:hAnsi="Times New Roman" w:cs="Times New Roman"/>
          <w:bCs/>
          <w:sz w:val="24"/>
          <w:szCs w:val="24"/>
        </w:rPr>
        <w:t> г.</w:t>
      </w:r>
    </w:p>
    <w:p w:rsidR="008F0A24" w:rsidRPr="007404FA" w:rsidRDefault="008F0A24" w:rsidP="00DB6B05">
      <w:pPr>
        <w:widowControl w:val="0"/>
        <w:tabs>
          <w:tab w:val="left" w:pos="993"/>
        </w:tabs>
        <w:spacing w:line="360" w:lineRule="auto"/>
        <w:ind w:firstLine="709"/>
        <w:jc w:val="both"/>
        <w:rPr>
          <w:rFonts w:ascii="Times New Roman" w:hAnsi="Times New Roman" w:cs="Times New Roman"/>
          <w:bCs/>
          <w:sz w:val="24"/>
          <w:szCs w:val="24"/>
        </w:rPr>
      </w:pPr>
      <w:r w:rsidRPr="007404FA">
        <w:rPr>
          <w:rFonts w:ascii="Times New Roman" w:hAnsi="Times New Roman" w:cs="Times New Roman"/>
          <w:bCs/>
          <w:sz w:val="24"/>
          <w:szCs w:val="24"/>
        </w:rPr>
        <w:t>Във връзка с представено на 15.12.2020</w:t>
      </w:r>
      <w:r w:rsidR="00F06583" w:rsidRPr="007404FA">
        <w:rPr>
          <w:rFonts w:ascii="Times New Roman" w:hAnsi="Times New Roman" w:cs="Times New Roman"/>
          <w:bCs/>
          <w:sz w:val="24"/>
          <w:szCs w:val="24"/>
        </w:rPr>
        <w:t> г.</w:t>
      </w:r>
      <w:r w:rsidRPr="007404FA">
        <w:rPr>
          <w:rFonts w:ascii="Times New Roman" w:hAnsi="Times New Roman" w:cs="Times New Roman"/>
          <w:bCs/>
          <w:sz w:val="24"/>
          <w:szCs w:val="24"/>
        </w:rPr>
        <w:t xml:space="preserve"> от Европейската</w:t>
      </w:r>
      <w:r w:rsidR="00157B49">
        <w:rPr>
          <w:rFonts w:ascii="Times New Roman" w:hAnsi="Times New Roman" w:cs="Times New Roman"/>
          <w:bCs/>
          <w:sz w:val="24"/>
          <w:szCs w:val="24"/>
        </w:rPr>
        <w:t xml:space="preserve"> </w:t>
      </w:r>
      <w:r w:rsidRPr="007404FA">
        <w:rPr>
          <w:rFonts w:ascii="Times New Roman" w:hAnsi="Times New Roman" w:cs="Times New Roman"/>
          <w:bCs/>
          <w:sz w:val="24"/>
          <w:szCs w:val="24"/>
        </w:rPr>
        <w:t>комисия ново законодателно предложение за Регламент на Европейския парламент и на Съвета относно достъпни и справедливи пазари в цифровия сектор (законодателен акт за цифровите пазари) е създадена междуведомстве</w:t>
      </w:r>
      <w:r w:rsidR="00EB3A1F">
        <w:rPr>
          <w:rFonts w:ascii="Times New Roman" w:hAnsi="Times New Roman" w:cs="Times New Roman"/>
          <w:bCs/>
          <w:sz w:val="24"/>
          <w:szCs w:val="24"/>
        </w:rPr>
        <w:t>на подгрупа към Работна група №</w:t>
      </w:r>
      <w:r w:rsidRPr="007404FA">
        <w:rPr>
          <w:rFonts w:ascii="Times New Roman" w:hAnsi="Times New Roman" w:cs="Times New Roman"/>
          <w:bCs/>
          <w:sz w:val="24"/>
          <w:szCs w:val="24"/>
        </w:rPr>
        <w:t>5 „Конкуренция“ за работа по досие 2020/0374 с цитирания по-горе предмет, в работата на която КЗЛД също така участва чрез свои представители. Регламент (ЕС) 2022/1925 е приет през септември 2022</w:t>
      </w:r>
      <w:r w:rsidR="00F06583" w:rsidRPr="007404FA">
        <w:rPr>
          <w:rFonts w:ascii="Times New Roman" w:hAnsi="Times New Roman" w:cs="Times New Roman"/>
          <w:bCs/>
          <w:sz w:val="24"/>
          <w:szCs w:val="24"/>
        </w:rPr>
        <w:t> г.</w:t>
      </w:r>
      <w:r w:rsidRPr="007404FA">
        <w:rPr>
          <w:rFonts w:ascii="Times New Roman" w:hAnsi="Times New Roman" w:cs="Times New Roman"/>
          <w:bCs/>
          <w:sz w:val="24"/>
          <w:szCs w:val="24"/>
        </w:rPr>
        <w:t>, а неговото прилагане ще започне от 2 май 2023</w:t>
      </w:r>
      <w:r w:rsidR="00F06583" w:rsidRPr="007404FA">
        <w:rPr>
          <w:rFonts w:ascii="Times New Roman" w:hAnsi="Times New Roman" w:cs="Times New Roman"/>
          <w:bCs/>
          <w:sz w:val="24"/>
          <w:szCs w:val="24"/>
        </w:rPr>
        <w:t> г.</w:t>
      </w:r>
      <w:r w:rsidRPr="007404FA">
        <w:rPr>
          <w:rFonts w:ascii="Times New Roman" w:hAnsi="Times New Roman" w:cs="Times New Roman"/>
          <w:bCs/>
          <w:sz w:val="24"/>
          <w:szCs w:val="24"/>
        </w:rPr>
        <w:t>, като член 3, параграфи 6 и 7 и членове 40, 46, 47, 48, 49 и 50 се прилагат от 1 ноември 2022</w:t>
      </w:r>
      <w:r w:rsidR="00F06583" w:rsidRPr="007404FA">
        <w:rPr>
          <w:rFonts w:ascii="Times New Roman" w:hAnsi="Times New Roman" w:cs="Times New Roman"/>
          <w:bCs/>
          <w:sz w:val="24"/>
          <w:szCs w:val="24"/>
        </w:rPr>
        <w:t> г.</w:t>
      </w:r>
      <w:r w:rsidRPr="007404FA">
        <w:rPr>
          <w:rFonts w:ascii="Times New Roman" w:hAnsi="Times New Roman" w:cs="Times New Roman"/>
          <w:bCs/>
          <w:sz w:val="24"/>
          <w:szCs w:val="24"/>
        </w:rPr>
        <w:t>, а членове 42 и 43</w:t>
      </w:r>
      <w:r w:rsidR="00553661" w:rsidRPr="007404FA">
        <w:rPr>
          <w:rFonts w:ascii="Times New Roman" w:hAnsi="Times New Roman" w:cs="Times New Roman"/>
          <w:bCs/>
          <w:sz w:val="24"/>
          <w:szCs w:val="24"/>
        </w:rPr>
        <w:t xml:space="preserve"> – </w:t>
      </w:r>
      <w:r w:rsidRPr="007404FA">
        <w:rPr>
          <w:rFonts w:ascii="Times New Roman" w:hAnsi="Times New Roman" w:cs="Times New Roman"/>
          <w:bCs/>
          <w:sz w:val="24"/>
          <w:szCs w:val="24"/>
        </w:rPr>
        <w:t>от 25 юни 2023</w:t>
      </w:r>
      <w:r w:rsidR="00F06583" w:rsidRPr="007404FA">
        <w:rPr>
          <w:rFonts w:ascii="Times New Roman" w:hAnsi="Times New Roman" w:cs="Times New Roman"/>
          <w:bCs/>
          <w:sz w:val="24"/>
          <w:szCs w:val="24"/>
        </w:rPr>
        <w:t> г.</w:t>
      </w:r>
    </w:p>
    <w:p w:rsidR="008F0A24" w:rsidRPr="007404FA" w:rsidRDefault="008F0A24" w:rsidP="00DB6B05">
      <w:pPr>
        <w:widowControl w:val="0"/>
        <w:tabs>
          <w:tab w:val="left" w:pos="993"/>
        </w:tabs>
        <w:spacing w:line="360" w:lineRule="auto"/>
        <w:ind w:firstLine="709"/>
        <w:jc w:val="both"/>
        <w:rPr>
          <w:rFonts w:ascii="Times New Roman" w:hAnsi="Times New Roman" w:cs="Times New Roman"/>
          <w:bCs/>
          <w:sz w:val="24"/>
          <w:szCs w:val="24"/>
        </w:rPr>
      </w:pPr>
      <w:r w:rsidRPr="007404FA">
        <w:rPr>
          <w:rFonts w:ascii="Times New Roman" w:hAnsi="Times New Roman" w:cs="Times New Roman"/>
          <w:bCs/>
          <w:sz w:val="24"/>
          <w:szCs w:val="24"/>
        </w:rPr>
        <w:t>В проце</w:t>
      </w:r>
      <w:r w:rsidR="00EB3A1F">
        <w:rPr>
          <w:rFonts w:ascii="Times New Roman" w:hAnsi="Times New Roman" w:cs="Times New Roman"/>
          <w:bCs/>
          <w:sz w:val="24"/>
          <w:szCs w:val="24"/>
        </w:rPr>
        <w:t>са на работа на Работна група №</w:t>
      </w:r>
      <w:r w:rsidRPr="007404FA">
        <w:rPr>
          <w:rFonts w:ascii="Times New Roman" w:hAnsi="Times New Roman" w:cs="Times New Roman"/>
          <w:bCs/>
          <w:sz w:val="24"/>
          <w:szCs w:val="24"/>
        </w:rPr>
        <w:t>17 „Телекомуникации и информационни технологии“ през годината са дискутирани редица законодателни предложения на ЕС, касаещи въвеждането на мерки за високо общо ниво на киберсигурност в рамките на Съюза, създаването на рамка за европейската цифрова самоличност, регулиране на изкуствения интелект и пр. Макар и минимален</w:t>
      </w:r>
      <w:r w:rsidR="00EB3A1F">
        <w:rPr>
          <w:rFonts w:ascii="Times New Roman" w:hAnsi="Times New Roman" w:cs="Times New Roman"/>
          <w:bCs/>
          <w:sz w:val="24"/>
          <w:szCs w:val="24"/>
        </w:rPr>
        <w:t>,</w:t>
      </w:r>
      <w:r w:rsidRPr="007404FA">
        <w:rPr>
          <w:rFonts w:ascii="Times New Roman" w:hAnsi="Times New Roman" w:cs="Times New Roman"/>
          <w:bCs/>
          <w:sz w:val="24"/>
          <w:szCs w:val="24"/>
        </w:rPr>
        <w:t xml:space="preserve"> може да се отчете напредък по предложението за регламент относно електронната неприкосновеност.</w:t>
      </w:r>
    </w:p>
    <w:p w:rsidR="008F0A24" w:rsidRPr="007404FA" w:rsidRDefault="008F0A24" w:rsidP="00DB6B05">
      <w:pPr>
        <w:widowControl w:val="0"/>
        <w:tabs>
          <w:tab w:val="left" w:pos="993"/>
        </w:tabs>
        <w:spacing w:line="360" w:lineRule="auto"/>
        <w:ind w:firstLine="709"/>
        <w:jc w:val="both"/>
        <w:rPr>
          <w:rFonts w:ascii="Times New Roman" w:hAnsi="Times New Roman" w:cs="Times New Roman"/>
          <w:bCs/>
          <w:sz w:val="24"/>
          <w:szCs w:val="24"/>
        </w:rPr>
      </w:pPr>
      <w:r w:rsidRPr="007404FA">
        <w:rPr>
          <w:rFonts w:ascii="Times New Roman" w:hAnsi="Times New Roman" w:cs="Times New Roman"/>
          <w:bCs/>
          <w:sz w:val="24"/>
          <w:szCs w:val="24"/>
        </w:rPr>
        <w:t>Като постоянен ангажимент на КЗЛ</w:t>
      </w:r>
      <w:r w:rsidR="00EB3A1F">
        <w:rPr>
          <w:rFonts w:ascii="Times New Roman" w:hAnsi="Times New Roman" w:cs="Times New Roman"/>
          <w:bCs/>
          <w:sz w:val="24"/>
          <w:szCs w:val="24"/>
        </w:rPr>
        <w:t>Д е участието в Работни групи №</w:t>
      </w:r>
      <w:r w:rsidRPr="007404FA">
        <w:rPr>
          <w:rFonts w:ascii="Times New Roman" w:hAnsi="Times New Roman" w:cs="Times New Roman"/>
          <w:bCs/>
          <w:sz w:val="24"/>
          <w:szCs w:val="24"/>
        </w:rPr>
        <w:t>23 „Сътрудничество в областта на вътрешните работи“ и №33 „Сътрудничество в областта на правосъдието и защита на личните данни“, на която представител на КЗЛД е и съпредседател. В рамките на обединените усилия от всички посочени работни групи във формат Съвет по европейски</w:t>
      </w:r>
      <w:r w:rsidR="00EB3A1F">
        <w:rPr>
          <w:rFonts w:ascii="Times New Roman" w:hAnsi="Times New Roman" w:cs="Times New Roman"/>
          <w:bCs/>
          <w:sz w:val="24"/>
          <w:szCs w:val="24"/>
        </w:rPr>
        <w:t xml:space="preserve"> въпроси към Министерския съвет</w:t>
      </w:r>
      <w:r w:rsidRPr="007404FA">
        <w:rPr>
          <w:rFonts w:ascii="Times New Roman" w:hAnsi="Times New Roman" w:cs="Times New Roman"/>
          <w:bCs/>
          <w:sz w:val="24"/>
          <w:szCs w:val="24"/>
        </w:rPr>
        <w:t xml:space="preserve"> КЗЛД е подпомагала работата на редица ведомства в рамките на своята компетентност.</w:t>
      </w:r>
    </w:p>
    <w:p w:rsidR="008F0A24" w:rsidRPr="007404FA" w:rsidRDefault="008F0A24" w:rsidP="00DB6B05">
      <w:pPr>
        <w:widowControl w:val="0"/>
        <w:tabs>
          <w:tab w:val="left" w:pos="993"/>
        </w:tabs>
        <w:spacing w:line="360" w:lineRule="auto"/>
        <w:ind w:firstLine="709"/>
        <w:jc w:val="both"/>
        <w:rPr>
          <w:rFonts w:ascii="Times New Roman" w:hAnsi="Times New Roman" w:cs="Times New Roman"/>
          <w:bCs/>
          <w:sz w:val="24"/>
          <w:szCs w:val="24"/>
        </w:rPr>
      </w:pPr>
      <w:r w:rsidRPr="007404FA">
        <w:rPr>
          <w:rFonts w:ascii="Times New Roman" w:hAnsi="Times New Roman" w:cs="Times New Roman"/>
          <w:bCs/>
          <w:sz w:val="24"/>
          <w:szCs w:val="24"/>
        </w:rPr>
        <w:t xml:space="preserve">По повод на възникналия в началото на годината инцидент в процеса по трансформиране на кода по БУЛСТАТ на физическите лица от 10-значен (ЕГН) на 9-значен (ЕИК), осъществяван от Агенцията по вписванията, КЗЛД оказва подкрепа на НС за належащите спешни нормативни промени в Закона за регистър БУЛСТАТ. Въз основа на </w:t>
      </w:r>
      <w:r w:rsidRPr="007404FA">
        <w:rPr>
          <w:rFonts w:ascii="Times New Roman" w:hAnsi="Times New Roman" w:cs="Times New Roman"/>
          <w:bCs/>
          <w:sz w:val="24"/>
          <w:szCs w:val="24"/>
        </w:rPr>
        <w:lastRenderedPageBreak/>
        <w:t>тях е изработена и приета нова редакция на закона, според която ЕГН, ЛНЧ, дата на раждане, постоянен и настоящ адрес вече не са елемент от публичната част на регистъра. С промените в закона са уредени изчерпателно и категориите данни, подлежащи на вписване, разграничени се режимите за достъп до тях, както и са въведени срокове за съхранение на данните за заявения достъп.</w:t>
      </w:r>
    </w:p>
    <w:p w:rsidR="008F0A24" w:rsidRPr="007404FA" w:rsidRDefault="008F0A24" w:rsidP="00DB6B05">
      <w:pPr>
        <w:widowControl w:val="0"/>
        <w:tabs>
          <w:tab w:val="left" w:pos="993"/>
        </w:tabs>
        <w:spacing w:line="360" w:lineRule="auto"/>
        <w:ind w:firstLine="709"/>
        <w:jc w:val="both"/>
        <w:rPr>
          <w:rFonts w:ascii="Times New Roman" w:hAnsi="Times New Roman" w:cs="Times New Roman"/>
          <w:bCs/>
          <w:sz w:val="24"/>
          <w:szCs w:val="24"/>
        </w:rPr>
      </w:pPr>
      <w:r w:rsidRPr="007404FA">
        <w:rPr>
          <w:rFonts w:ascii="Times New Roman" w:hAnsi="Times New Roman" w:cs="Times New Roman"/>
          <w:bCs/>
          <w:sz w:val="24"/>
          <w:szCs w:val="24"/>
        </w:rPr>
        <w:t>През 2022</w:t>
      </w:r>
      <w:r w:rsidR="00F06583" w:rsidRPr="007404FA">
        <w:rPr>
          <w:rFonts w:ascii="Times New Roman" w:hAnsi="Times New Roman" w:cs="Times New Roman"/>
          <w:bCs/>
          <w:sz w:val="24"/>
          <w:szCs w:val="24"/>
        </w:rPr>
        <w:t> г.</w:t>
      </w:r>
      <w:r w:rsidRPr="007404FA">
        <w:rPr>
          <w:rFonts w:ascii="Times New Roman" w:hAnsi="Times New Roman" w:cs="Times New Roman"/>
          <w:bCs/>
          <w:sz w:val="24"/>
          <w:szCs w:val="24"/>
        </w:rPr>
        <w:t xml:space="preserve"> продължава и участието на представител на КЗЛД в ежегодното заседание на Обществения съвет към Националния център за безопасен интернет. Дейността на Центъра се основава на принципа на публично-частното партньорство. Националният център за безопасен интернет целево съдейства за активното повишаване на обществената осведоменост и за противодействие на разпространението на незаконно и вредно за деца и млади хора съдържание и поведение в интернет пространството чрез подходящи информационни и обучителни материали и методики, както и провеждането на обучения с деца, млади хора, родители, учители и други професионалисти. </w:t>
      </w:r>
    </w:p>
    <w:p w:rsidR="008F0A24" w:rsidRPr="007404FA" w:rsidRDefault="008F0A24" w:rsidP="00DB6B05">
      <w:pPr>
        <w:widowControl w:val="0"/>
        <w:tabs>
          <w:tab w:val="left" w:pos="993"/>
        </w:tabs>
        <w:spacing w:line="360" w:lineRule="auto"/>
        <w:ind w:firstLine="709"/>
        <w:jc w:val="both"/>
      </w:pPr>
      <w:r w:rsidRPr="007404FA">
        <w:rPr>
          <w:rFonts w:ascii="Times New Roman" w:hAnsi="Times New Roman" w:cs="Times New Roman"/>
          <w:bCs/>
          <w:sz w:val="24"/>
          <w:szCs w:val="24"/>
        </w:rPr>
        <w:t>И през изминалата година, водена от политиката си за партньорство, КЗЛД активно търси и развива партньорства със сродни надзорни органи, неправителствения сектор, бизнеса и академичните среди. Примери за последните са сключените споразумения за сътрудничество с Югозападния университет „Неофит Рилски“ и завършилата процедура за подписване на споразумение от страна на КЗЛД с Юридическия факултет на Софийския университет „Св. Кли</w:t>
      </w:r>
      <w:r w:rsidR="00EB3A1F">
        <w:rPr>
          <w:rFonts w:ascii="Times New Roman" w:hAnsi="Times New Roman" w:cs="Times New Roman"/>
          <w:bCs/>
          <w:sz w:val="24"/>
          <w:szCs w:val="24"/>
        </w:rPr>
        <w:t>м</w:t>
      </w:r>
      <w:r w:rsidRPr="007404FA">
        <w:rPr>
          <w:rFonts w:ascii="Times New Roman" w:hAnsi="Times New Roman" w:cs="Times New Roman"/>
          <w:bCs/>
          <w:sz w:val="24"/>
          <w:szCs w:val="24"/>
        </w:rPr>
        <w:t>ент Охридски“. Посредством подготовката на проектни предложения през 2022</w:t>
      </w:r>
      <w:r w:rsidR="00F06583" w:rsidRPr="007404FA">
        <w:rPr>
          <w:rFonts w:ascii="Times New Roman" w:hAnsi="Times New Roman" w:cs="Times New Roman"/>
          <w:bCs/>
          <w:sz w:val="24"/>
          <w:szCs w:val="24"/>
        </w:rPr>
        <w:t> г.</w:t>
      </w:r>
      <w:r w:rsidRPr="007404FA">
        <w:rPr>
          <w:rFonts w:ascii="Times New Roman" w:hAnsi="Times New Roman" w:cs="Times New Roman"/>
          <w:bCs/>
          <w:sz w:val="24"/>
          <w:szCs w:val="24"/>
        </w:rPr>
        <w:t xml:space="preserve"> КЗЛД е реализирала партньорски отношения по линия на проектната дейност с държавни институции и сродни органи, частни организации, неправителствения сектор и академичните среди от Република България, Белгия, Франция, Гърция, Полша, Великобритания, Румъния, Република Сърбия, Италия, Република Молдова, Хърватия.</w:t>
      </w:r>
    </w:p>
    <w:p w:rsidR="008F0A24" w:rsidRPr="007404FA" w:rsidRDefault="008F0A24" w:rsidP="00DB6B05">
      <w:pPr>
        <w:spacing w:line="360" w:lineRule="auto"/>
        <w:ind w:firstLine="709"/>
        <w:jc w:val="both"/>
        <w:rPr>
          <w:rFonts w:ascii="Times New Roman" w:eastAsia="Times New Roman" w:hAnsi="Times New Roman" w:cs="Times New Roman"/>
          <w:b/>
          <w:sz w:val="24"/>
        </w:rPr>
      </w:pPr>
    </w:p>
    <w:p w:rsidR="00D55BC5" w:rsidRPr="007404FA" w:rsidRDefault="008F0A24" w:rsidP="00DB6B05">
      <w:pPr>
        <w:spacing w:line="360" w:lineRule="auto"/>
        <w:ind w:firstLine="709"/>
        <w:jc w:val="both"/>
        <w:rPr>
          <w:rFonts w:ascii="Times New Roman" w:eastAsia="Times New Roman" w:hAnsi="Times New Roman" w:cs="Times New Roman"/>
          <w:b/>
          <w:sz w:val="24"/>
        </w:rPr>
      </w:pPr>
      <w:r w:rsidRPr="007404FA">
        <w:rPr>
          <w:rFonts w:ascii="Times New Roman" w:eastAsia="Times New Roman" w:hAnsi="Times New Roman" w:cs="Times New Roman"/>
          <w:b/>
          <w:sz w:val="24"/>
        </w:rPr>
        <w:t>2</w:t>
      </w:r>
      <w:r w:rsidR="00D55BC5" w:rsidRPr="007404FA">
        <w:rPr>
          <w:rFonts w:ascii="Times New Roman" w:eastAsia="Times New Roman" w:hAnsi="Times New Roman" w:cs="Times New Roman"/>
          <w:b/>
          <w:sz w:val="24"/>
        </w:rPr>
        <w:t>. У</w:t>
      </w:r>
      <w:r w:rsidR="001A634A" w:rsidRPr="007404FA">
        <w:rPr>
          <w:rFonts w:ascii="Times New Roman" w:eastAsia="Times New Roman" w:hAnsi="Times New Roman" w:cs="Times New Roman"/>
          <w:b/>
          <w:sz w:val="24"/>
        </w:rPr>
        <w:t>твърждаване на фигурата на Д</w:t>
      </w:r>
      <w:r w:rsidR="00B31E64" w:rsidRPr="007404FA">
        <w:rPr>
          <w:rFonts w:ascii="Times New Roman" w:eastAsia="Times New Roman" w:hAnsi="Times New Roman" w:cs="Times New Roman"/>
          <w:b/>
          <w:sz w:val="24"/>
        </w:rPr>
        <w:t>Л</w:t>
      </w:r>
      <w:r w:rsidR="001A634A" w:rsidRPr="007404FA">
        <w:rPr>
          <w:rFonts w:ascii="Times New Roman" w:eastAsia="Times New Roman" w:hAnsi="Times New Roman" w:cs="Times New Roman"/>
          <w:b/>
          <w:sz w:val="24"/>
        </w:rPr>
        <w:t>З</w:t>
      </w:r>
      <w:r w:rsidR="00B31E64" w:rsidRPr="007404FA">
        <w:rPr>
          <w:rFonts w:ascii="Times New Roman" w:eastAsia="Times New Roman" w:hAnsi="Times New Roman" w:cs="Times New Roman"/>
          <w:b/>
          <w:sz w:val="24"/>
        </w:rPr>
        <w:t>Д.</w:t>
      </w:r>
    </w:p>
    <w:p w:rsidR="002D36F1" w:rsidRPr="007404FA" w:rsidRDefault="002D36F1" w:rsidP="00DB6B05">
      <w:pPr>
        <w:spacing w:line="360" w:lineRule="auto"/>
        <w:ind w:firstLine="709"/>
        <w:jc w:val="both"/>
        <w:rPr>
          <w:rFonts w:ascii="Times New Roman" w:eastAsia="Calibri" w:hAnsi="Times New Roman" w:cs="Times New Roman"/>
          <w:b/>
          <w:sz w:val="24"/>
        </w:rPr>
      </w:pPr>
      <w:r w:rsidRPr="007404FA">
        <w:rPr>
          <w:rFonts w:ascii="Times New Roman" w:eastAsia="Calibri" w:hAnsi="Times New Roman" w:cs="Times New Roman"/>
          <w:b/>
          <w:sz w:val="24"/>
        </w:rPr>
        <w:t>2.1. Обща информация и статистика</w:t>
      </w:r>
      <w:r w:rsidR="00EB3A1F">
        <w:rPr>
          <w:rFonts w:ascii="Times New Roman" w:eastAsia="Calibri" w:hAnsi="Times New Roman" w:cs="Times New Roman"/>
          <w:b/>
          <w:sz w:val="24"/>
        </w:rPr>
        <w:t>.</w:t>
      </w:r>
    </w:p>
    <w:p w:rsidR="00D55BC5" w:rsidRPr="007404FA" w:rsidRDefault="00D55BC5"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Длъжностното лице по защита н</w:t>
      </w:r>
      <w:r w:rsidR="00EB3A1F">
        <w:rPr>
          <w:rFonts w:ascii="Times New Roman" w:eastAsia="Calibri" w:hAnsi="Times New Roman" w:cs="Times New Roman"/>
          <w:sz w:val="24"/>
          <w:szCs w:val="24"/>
        </w:rPr>
        <w:t>а данните (ДЛЗД) е важна фигура</w:t>
      </w:r>
      <w:r w:rsidRPr="007404FA">
        <w:rPr>
          <w:rFonts w:ascii="Times New Roman" w:eastAsia="Calibri" w:hAnsi="Times New Roman" w:cs="Times New Roman"/>
          <w:sz w:val="24"/>
          <w:szCs w:val="24"/>
        </w:rPr>
        <w:t xml:space="preserve"> с възложени особ</w:t>
      </w:r>
      <w:r w:rsidR="00EB3A1F">
        <w:rPr>
          <w:rFonts w:ascii="Times New Roman" w:eastAsia="Calibri" w:hAnsi="Times New Roman" w:cs="Times New Roman"/>
          <w:sz w:val="24"/>
          <w:szCs w:val="24"/>
        </w:rPr>
        <w:t>ени функции</w:t>
      </w:r>
      <w:r w:rsidRPr="007404FA">
        <w:rPr>
          <w:rFonts w:ascii="Times New Roman" w:eastAsia="Calibri" w:hAnsi="Times New Roman" w:cs="Times New Roman"/>
          <w:sz w:val="24"/>
          <w:szCs w:val="24"/>
        </w:rPr>
        <w:t xml:space="preserve"> съгласно Регламент (ЕС) 2016/679. На основание</w:t>
      </w:r>
      <w:r w:rsidR="00F06583" w:rsidRPr="007404FA">
        <w:rPr>
          <w:rFonts w:ascii="Times New Roman" w:eastAsia="Calibri" w:hAnsi="Times New Roman" w:cs="Times New Roman"/>
          <w:sz w:val="24"/>
          <w:szCs w:val="24"/>
        </w:rPr>
        <w:t xml:space="preserve"> чл. </w:t>
      </w:r>
      <w:r w:rsidRPr="007404FA">
        <w:rPr>
          <w:rFonts w:ascii="Times New Roman" w:eastAsia="Calibri" w:hAnsi="Times New Roman" w:cs="Times New Roman"/>
          <w:sz w:val="24"/>
          <w:szCs w:val="24"/>
        </w:rPr>
        <w:t>37 от Регламент (ЕС) 2016/679 АЛД и ОЛД определят ДЛЗД, публикуват данните за контакт с длъжностното лице и ги съобщават на надзорния орган. В</w:t>
      </w:r>
      <w:r w:rsidR="00F06583" w:rsidRPr="007404FA">
        <w:rPr>
          <w:rFonts w:ascii="Times New Roman" w:eastAsia="Calibri" w:hAnsi="Times New Roman" w:cs="Times New Roman"/>
          <w:sz w:val="24"/>
          <w:szCs w:val="24"/>
        </w:rPr>
        <w:t xml:space="preserve"> чл. </w:t>
      </w:r>
      <w:r w:rsidRPr="007404FA">
        <w:rPr>
          <w:rFonts w:ascii="Times New Roman" w:eastAsia="Calibri" w:hAnsi="Times New Roman" w:cs="Times New Roman"/>
          <w:sz w:val="24"/>
          <w:szCs w:val="24"/>
        </w:rPr>
        <w:t>25б от ЗЗЛД това задължение е конкретизирано, като са посочени изискуемите за регистрация данни, а</w:t>
      </w:r>
      <w:r w:rsidR="00157B49">
        <w:rPr>
          <w:rFonts w:ascii="Times New Roman" w:eastAsia="Calibri" w:hAnsi="Times New Roman" w:cs="Times New Roman"/>
          <w:sz w:val="24"/>
          <w:szCs w:val="24"/>
        </w:rPr>
        <w:t xml:space="preserve"> </w:t>
      </w:r>
      <w:r w:rsidR="00F06583" w:rsidRPr="007404FA">
        <w:rPr>
          <w:rFonts w:ascii="Times New Roman" w:eastAsia="Calibri" w:hAnsi="Times New Roman" w:cs="Times New Roman"/>
          <w:sz w:val="24"/>
          <w:szCs w:val="24"/>
        </w:rPr>
        <w:t>чл. </w:t>
      </w:r>
      <w:r w:rsidRPr="007404FA">
        <w:rPr>
          <w:rFonts w:ascii="Times New Roman" w:eastAsia="Calibri" w:hAnsi="Times New Roman" w:cs="Times New Roman"/>
          <w:sz w:val="24"/>
          <w:szCs w:val="24"/>
        </w:rPr>
        <w:t>15,</w:t>
      </w:r>
      <w:r w:rsidR="00F06583" w:rsidRPr="007404FA">
        <w:rPr>
          <w:rFonts w:ascii="Times New Roman" w:eastAsia="Calibri" w:hAnsi="Times New Roman" w:cs="Times New Roman"/>
          <w:sz w:val="24"/>
          <w:szCs w:val="24"/>
        </w:rPr>
        <w:t xml:space="preserve"> ал. </w:t>
      </w:r>
      <w:r w:rsidRPr="007404FA">
        <w:rPr>
          <w:rFonts w:ascii="Times New Roman" w:eastAsia="Calibri" w:hAnsi="Times New Roman" w:cs="Times New Roman"/>
          <w:sz w:val="24"/>
          <w:szCs w:val="24"/>
        </w:rPr>
        <w:t>1,</w:t>
      </w:r>
      <w:r w:rsidR="00F06583" w:rsidRPr="007404FA">
        <w:rPr>
          <w:rFonts w:ascii="Times New Roman" w:eastAsia="Calibri" w:hAnsi="Times New Roman" w:cs="Times New Roman"/>
          <w:sz w:val="24"/>
          <w:szCs w:val="24"/>
        </w:rPr>
        <w:t xml:space="preserve"> т. </w:t>
      </w:r>
      <w:r w:rsidRPr="007404FA">
        <w:rPr>
          <w:rFonts w:ascii="Times New Roman" w:eastAsia="Calibri" w:hAnsi="Times New Roman" w:cs="Times New Roman"/>
          <w:sz w:val="24"/>
          <w:szCs w:val="24"/>
        </w:rPr>
        <w:t>1 от ЗЗЛД постановява воденето на специален публичен регистър</w:t>
      </w:r>
      <w:r w:rsidR="00E06D6E">
        <w:rPr>
          <w:rFonts w:ascii="Times New Roman" w:eastAsia="Calibri" w:hAnsi="Times New Roman" w:cs="Times New Roman"/>
          <w:sz w:val="24"/>
          <w:szCs w:val="24"/>
        </w:rPr>
        <w:t xml:space="preserve"> – </w:t>
      </w:r>
      <w:r w:rsidRPr="007404FA">
        <w:rPr>
          <w:rFonts w:ascii="Times New Roman" w:eastAsia="Calibri" w:hAnsi="Times New Roman" w:cs="Times New Roman"/>
          <w:sz w:val="24"/>
          <w:szCs w:val="24"/>
        </w:rPr>
        <w:t>„Регистър за администраторите/обработв</w:t>
      </w:r>
      <w:r w:rsidR="00B62B1D" w:rsidRPr="007404FA">
        <w:rPr>
          <w:rFonts w:ascii="Times New Roman" w:eastAsia="Calibri" w:hAnsi="Times New Roman" w:cs="Times New Roman"/>
          <w:sz w:val="24"/>
          <w:szCs w:val="24"/>
        </w:rPr>
        <w:t>ащите лични данни, определили ДЛЗ</w:t>
      </w:r>
      <w:r w:rsidRPr="007404FA">
        <w:rPr>
          <w:rFonts w:ascii="Times New Roman" w:eastAsia="Calibri" w:hAnsi="Times New Roman" w:cs="Times New Roman"/>
          <w:sz w:val="24"/>
          <w:szCs w:val="24"/>
        </w:rPr>
        <w:t>Д“, чрез който данните за кон</w:t>
      </w:r>
      <w:r w:rsidR="00B62B1D" w:rsidRPr="007404FA">
        <w:rPr>
          <w:rFonts w:ascii="Times New Roman" w:eastAsia="Calibri" w:hAnsi="Times New Roman" w:cs="Times New Roman"/>
          <w:sz w:val="24"/>
          <w:szCs w:val="24"/>
        </w:rPr>
        <w:t>такт с Д</w:t>
      </w:r>
      <w:r w:rsidRPr="007404FA">
        <w:rPr>
          <w:rFonts w:ascii="Times New Roman" w:eastAsia="Calibri" w:hAnsi="Times New Roman" w:cs="Times New Roman"/>
          <w:sz w:val="24"/>
          <w:szCs w:val="24"/>
        </w:rPr>
        <w:t>Л</w:t>
      </w:r>
      <w:r w:rsidR="00B62B1D" w:rsidRPr="007404FA">
        <w:rPr>
          <w:rFonts w:ascii="Times New Roman" w:eastAsia="Calibri" w:hAnsi="Times New Roman" w:cs="Times New Roman"/>
          <w:sz w:val="24"/>
          <w:szCs w:val="24"/>
        </w:rPr>
        <w:t>З</w:t>
      </w:r>
      <w:r w:rsidRPr="007404FA">
        <w:rPr>
          <w:rFonts w:ascii="Times New Roman" w:eastAsia="Calibri" w:hAnsi="Times New Roman" w:cs="Times New Roman"/>
          <w:sz w:val="24"/>
          <w:szCs w:val="24"/>
        </w:rPr>
        <w:t>Д да бъдат събрани на едно място и</w:t>
      </w:r>
      <w:r w:rsidR="00157B49">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 xml:space="preserve">да бъдат достъпни за всеки, който има нужда от тази информация. </w:t>
      </w:r>
    </w:p>
    <w:p w:rsidR="00D55BC5" w:rsidRPr="007404FA" w:rsidRDefault="00D55BC5"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lastRenderedPageBreak/>
        <w:t>Данните в регистъра се набират от</w:t>
      </w:r>
      <w:r w:rsidR="00157B49">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 xml:space="preserve">подадените уведомления чрез попълване на утвърдения образец на </w:t>
      </w:r>
      <w:r w:rsidR="00EB3A1F">
        <w:rPr>
          <w:rFonts w:ascii="Times New Roman" w:eastAsia="Calibri" w:hAnsi="Times New Roman" w:cs="Times New Roman"/>
          <w:sz w:val="24"/>
          <w:szCs w:val="24"/>
        </w:rPr>
        <w:t>у</w:t>
      </w:r>
      <w:r w:rsidRPr="007404FA">
        <w:rPr>
          <w:rFonts w:ascii="Times New Roman" w:eastAsia="Calibri" w:hAnsi="Times New Roman" w:cs="Times New Roman"/>
          <w:sz w:val="24"/>
          <w:szCs w:val="24"/>
        </w:rPr>
        <w:t>ведомление, публикуван на</w:t>
      </w:r>
      <w:r w:rsidR="00157B49">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 xml:space="preserve">сайта на КЗЛД и подаден по един от следните начини: </w:t>
      </w:r>
    </w:p>
    <w:p w:rsidR="00D55BC5" w:rsidRPr="007404FA" w:rsidRDefault="00EB3A1F" w:rsidP="00DB6B05">
      <w:pPr>
        <w:numPr>
          <w:ilvl w:val="0"/>
          <w:numId w:val="33"/>
        </w:numPr>
        <w:spacing w:line="36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ч</w:t>
      </w:r>
      <w:r w:rsidR="00D55BC5" w:rsidRPr="007404FA">
        <w:rPr>
          <w:rFonts w:ascii="Times New Roman" w:eastAsia="Calibri" w:hAnsi="Times New Roman" w:cs="Times New Roman"/>
          <w:sz w:val="24"/>
          <w:szCs w:val="24"/>
        </w:rPr>
        <w:t>рез Специализираната автоматизираната информационна система на КЗЛД от сайта на КЗЛД (рубрика „Публични регистри</w:t>
      </w:r>
      <w:r w:rsidR="00E435D6">
        <w:rPr>
          <w:rFonts w:ascii="Times New Roman" w:eastAsia="Calibri" w:hAnsi="Times New Roman" w:cs="Times New Roman"/>
          <w:sz w:val="24"/>
          <w:szCs w:val="24"/>
        </w:rPr>
        <w:t>“</w:t>
      </w:r>
      <w:r w:rsidR="00D55BC5" w:rsidRPr="007404FA">
        <w:rPr>
          <w:rFonts w:ascii="Times New Roman" w:eastAsia="Calibri" w:hAnsi="Times New Roman" w:cs="Times New Roman"/>
          <w:sz w:val="24"/>
          <w:szCs w:val="24"/>
        </w:rPr>
        <w:t>). За целта АЛД/ОЛД трябва да разполага с квалифициран електронен подпис, с който се идентифицира в системата и получава достъп за извършване на необходимите операции: въвеждане, коригиране или изтрив</w:t>
      </w:r>
      <w:r>
        <w:rPr>
          <w:rFonts w:ascii="Times New Roman" w:eastAsia="Calibri" w:hAnsi="Times New Roman" w:cs="Times New Roman"/>
          <w:sz w:val="24"/>
          <w:szCs w:val="24"/>
        </w:rPr>
        <w:t>ане на данните от уведомлението;</w:t>
      </w:r>
    </w:p>
    <w:p w:rsidR="00D55BC5" w:rsidRPr="007404FA" w:rsidRDefault="00D55BC5" w:rsidP="00DB6B05">
      <w:pPr>
        <w:numPr>
          <w:ilvl w:val="0"/>
          <w:numId w:val="33"/>
        </w:numPr>
        <w:spacing w:line="360" w:lineRule="auto"/>
        <w:ind w:left="0" w:firstLine="709"/>
        <w:contextualSpacing/>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 xml:space="preserve"> </w:t>
      </w:r>
      <w:r w:rsidR="00EB3A1F">
        <w:rPr>
          <w:rFonts w:ascii="Times New Roman" w:eastAsia="Calibri" w:hAnsi="Times New Roman" w:cs="Times New Roman"/>
          <w:sz w:val="24"/>
          <w:szCs w:val="24"/>
        </w:rPr>
        <w:t>н</w:t>
      </w:r>
      <w:r w:rsidRPr="007404FA">
        <w:rPr>
          <w:rFonts w:ascii="Times New Roman" w:eastAsia="Calibri" w:hAnsi="Times New Roman" w:cs="Times New Roman"/>
          <w:sz w:val="24"/>
          <w:szCs w:val="24"/>
        </w:rPr>
        <w:t>а имейла на КЗЛД</w:t>
      </w:r>
      <w:r w:rsidR="00E06D6E">
        <w:rPr>
          <w:rFonts w:ascii="Times New Roman" w:eastAsia="Calibri" w:hAnsi="Times New Roman" w:cs="Times New Roman"/>
          <w:sz w:val="24"/>
          <w:szCs w:val="24"/>
        </w:rPr>
        <w:t xml:space="preserve"> – </w:t>
      </w:r>
      <w:r w:rsidR="00EB3A1F">
        <w:rPr>
          <w:rFonts w:ascii="Times New Roman" w:eastAsia="Calibri" w:hAnsi="Times New Roman" w:cs="Times New Roman"/>
          <w:sz w:val="24"/>
          <w:szCs w:val="24"/>
        </w:rPr>
        <w:t>kzld@cpdp.bg. В този случай</w:t>
      </w:r>
      <w:r w:rsidRPr="007404FA">
        <w:rPr>
          <w:rFonts w:ascii="Times New Roman" w:eastAsia="Calibri" w:hAnsi="Times New Roman" w:cs="Times New Roman"/>
          <w:sz w:val="24"/>
          <w:szCs w:val="24"/>
        </w:rPr>
        <w:t xml:space="preserve"> </w:t>
      </w:r>
      <w:r w:rsidR="00EB3A1F">
        <w:rPr>
          <w:rFonts w:ascii="Times New Roman" w:eastAsia="Calibri" w:hAnsi="Times New Roman" w:cs="Times New Roman"/>
          <w:sz w:val="24"/>
          <w:szCs w:val="24"/>
        </w:rPr>
        <w:t>у</w:t>
      </w:r>
      <w:r w:rsidRPr="007404FA">
        <w:rPr>
          <w:rFonts w:ascii="Times New Roman" w:eastAsia="Calibri" w:hAnsi="Times New Roman" w:cs="Times New Roman"/>
          <w:sz w:val="24"/>
          <w:szCs w:val="24"/>
        </w:rPr>
        <w:t xml:space="preserve">ведомлението трябва да бъде попълнено и съответният електронен файл да бъде подписан с </w:t>
      </w:r>
      <w:r w:rsidR="00EB3A1F">
        <w:rPr>
          <w:rFonts w:ascii="Times New Roman" w:eastAsia="Calibri" w:hAnsi="Times New Roman" w:cs="Times New Roman"/>
          <w:sz w:val="24"/>
          <w:szCs w:val="24"/>
        </w:rPr>
        <w:t>к</w:t>
      </w:r>
      <w:r w:rsidRPr="007404FA">
        <w:rPr>
          <w:rFonts w:ascii="Times New Roman" w:eastAsia="Calibri" w:hAnsi="Times New Roman" w:cs="Times New Roman"/>
          <w:sz w:val="24"/>
          <w:szCs w:val="24"/>
        </w:rPr>
        <w:t>валифициран еле</w:t>
      </w:r>
      <w:r w:rsidR="00EB3A1F">
        <w:rPr>
          <w:rFonts w:ascii="Times New Roman" w:eastAsia="Calibri" w:hAnsi="Times New Roman" w:cs="Times New Roman"/>
          <w:sz w:val="24"/>
          <w:szCs w:val="24"/>
        </w:rPr>
        <w:t>ктронен подпис (КЕП);</w:t>
      </w:r>
    </w:p>
    <w:p w:rsidR="00D55BC5" w:rsidRPr="007404FA" w:rsidRDefault="00EB3A1F" w:rsidP="00DB6B05">
      <w:pPr>
        <w:numPr>
          <w:ilvl w:val="0"/>
          <w:numId w:val="33"/>
        </w:numPr>
        <w:spacing w:line="36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ч</w:t>
      </w:r>
      <w:r w:rsidR="00D55BC5" w:rsidRPr="007404FA">
        <w:rPr>
          <w:rFonts w:ascii="Times New Roman" w:eastAsia="Calibri" w:hAnsi="Times New Roman" w:cs="Times New Roman"/>
          <w:sz w:val="24"/>
          <w:szCs w:val="24"/>
        </w:rPr>
        <w:t>рез Системата за сигурно електронно връчване, поддържана от Държавна агенция „Електронно управление</w:t>
      </w:r>
      <w:r w:rsidR="00E435D6">
        <w:rPr>
          <w:rFonts w:ascii="Times New Roman" w:eastAsia="Calibri" w:hAnsi="Times New Roman" w:cs="Times New Roman"/>
          <w:sz w:val="24"/>
          <w:szCs w:val="24"/>
        </w:rPr>
        <w:t>“</w:t>
      </w:r>
      <w:r w:rsidR="00D55BC5" w:rsidRPr="007404FA">
        <w:rPr>
          <w:rFonts w:ascii="Times New Roman" w:eastAsia="Calibri" w:hAnsi="Times New Roman" w:cs="Times New Roman"/>
          <w:sz w:val="24"/>
          <w:szCs w:val="24"/>
        </w:rPr>
        <w:t xml:space="preserve">. В този случай </w:t>
      </w:r>
      <w:r>
        <w:rPr>
          <w:rFonts w:ascii="Times New Roman" w:eastAsia="Calibri" w:hAnsi="Times New Roman" w:cs="Times New Roman"/>
          <w:sz w:val="24"/>
          <w:szCs w:val="24"/>
        </w:rPr>
        <w:t>у</w:t>
      </w:r>
      <w:r w:rsidR="00D55BC5" w:rsidRPr="007404FA">
        <w:rPr>
          <w:rFonts w:ascii="Times New Roman" w:eastAsia="Calibri" w:hAnsi="Times New Roman" w:cs="Times New Roman"/>
          <w:sz w:val="24"/>
          <w:szCs w:val="24"/>
        </w:rPr>
        <w:t xml:space="preserve">ведомлението трябва да бъде попълнено и съответният електронен файл да </w:t>
      </w:r>
      <w:r>
        <w:rPr>
          <w:rFonts w:ascii="Times New Roman" w:eastAsia="Calibri" w:hAnsi="Times New Roman" w:cs="Times New Roman"/>
          <w:sz w:val="24"/>
          <w:szCs w:val="24"/>
        </w:rPr>
        <w:t>бъде изпратен чрез тази система;</w:t>
      </w:r>
    </w:p>
    <w:p w:rsidR="00D55BC5" w:rsidRPr="007404FA" w:rsidRDefault="00EB3A1F" w:rsidP="00DB6B05">
      <w:pPr>
        <w:numPr>
          <w:ilvl w:val="0"/>
          <w:numId w:val="33"/>
        </w:numPr>
        <w:spacing w:line="36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л</w:t>
      </w:r>
      <w:r w:rsidR="00D55BC5" w:rsidRPr="007404FA">
        <w:rPr>
          <w:rFonts w:ascii="Times New Roman" w:eastAsia="Calibri" w:hAnsi="Times New Roman" w:cs="Times New Roman"/>
          <w:sz w:val="24"/>
          <w:szCs w:val="24"/>
        </w:rPr>
        <w:t>ично в деловодството на КЗЛД или по пощата на адрес: гр. София 1592, бул. „Проф. Цветан Лазаров</w:t>
      </w:r>
      <w:r w:rsidR="00E435D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D55BC5" w:rsidRPr="007404FA">
        <w:rPr>
          <w:rFonts w:ascii="Times New Roman" w:eastAsia="Calibri" w:hAnsi="Times New Roman" w:cs="Times New Roman"/>
          <w:sz w:val="24"/>
          <w:szCs w:val="24"/>
        </w:rPr>
        <w:t>2, Комисия за защита на личните данни. В този случай се подава попъ</w:t>
      </w:r>
      <w:r>
        <w:rPr>
          <w:rFonts w:ascii="Times New Roman" w:eastAsia="Calibri" w:hAnsi="Times New Roman" w:cs="Times New Roman"/>
          <w:sz w:val="24"/>
          <w:szCs w:val="24"/>
        </w:rPr>
        <w:t>лнено, подписано и подпечатано у</w:t>
      </w:r>
      <w:r w:rsidR="00D55BC5" w:rsidRPr="007404FA">
        <w:rPr>
          <w:rFonts w:ascii="Times New Roman" w:eastAsia="Calibri" w:hAnsi="Times New Roman" w:cs="Times New Roman"/>
          <w:sz w:val="24"/>
          <w:szCs w:val="24"/>
        </w:rPr>
        <w:t xml:space="preserve">ведомление на хартиен носител. </w:t>
      </w:r>
    </w:p>
    <w:p w:rsidR="00D55BC5" w:rsidRPr="007404FA" w:rsidRDefault="00D55BC5" w:rsidP="00DB6B05">
      <w:pPr>
        <w:spacing w:line="360" w:lineRule="auto"/>
        <w:ind w:firstLine="709"/>
        <w:jc w:val="both"/>
        <w:rPr>
          <w:rFonts w:ascii="Times New Roman" w:eastAsia="Times New Roman" w:hAnsi="Times New Roman" w:cs="Times New Roman"/>
          <w:b/>
          <w:sz w:val="24"/>
          <w:szCs w:val="24"/>
        </w:rPr>
      </w:pPr>
      <w:r w:rsidRPr="007404FA">
        <w:rPr>
          <w:rFonts w:ascii="Times New Roman" w:eastAsia="Calibri" w:hAnsi="Times New Roman" w:cs="Times New Roman"/>
          <w:sz w:val="24"/>
          <w:szCs w:val="24"/>
        </w:rPr>
        <w:t>Достъпът до публичния регистър е свободен и всеки може да намери инф</w:t>
      </w:r>
      <w:r w:rsidR="00B62B1D" w:rsidRPr="007404FA">
        <w:rPr>
          <w:rFonts w:ascii="Times New Roman" w:eastAsia="Calibri" w:hAnsi="Times New Roman" w:cs="Times New Roman"/>
          <w:sz w:val="24"/>
          <w:szCs w:val="24"/>
        </w:rPr>
        <w:t>ормация за АЛД/ОЛД</w:t>
      </w:r>
      <w:r w:rsidR="00EB3A1F">
        <w:rPr>
          <w:rFonts w:ascii="Times New Roman" w:eastAsia="Calibri" w:hAnsi="Times New Roman" w:cs="Times New Roman"/>
          <w:sz w:val="24"/>
          <w:szCs w:val="24"/>
        </w:rPr>
        <w:t>,</w:t>
      </w:r>
      <w:r w:rsidR="00B62B1D" w:rsidRPr="007404FA">
        <w:rPr>
          <w:rFonts w:ascii="Times New Roman" w:eastAsia="Calibri" w:hAnsi="Times New Roman" w:cs="Times New Roman"/>
          <w:sz w:val="24"/>
          <w:szCs w:val="24"/>
        </w:rPr>
        <w:t xml:space="preserve"> определили ДЛЗ</w:t>
      </w:r>
      <w:r w:rsidRPr="007404FA">
        <w:rPr>
          <w:rFonts w:ascii="Times New Roman" w:eastAsia="Calibri" w:hAnsi="Times New Roman" w:cs="Times New Roman"/>
          <w:sz w:val="24"/>
          <w:szCs w:val="24"/>
        </w:rPr>
        <w:t>Д, за името на ДЛ</w:t>
      </w:r>
      <w:r w:rsidR="001A634A" w:rsidRPr="007404FA">
        <w:rPr>
          <w:rFonts w:ascii="Times New Roman" w:eastAsia="Calibri" w:hAnsi="Times New Roman" w:cs="Times New Roman"/>
          <w:sz w:val="24"/>
          <w:szCs w:val="24"/>
        </w:rPr>
        <w:t>З</w:t>
      </w:r>
      <w:r w:rsidRPr="007404FA">
        <w:rPr>
          <w:rFonts w:ascii="Times New Roman" w:eastAsia="Calibri" w:hAnsi="Times New Roman" w:cs="Times New Roman"/>
          <w:sz w:val="24"/>
          <w:szCs w:val="24"/>
        </w:rPr>
        <w:t>Д или за данните за контакт с длъжностното лице.</w:t>
      </w:r>
    </w:p>
    <w:p w:rsidR="00D55BC5" w:rsidRPr="007404FA" w:rsidRDefault="00D55BC5" w:rsidP="00DB6B05">
      <w:pPr>
        <w:tabs>
          <w:tab w:val="left" w:pos="993"/>
        </w:tabs>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През отчетния период регистрираните уведомления от АЛД и ОЛД за определяне на ДЛЗД се диференцират съгласно основанието, както следва (</w:t>
      </w:r>
      <w:r w:rsidR="00EB3A1F">
        <w:rPr>
          <w:rFonts w:ascii="Times New Roman" w:eastAsia="Calibri" w:hAnsi="Times New Roman" w:cs="Times New Roman"/>
          <w:b/>
          <w:sz w:val="24"/>
          <w:szCs w:val="24"/>
        </w:rPr>
        <w:t>ф</w:t>
      </w:r>
      <w:r w:rsidRPr="007404FA">
        <w:rPr>
          <w:rFonts w:ascii="Times New Roman" w:eastAsia="Calibri" w:hAnsi="Times New Roman" w:cs="Times New Roman"/>
          <w:b/>
          <w:sz w:val="24"/>
          <w:szCs w:val="24"/>
        </w:rPr>
        <w:t>иг. 1</w:t>
      </w:r>
      <w:r w:rsidR="0036359A" w:rsidRPr="007404FA">
        <w:rPr>
          <w:rFonts w:ascii="Times New Roman" w:eastAsia="Calibri" w:hAnsi="Times New Roman" w:cs="Times New Roman"/>
          <w:b/>
          <w:sz w:val="24"/>
          <w:szCs w:val="24"/>
        </w:rPr>
        <w:t>5</w:t>
      </w:r>
      <w:r w:rsidRPr="007404FA">
        <w:rPr>
          <w:rFonts w:ascii="Times New Roman" w:eastAsia="Calibri" w:hAnsi="Times New Roman" w:cs="Times New Roman"/>
          <w:sz w:val="24"/>
          <w:szCs w:val="24"/>
        </w:rPr>
        <w:t>):</w:t>
      </w:r>
    </w:p>
    <w:p w:rsidR="00D55BC5" w:rsidRPr="007404FA" w:rsidRDefault="00D55BC5" w:rsidP="00DB6B05">
      <w:pPr>
        <w:numPr>
          <w:ilvl w:val="0"/>
          <w:numId w:val="34"/>
        </w:numPr>
        <w:spacing w:line="360" w:lineRule="auto"/>
        <w:ind w:left="0" w:firstLine="709"/>
        <w:contextualSpacing/>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обработването се извършва от публичен орган или структура, освен когато става въпрос за съдилища при изпълнение на съдебните им функции</w:t>
      </w:r>
      <w:r w:rsidR="00E06D6E">
        <w:rPr>
          <w:rFonts w:ascii="Times New Roman" w:eastAsia="Calibri" w:hAnsi="Times New Roman" w:cs="Times New Roman"/>
          <w:sz w:val="24"/>
          <w:szCs w:val="24"/>
        </w:rPr>
        <w:t xml:space="preserve"> – </w:t>
      </w:r>
      <w:r w:rsidRPr="007404FA">
        <w:rPr>
          <w:rFonts w:ascii="Times New Roman" w:eastAsia="Calibri" w:hAnsi="Times New Roman" w:cs="Times New Roman"/>
          <w:sz w:val="24"/>
          <w:szCs w:val="24"/>
        </w:rPr>
        <w:t>151 от общо подадени уведомления за отчетния период;</w:t>
      </w:r>
    </w:p>
    <w:p w:rsidR="00D55BC5" w:rsidRPr="007404FA" w:rsidRDefault="00D55BC5" w:rsidP="00DB6B05">
      <w:pPr>
        <w:numPr>
          <w:ilvl w:val="0"/>
          <w:numId w:val="34"/>
        </w:numPr>
        <w:spacing w:line="360" w:lineRule="auto"/>
        <w:ind w:left="0" w:firstLine="709"/>
        <w:contextualSpacing/>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основните дейности на АЛД или ОЛД се състоят в операции по обработване, които поради своето естество, обхват и/или цели изискват редовно и систематично мащабно наблюдение на субектите на данни</w:t>
      </w:r>
      <w:r w:rsidR="00E06D6E">
        <w:rPr>
          <w:rFonts w:ascii="Times New Roman" w:eastAsia="Calibri" w:hAnsi="Times New Roman" w:cs="Times New Roman"/>
          <w:sz w:val="24"/>
          <w:szCs w:val="24"/>
        </w:rPr>
        <w:t xml:space="preserve"> – </w:t>
      </w:r>
      <w:r w:rsidRPr="007404FA">
        <w:rPr>
          <w:rFonts w:ascii="Times New Roman" w:eastAsia="Calibri" w:hAnsi="Times New Roman" w:cs="Times New Roman"/>
          <w:sz w:val="24"/>
          <w:szCs w:val="24"/>
        </w:rPr>
        <w:t>156 от общо подадени уведомления за календарната година;</w:t>
      </w:r>
    </w:p>
    <w:p w:rsidR="00D55BC5" w:rsidRPr="007404FA" w:rsidRDefault="00D55BC5" w:rsidP="00DB6B05">
      <w:pPr>
        <w:numPr>
          <w:ilvl w:val="0"/>
          <w:numId w:val="34"/>
        </w:numPr>
        <w:spacing w:line="360" w:lineRule="auto"/>
        <w:ind w:left="0" w:firstLine="709"/>
        <w:contextualSpacing/>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основните дейности на АЛД или ОЛД се състоят в мащабно обработване на специалните категории данни съгласно</w:t>
      </w:r>
      <w:r w:rsidR="00F06583" w:rsidRPr="007404FA">
        <w:rPr>
          <w:rFonts w:ascii="Times New Roman" w:eastAsia="Calibri" w:hAnsi="Times New Roman" w:cs="Times New Roman"/>
          <w:sz w:val="24"/>
          <w:szCs w:val="24"/>
        </w:rPr>
        <w:t xml:space="preserve"> чл. </w:t>
      </w:r>
      <w:r w:rsidRPr="007404FA">
        <w:rPr>
          <w:rFonts w:ascii="Times New Roman" w:eastAsia="Calibri" w:hAnsi="Times New Roman" w:cs="Times New Roman"/>
          <w:sz w:val="24"/>
          <w:szCs w:val="24"/>
        </w:rPr>
        <w:t xml:space="preserve">9 и на лични данни, </w:t>
      </w:r>
      <w:r w:rsidR="00C53BEC" w:rsidRPr="007404FA">
        <w:rPr>
          <w:rFonts w:ascii="Times New Roman" w:eastAsia="Calibri" w:hAnsi="Times New Roman" w:cs="Times New Roman"/>
          <w:sz w:val="24"/>
          <w:szCs w:val="24"/>
        </w:rPr>
        <w:t xml:space="preserve">свързани с присъди и нарушения </w:t>
      </w:r>
      <w:r w:rsidRPr="007404FA">
        <w:rPr>
          <w:rFonts w:ascii="Times New Roman" w:eastAsia="Calibri" w:hAnsi="Times New Roman" w:cs="Times New Roman"/>
          <w:sz w:val="24"/>
          <w:szCs w:val="24"/>
        </w:rPr>
        <w:t>по</w:t>
      </w:r>
      <w:r w:rsidR="00F06583" w:rsidRPr="007404FA">
        <w:rPr>
          <w:rFonts w:ascii="Times New Roman" w:eastAsia="Calibri" w:hAnsi="Times New Roman" w:cs="Times New Roman"/>
          <w:sz w:val="24"/>
          <w:szCs w:val="24"/>
        </w:rPr>
        <w:t xml:space="preserve"> чл. </w:t>
      </w:r>
      <w:r w:rsidRPr="007404FA">
        <w:rPr>
          <w:rFonts w:ascii="Times New Roman" w:eastAsia="Calibri" w:hAnsi="Times New Roman" w:cs="Times New Roman"/>
          <w:sz w:val="24"/>
          <w:szCs w:val="24"/>
        </w:rPr>
        <w:t>10 от Регламент (ЕС) 2016/679</w:t>
      </w:r>
      <w:r w:rsidR="00E06D6E">
        <w:rPr>
          <w:rFonts w:ascii="Times New Roman" w:eastAsia="Calibri" w:hAnsi="Times New Roman" w:cs="Times New Roman"/>
          <w:sz w:val="24"/>
          <w:szCs w:val="24"/>
        </w:rPr>
        <w:t xml:space="preserve"> – </w:t>
      </w:r>
      <w:r w:rsidRPr="007404FA">
        <w:rPr>
          <w:rFonts w:ascii="Times New Roman" w:eastAsia="Calibri" w:hAnsi="Times New Roman" w:cs="Times New Roman"/>
          <w:sz w:val="24"/>
          <w:szCs w:val="24"/>
        </w:rPr>
        <w:t>29 от общо подадени уведомления за календарната година.</w:t>
      </w:r>
      <w:r w:rsidR="00C53BEC" w:rsidRPr="007404FA">
        <w:rPr>
          <w:rFonts w:ascii="Times New Roman" w:eastAsia="Calibri" w:hAnsi="Times New Roman" w:cs="Times New Roman"/>
          <w:sz w:val="24"/>
          <w:szCs w:val="24"/>
        </w:rPr>
        <w:t xml:space="preserve"> </w:t>
      </w:r>
    </w:p>
    <w:p w:rsidR="00D55BC5" w:rsidRPr="007404FA" w:rsidRDefault="00D55BC5" w:rsidP="00DB6B05">
      <w:pPr>
        <w:tabs>
          <w:tab w:val="left" w:pos="993"/>
        </w:tabs>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 xml:space="preserve">Извън гореизброените хипотези, при които определянето на ДЛЗД е задължително, всеки АЛД или ОЛД може по своя преценка да определи такъв служител. От тази </w:t>
      </w:r>
      <w:r w:rsidRPr="007404FA">
        <w:rPr>
          <w:rFonts w:ascii="Times New Roman" w:eastAsia="Calibri" w:hAnsi="Times New Roman" w:cs="Times New Roman"/>
          <w:sz w:val="24"/>
          <w:szCs w:val="24"/>
        </w:rPr>
        <w:lastRenderedPageBreak/>
        <w:t>възможност са се възползвали 125 от администраторите, подали уведомления за определяне на ДЛЗД през 2022</w:t>
      </w:r>
      <w:r w:rsidR="00F06583" w:rsidRPr="007404FA">
        <w:rPr>
          <w:rFonts w:ascii="Times New Roman" w:eastAsia="Calibri" w:hAnsi="Times New Roman" w:cs="Times New Roman"/>
          <w:sz w:val="24"/>
          <w:szCs w:val="24"/>
        </w:rPr>
        <w:t> г.</w:t>
      </w:r>
    </w:p>
    <w:p w:rsidR="00C04659" w:rsidRPr="007404FA" w:rsidRDefault="00C04659" w:rsidP="00DB6B05">
      <w:pPr>
        <w:spacing w:line="360" w:lineRule="auto"/>
        <w:rPr>
          <w:rFonts w:ascii="Times New Roman" w:eastAsia="Calibri" w:hAnsi="Times New Roman" w:cs="Times New Roman"/>
          <w:b/>
          <w:sz w:val="24"/>
          <w:szCs w:val="24"/>
          <w:highlight w:val="yellow"/>
        </w:rPr>
      </w:pPr>
      <w:r w:rsidRPr="007404FA">
        <w:rPr>
          <w:rFonts w:eastAsia="Calibri" w:cs="Times New Roman"/>
          <w:noProof/>
          <w:color w:val="365F91"/>
          <w:lang w:val="en-US" w:eastAsia="en-US"/>
        </w:rPr>
        <w:drawing>
          <wp:inline distT="0" distB="0" distL="0" distR="0" wp14:anchorId="14E1E61C" wp14:editId="39458841">
            <wp:extent cx="5876925" cy="4152900"/>
            <wp:effectExtent l="38100" t="57150" r="47625" b="38100"/>
            <wp:docPr id="28" name="Char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55BC5" w:rsidRPr="007404FA" w:rsidRDefault="00D55BC5" w:rsidP="00DB6B05">
      <w:pPr>
        <w:tabs>
          <w:tab w:val="left" w:pos="993"/>
        </w:tabs>
        <w:spacing w:line="360" w:lineRule="auto"/>
        <w:ind w:firstLine="709"/>
        <w:jc w:val="center"/>
        <w:rPr>
          <w:rFonts w:ascii="Times New Roman" w:eastAsia="Calibri" w:hAnsi="Times New Roman" w:cs="Times New Roman"/>
          <w:b/>
          <w:sz w:val="24"/>
          <w:szCs w:val="24"/>
        </w:rPr>
      </w:pPr>
      <w:r w:rsidRPr="007404FA">
        <w:rPr>
          <w:rFonts w:ascii="Times New Roman" w:eastAsia="Calibri" w:hAnsi="Times New Roman" w:cs="Times New Roman"/>
          <w:b/>
          <w:sz w:val="24"/>
          <w:szCs w:val="24"/>
        </w:rPr>
        <w:t>Фиг. 1</w:t>
      </w:r>
      <w:r w:rsidR="0036359A" w:rsidRPr="007404FA">
        <w:rPr>
          <w:rFonts w:ascii="Times New Roman" w:eastAsia="Calibri" w:hAnsi="Times New Roman" w:cs="Times New Roman"/>
          <w:b/>
          <w:sz w:val="24"/>
          <w:szCs w:val="24"/>
        </w:rPr>
        <w:t>5</w:t>
      </w:r>
    </w:p>
    <w:p w:rsidR="00D55BC5" w:rsidRPr="007404FA" w:rsidRDefault="00D55BC5" w:rsidP="00DB6B05">
      <w:pPr>
        <w:tabs>
          <w:tab w:val="left" w:pos="993"/>
        </w:tabs>
        <w:spacing w:line="360" w:lineRule="auto"/>
        <w:ind w:firstLine="709"/>
        <w:jc w:val="both"/>
        <w:rPr>
          <w:rFonts w:ascii="Times New Roman" w:eastAsia="Calibri" w:hAnsi="Times New Roman" w:cs="Times New Roman"/>
          <w:sz w:val="24"/>
          <w:szCs w:val="24"/>
        </w:rPr>
      </w:pPr>
    </w:p>
    <w:p w:rsidR="00D55BC5" w:rsidRPr="007404FA" w:rsidRDefault="00D55BC5"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През отчетния период 626 АЛД или ОЛД са подали уведомления до КЗЛД за определено ДЛЗД, с което общият брой на подадените уведомления е 6867.</w:t>
      </w:r>
    </w:p>
    <w:p w:rsidR="00D55BC5" w:rsidRPr="007404FA" w:rsidRDefault="00D55BC5" w:rsidP="00DB6B05">
      <w:pPr>
        <w:tabs>
          <w:tab w:val="left" w:pos="993"/>
        </w:tabs>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За същия период регистрираните в публичния регистър АЛД или ОЛД, определили ДЛЗД, са 461</w:t>
      </w:r>
      <w:r w:rsidR="00D1189D" w:rsidRPr="007404FA">
        <w:rPr>
          <w:rFonts w:ascii="Times New Roman" w:eastAsia="Calibri" w:hAnsi="Times New Roman" w:cs="Times New Roman"/>
          <w:sz w:val="24"/>
          <w:szCs w:val="24"/>
        </w:rPr>
        <w:t> бр.</w:t>
      </w:r>
      <w:r w:rsidRPr="007404FA">
        <w:rPr>
          <w:rFonts w:ascii="Times New Roman" w:eastAsia="Calibri" w:hAnsi="Times New Roman" w:cs="Times New Roman"/>
          <w:sz w:val="24"/>
          <w:szCs w:val="24"/>
        </w:rPr>
        <w:t>, с което общият им брой става 5536.</w:t>
      </w:r>
    </w:p>
    <w:p w:rsidR="00D55BC5" w:rsidRPr="007404FA" w:rsidRDefault="00D55BC5" w:rsidP="00DB6B05">
      <w:pPr>
        <w:tabs>
          <w:tab w:val="left" w:pos="993"/>
        </w:tabs>
        <w:spacing w:line="360" w:lineRule="auto"/>
        <w:ind w:firstLine="709"/>
        <w:jc w:val="both"/>
        <w:rPr>
          <w:rFonts w:ascii="Times New Roman" w:eastAsia="Calibri" w:hAnsi="Times New Roman" w:cs="Times New Roman"/>
          <w:sz w:val="24"/>
          <w:szCs w:val="24"/>
        </w:rPr>
      </w:pPr>
    </w:p>
    <w:p w:rsidR="00D55BC5" w:rsidRPr="007404FA" w:rsidRDefault="002D36F1" w:rsidP="00DB6B05">
      <w:pPr>
        <w:spacing w:line="360" w:lineRule="auto"/>
        <w:ind w:firstLine="709"/>
        <w:contextualSpacing/>
        <w:jc w:val="both"/>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 xml:space="preserve">2.2. </w:t>
      </w:r>
      <w:r w:rsidR="00D55BC5" w:rsidRPr="007404FA">
        <w:rPr>
          <w:rFonts w:ascii="Times New Roman" w:eastAsia="Times New Roman" w:hAnsi="Times New Roman" w:cs="Times New Roman"/>
          <w:b/>
          <w:sz w:val="24"/>
          <w:szCs w:val="24"/>
        </w:rPr>
        <w:t>Пропуски при подаването на уведомления за ДЛЗД и често задавани въпроси от АЛД/ОЛД — анализ на практиката.</w:t>
      </w:r>
    </w:p>
    <w:p w:rsidR="00D55BC5" w:rsidRPr="007404FA" w:rsidRDefault="00EE2AD2"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През 2022</w:t>
      </w:r>
      <w:r w:rsidR="00F06583" w:rsidRPr="007404FA">
        <w:rPr>
          <w:rFonts w:ascii="Times New Roman" w:eastAsia="Times New Roman" w:hAnsi="Times New Roman" w:cs="Times New Roman"/>
          <w:sz w:val="24"/>
          <w:szCs w:val="24"/>
        </w:rPr>
        <w:t> г.</w:t>
      </w:r>
      <w:r w:rsidRPr="007404FA">
        <w:rPr>
          <w:rFonts w:ascii="Times New Roman" w:eastAsia="Times New Roman" w:hAnsi="Times New Roman" w:cs="Times New Roman"/>
          <w:sz w:val="24"/>
          <w:szCs w:val="24"/>
        </w:rPr>
        <w:t xml:space="preserve"> КЗЛД е изпратила </w:t>
      </w:r>
      <w:r w:rsidR="00AF69F7" w:rsidRPr="007404FA">
        <w:rPr>
          <w:rFonts w:ascii="Times New Roman" w:eastAsia="Times New Roman" w:hAnsi="Times New Roman" w:cs="Times New Roman"/>
          <w:sz w:val="24"/>
          <w:szCs w:val="24"/>
        </w:rPr>
        <w:t xml:space="preserve">общо </w:t>
      </w:r>
      <w:r w:rsidRPr="007404FA">
        <w:rPr>
          <w:rFonts w:ascii="Times New Roman" w:eastAsia="Times New Roman" w:hAnsi="Times New Roman" w:cs="Times New Roman"/>
          <w:sz w:val="24"/>
          <w:szCs w:val="24"/>
        </w:rPr>
        <w:t>173 писма с разяснения и уточнения в комуникацията с администратори на лични данни във връзка със задължението за определяне на длъжностно лице по защита на данните</w:t>
      </w:r>
      <w:r w:rsidR="00324E10" w:rsidRPr="007404FA">
        <w:rPr>
          <w:rFonts w:ascii="Times New Roman" w:eastAsia="Times New Roman" w:hAnsi="Times New Roman" w:cs="Times New Roman"/>
          <w:sz w:val="24"/>
          <w:szCs w:val="24"/>
        </w:rPr>
        <w:t xml:space="preserve">. </w:t>
      </w:r>
      <w:r w:rsidR="00D55BC5" w:rsidRPr="007404FA">
        <w:rPr>
          <w:rFonts w:ascii="Times New Roman" w:eastAsia="Times New Roman" w:hAnsi="Times New Roman" w:cs="Times New Roman"/>
          <w:sz w:val="24"/>
          <w:szCs w:val="24"/>
        </w:rPr>
        <w:t>Комисията за защита на личните данни отчита неяснотите, свързани с определянето на Д</w:t>
      </w:r>
      <w:r w:rsidR="001A634A" w:rsidRPr="007404FA">
        <w:rPr>
          <w:rFonts w:ascii="Times New Roman" w:eastAsia="Times New Roman" w:hAnsi="Times New Roman" w:cs="Times New Roman"/>
          <w:sz w:val="24"/>
          <w:szCs w:val="24"/>
        </w:rPr>
        <w:t>ЛЗ</w:t>
      </w:r>
      <w:r w:rsidR="00D55BC5" w:rsidRPr="007404FA">
        <w:rPr>
          <w:rFonts w:ascii="Times New Roman" w:eastAsia="Times New Roman" w:hAnsi="Times New Roman" w:cs="Times New Roman"/>
          <w:sz w:val="24"/>
          <w:szCs w:val="24"/>
        </w:rPr>
        <w:t xml:space="preserve">Д, във връзка с което на интернет страницата на институцията са публикувани „Указания относно изпълнението на задължението на администраторите и обработващите лични данни за уведомяване на КЗЛД при определяне на длъжностно лице по защита на данните“ (пълният текст на указанията е публикуван на сайта на КЗЛД в рубриката „Длъжностно лице по защита на данните“). </w:t>
      </w:r>
      <w:r w:rsidR="00D55BC5" w:rsidRPr="007404FA">
        <w:rPr>
          <w:rFonts w:ascii="Times New Roman" w:eastAsia="Times New Roman" w:hAnsi="Times New Roman" w:cs="Times New Roman"/>
          <w:sz w:val="24"/>
          <w:szCs w:val="24"/>
        </w:rPr>
        <w:lastRenderedPageBreak/>
        <w:t xml:space="preserve">Текстът на указанията акцентира върху заложените в Регламента нормативни предпоставки, съгласно които ДЛЗД следва да е лице, което е различно от администратора, съответно обработващия. Също така ДЛЗД следва да е различно и от лицата, които определят целите и средствата за обработването на лични данни при съответния администратор/обработващ. </w:t>
      </w:r>
      <w:r w:rsidR="00AF454C" w:rsidRPr="007404FA">
        <w:rPr>
          <w:rFonts w:ascii="Times New Roman" w:eastAsia="Times New Roman" w:hAnsi="Times New Roman" w:cs="Times New Roman"/>
          <w:sz w:val="24"/>
          <w:szCs w:val="24"/>
        </w:rPr>
        <w:t xml:space="preserve">Продължава </w:t>
      </w:r>
      <w:r w:rsidR="00FB3567" w:rsidRPr="007404FA">
        <w:rPr>
          <w:rFonts w:ascii="Times New Roman" w:eastAsia="Times New Roman" w:hAnsi="Times New Roman" w:cs="Times New Roman"/>
          <w:sz w:val="24"/>
          <w:szCs w:val="24"/>
        </w:rPr>
        <w:t xml:space="preserve">обаче </w:t>
      </w:r>
      <w:r w:rsidR="00AF454C" w:rsidRPr="007404FA">
        <w:rPr>
          <w:rFonts w:ascii="Times New Roman" w:eastAsia="Times New Roman" w:hAnsi="Times New Roman" w:cs="Times New Roman"/>
          <w:sz w:val="24"/>
          <w:szCs w:val="24"/>
        </w:rPr>
        <w:t>тенденцията на</w:t>
      </w:r>
      <w:r w:rsidR="00D55BC5" w:rsidRPr="007404FA">
        <w:rPr>
          <w:rFonts w:ascii="Times New Roman" w:eastAsia="Times New Roman" w:hAnsi="Times New Roman" w:cs="Times New Roman"/>
          <w:sz w:val="24"/>
          <w:szCs w:val="24"/>
        </w:rPr>
        <w:t xml:space="preserve"> подадени уведомления, в които представляващият администратора/обработващия се е самоопределил за длъжностно лице по защита на личните данни, в уведомлението не е посочено ДЛЗД или няма посочени публични данни за контакт. В такива</w:t>
      </w:r>
      <w:r w:rsidR="00BF79F5" w:rsidRPr="007404FA">
        <w:rPr>
          <w:rFonts w:ascii="Times New Roman" w:eastAsia="Times New Roman" w:hAnsi="Times New Roman" w:cs="Times New Roman"/>
          <w:sz w:val="24"/>
          <w:szCs w:val="24"/>
        </w:rPr>
        <w:t xml:space="preserve"> случаи</w:t>
      </w:r>
      <w:r w:rsidR="00D55BC5" w:rsidRPr="007404FA">
        <w:rPr>
          <w:rFonts w:ascii="Times New Roman" w:eastAsia="Times New Roman" w:hAnsi="Times New Roman" w:cs="Times New Roman"/>
          <w:sz w:val="24"/>
          <w:szCs w:val="24"/>
        </w:rPr>
        <w:t xml:space="preserve"> </w:t>
      </w:r>
      <w:r w:rsidR="00725A43" w:rsidRPr="007404FA">
        <w:rPr>
          <w:rFonts w:ascii="Times New Roman" w:eastAsia="Times New Roman" w:hAnsi="Times New Roman" w:cs="Times New Roman"/>
          <w:sz w:val="24"/>
          <w:szCs w:val="24"/>
        </w:rPr>
        <w:t>КЗЛД</w:t>
      </w:r>
      <w:r w:rsidR="00D55BC5" w:rsidRPr="007404FA">
        <w:rPr>
          <w:rFonts w:ascii="Times New Roman" w:eastAsia="Times New Roman" w:hAnsi="Times New Roman" w:cs="Times New Roman"/>
          <w:sz w:val="24"/>
          <w:szCs w:val="24"/>
        </w:rPr>
        <w:t xml:space="preserve"> изпраща п</w:t>
      </w:r>
      <w:r w:rsidR="00BF79F5" w:rsidRPr="007404FA">
        <w:rPr>
          <w:rFonts w:ascii="Times New Roman" w:eastAsia="Times New Roman" w:hAnsi="Times New Roman" w:cs="Times New Roman"/>
          <w:sz w:val="24"/>
          <w:szCs w:val="24"/>
        </w:rPr>
        <w:t xml:space="preserve">исмо с разяснения и указания </w:t>
      </w:r>
      <w:r w:rsidR="00D55BC5" w:rsidRPr="007404FA">
        <w:rPr>
          <w:rFonts w:ascii="Times New Roman" w:eastAsia="Times New Roman" w:hAnsi="Times New Roman" w:cs="Times New Roman"/>
          <w:sz w:val="24"/>
          <w:szCs w:val="24"/>
        </w:rPr>
        <w:t>да се подаде ново уведомление с коректно посочени данни</w:t>
      </w:r>
      <w:r w:rsidR="00AF454C" w:rsidRPr="007404FA">
        <w:rPr>
          <w:rFonts w:ascii="Times New Roman" w:eastAsia="Times New Roman" w:hAnsi="Times New Roman" w:cs="Times New Roman"/>
          <w:sz w:val="24"/>
          <w:szCs w:val="24"/>
        </w:rPr>
        <w:t xml:space="preserve"> (165</w:t>
      </w:r>
      <w:r w:rsidR="00D1189D" w:rsidRPr="007404FA">
        <w:rPr>
          <w:rFonts w:ascii="Times New Roman" w:eastAsia="Times New Roman" w:hAnsi="Times New Roman" w:cs="Times New Roman"/>
          <w:sz w:val="24"/>
          <w:szCs w:val="24"/>
        </w:rPr>
        <w:t> бр.</w:t>
      </w:r>
      <w:r w:rsidR="00AF454C" w:rsidRPr="007404FA">
        <w:rPr>
          <w:rFonts w:ascii="Times New Roman" w:eastAsia="Times New Roman" w:hAnsi="Times New Roman" w:cs="Times New Roman"/>
          <w:sz w:val="24"/>
          <w:szCs w:val="24"/>
        </w:rPr>
        <w:t>)</w:t>
      </w:r>
      <w:r w:rsidR="00D55BC5" w:rsidRPr="007404FA">
        <w:rPr>
          <w:rFonts w:ascii="Times New Roman" w:eastAsia="Times New Roman" w:hAnsi="Times New Roman" w:cs="Times New Roman"/>
          <w:sz w:val="24"/>
          <w:szCs w:val="24"/>
        </w:rPr>
        <w:t>. Тъй като посоч</w:t>
      </w:r>
      <w:r w:rsidR="00BF79F5" w:rsidRPr="007404FA">
        <w:rPr>
          <w:rFonts w:ascii="Times New Roman" w:eastAsia="Times New Roman" w:hAnsi="Times New Roman" w:cs="Times New Roman"/>
          <w:sz w:val="24"/>
          <w:szCs w:val="24"/>
        </w:rPr>
        <w:t>ен</w:t>
      </w:r>
      <w:r w:rsidR="00133955">
        <w:rPr>
          <w:rFonts w:ascii="Times New Roman" w:eastAsia="Times New Roman" w:hAnsi="Times New Roman" w:cs="Times New Roman"/>
          <w:sz w:val="24"/>
          <w:szCs w:val="24"/>
        </w:rPr>
        <w:t>ото</w:t>
      </w:r>
      <w:r w:rsidR="00BF79F5" w:rsidRPr="007404FA">
        <w:rPr>
          <w:rFonts w:ascii="Times New Roman" w:eastAsia="Times New Roman" w:hAnsi="Times New Roman" w:cs="Times New Roman"/>
          <w:sz w:val="24"/>
          <w:szCs w:val="24"/>
        </w:rPr>
        <w:t xml:space="preserve"> </w:t>
      </w:r>
      <w:r w:rsidR="00133955">
        <w:rPr>
          <w:rFonts w:ascii="Times New Roman" w:eastAsia="Times New Roman" w:hAnsi="Times New Roman" w:cs="Times New Roman"/>
          <w:sz w:val="24"/>
          <w:szCs w:val="24"/>
        </w:rPr>
        <w:t>число</w:t>
      </w:r>
      <w:r w:rsidR="009D36BC" w:rsidRPr="007404FA">
        <w:rPr>
          <w:rFonts w:ascii="Times New Roman" w:eastAsia="Times New Roman" w:hAnsi="Times New Roman" w:cs="Times New Roman"/>
          <w:sz w:val="24"/>
          <w:szCs w:val="24"/>
        </w:rPr>
        <w:t xml:space="preserve"> (</w:t>
      </w:r>
      <w:r w:rsidR="00BF79F5" w:rsidRPr="007404FA">
        <w:rPr>
          <w:rFonts w:ascii="Times New Roman" w:eastAsia="Times New Roman" w:hAnsi="Times New Roman" w:cs="Times New Roman"/>
          <w:sz w:val="24"/>
          <w:szCs w:val="24"/>
        </w:rPr>
        <w:t>165</w:t>
      </w:r>
      <w:r w:rsidR="00D1189D" w:rsidRPr="007404FA">
        <w:rPr>
          <w:rFonts w:ascii="Times New Roman" w:eastAsia="Times New Roman" w:hAnsi="Times New Roman" w:cs="Times New Roman"/>
          <w:sz w:val="24"/>
          <w:szCs w:val="24"/>
        </w:rPr>
        <w:t> бр.</w:t>
      </w:r>
      <w:r w:rsidR="009D36BC" w:rsidRPr="007404FA">
        <w:rPr>
          <w:rFonts w:ascii="Times New Roman" w:eastAsia="Times New Roman" w:hAnsi="Times New Roman" w:cs="Times New Roman"/>
          <w:sz w:val="24"/>
          <w:szCs w:val="24"/>
        </w:rPr>
        <w:t>)</w:t>
      </w:r>
      <w:r w:rsidR="00D55BC5" w:rsidRPr="007404FA">
        <w:rPr>
          <w:rFonts w:ascii="Times New Roman" w:eastAsia="Times New Roman" w:hAnsi="Times New Roman" w:cs="Times New Roman"/>
          <w:sz w:val="24"/>
          <w:szCs w:val="24"/>
        </w:rPr>
        <w:t xml:space="preserve"> представлява 26% от общия брой подадени уведомления за периода, може да се изведе заключението, че е необходимо да продължат действията на КЗЛД за предоставяне на разяснения и указания относно нормативните изисквания, заложени в Регламента. </w:t>
      </w:r>
    </w:p>
    <w:p w:rsidR="00D55BC5" w:rsidRPr="007404FA" w:rsidRDefault="00D55BC5" w:rsidP="00DB6B05">
      <w:pPr>
        <w:spacing w:line="360" w:lineRule="auto"/>
        <w:ind w:firstLine="709"/>
        <w:jc w:val="both"/>
        <w:rPr>
          <w:rFonts w:ascii="Times New Roman" w:eastAsia="Calibri" w:hAnsi="Times New Roman" w:cs="Times New Roman"/>
          <w:strike/>
          <w:sz w:val="24"/>
          <w:szCs w:val="24"/>
          <w:u w:val="single"/>
        </w:rPr>
      </w:pPr>
      <w:r w:rsidRPr="007404FA">
        <w:rPr>
          <w:rFonts w:ascii="Times New Roman" w:eastAsia="Times New Roman" w:hAnsi="Times New Roman" w:cs="Times New Roman"/>
          <w:sz w:val="24"/>
          <w:szCs w:val="24"/>
        </w:rPr>
        <w:t xml:space="preserve">Наблюдаваната продължаваща </w:t>
      </w:r>
      <w:r w:rsidR="00B96E5F" w:rsidRPr="007404FA">
        <w:rPr>
          <w:rFonts w:ascii="Times New Roman" w:eastAsia="Times New Roman" w:hAnsi="Times New Roman" w:cs="Times New Roman"/>
          <w:sz w:val="24"/>
          <w:szCs w:val="24"/>
        </w:rPr>
        <w:t>практика</w:t>
      </w:r>
      <w:r w:rsidRPr="007404FA">
        <w:rPr>
          <w:rFonts w:ascii="Times New Roman" w:eastAsia="Times New Roman" w:hAnsi="Times New Roman" w:cs="Times New Roman"/>
          <w:sz w:val="24"/>
          <w:szCs w:val="24"/>
        </w:rPr>
        <w:t xml:space="preserve"> за подаване на уведомления с посочените недостатъци навежда на заключението, че някои от администраторите все още подхождат формално към изискванията, свързани с практическото приложение на Регламента. Част от администраторите и до момента бъркат уведомяван</w:t>
      </w:r>
      <w:r w:rsidR="001A634A" w:rsidRPr="007404FA">
        <w:rPr>
          <w:rFonts w:ascii="Times New Roman" w:eastAsia="Times New Roman" w:hAnsi="Times New Roman" w:cs="Times New Roman"/>
          <w:sz w:val="24"/>
          <w:szCs w:val="24"/>
        </w:rPr>
        <w:t>ето, свързано с определяне на Д</w:t>
      </w:r>
      <w:r w:rsidRPr="007404FA">
        <w:rPr>
          <w:rFonts w:ascii="Times New Roman" w:eastAsia="Times New Roman" w:hAnsi="Times New Roman" w:cs="Times New Roman"/>
          <w:sz w:val="24"/>
          <w:szCs w:val="24"/>
        </w:rPr>
        <w:t>Л</w:t>
      </w:r>
      <w:r w:rsidR="001A634A" w:rsidRPr="007404FA">
        <w:rPr>
          <w:rFonts w:ascii="Times New Roman" w:eastAsia="Times New Roman" w:hAnsi="Times New Roman" w:cs="Times New Roman"/>
          <w:sz w:val="24"/>
          <w:szCs w:val="24"/>
        </w:rPr>
        <w:t>З</w:t>
      </w:r>
      <w:r w:rsidRPr="007404FA">
        <w:rPr>
          <w:rFonts w:ascii="Times New Roman" w:eastAsia="Times New Roman" w:hAnsi="Times New Roman" w:cs="Times New Roman"/>
          <w:sz w:val="24"/>
          <w:szCs w:val="24"/>
        </w:rPr>
        <w:t>Д, със стария и отменен режим на регистрация като администратори на лични данни. Доказателство за това е, че вече четири години въпреки отмяната на регистрирането на АЛД от 25.05.2018</w:t>
      </w:r>
      <w:r w:rsidR="00F06583" w:rsidRPr="007404FA">
        <w:rPr>
          <w:rFonts w:ascii="Times New Roman" w:eastAsia="Times New Roman" w:hAnsi="Times New Roman" w:cs="Times New Roman"/>
          <w:sz w:val="24"/>
          <w:szCs w:val="24"/>
        </w:rPr>
        <w:t> г.</w:t>
      </w:r>
      <w:r w:rsidRPr="007404FA">
        <w:rPr>
          <w:rFonts w:ascii="Times New Roman" w:eastAsia="Times New Roman" w:hAnsi="Times New Roman" w:cs="Times New Roman"/>
          <w:sz w:val="24"/>
          <w:szCs w:val="24"/>
        </w:rPr>
        <w:t xml:space="preserve"> в КЗЛД продължават да пристигат и такива заявления.</w:t>
      </w:r>
    </w:p>
    <w:p w:rsidR="00D55BC5" w:rsidRPr="007404FA" w:rsidRDefault="00D55BC5" w:rsidP="00DB6B05">
      <w:pPr>
        <w:spacing w:line="360" w:lineRule="auto"/>
        <w:ind w:firstLine="709"/>
        <w:jc w:val="both"/>
        <w:rPr>
          <w:rFonts w:ascii="Times New Roman" w:eastAsia="Calibri" w:hAnsi="Times New Roman" w:cs="Times New Roman"/>
          <w:strike/>
          <w:sz w:val="24"/>
          <w:szCs w:val="24"/>
          <w:u w:val="single"/>
        </w:rPr>
      </w:pPr>
    </w:p>
    <w:p w:rsidR="00D55BC5" w:rsidRPr="007404FA" w:rsidRDefault="002D36F1" w:rsidP="00DB6B05">
      <w:pPr>
        <w:spacing w:line="360" w:lineRule="auto"/>
        <w:ind w:firstLine="709"/>
        <w:jc w:val="both"/>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 xml:space="preserve">2.3. </w:t>
      </w:r>
      <w:r w:rsidR="00D55BC5" w:rsidRPr="007404FA">
        <w:rPr>
          <w:rFonts w:ascii="Times New Roman" w:eastAsia="Times New Roman" w:hAnsi="Times New Roman" w:cs="Times New Roman"/>
          <w:b/>
          <w:sz w:val="24"/>
          <w:szCs w:val="24"/>
        </w:rPr>
        <w:t>Утвърждаване активната роля на длъжностното лице по защита на данните.</w:t>
      </w:r>
      <w:r w:rsidR="00157B49">
        <w:rPr>
          <w:rFonts w:ascii="Times New Roman" w:eastAsia="Times New Roman" w:hAnsi="Times New Roman" w:cs="Times New Roman"/>
          <w:b/>
          <w:sz w:val="24"/>
          <w:szCs w:val="24"/>
        </w:rPr>
        <w:t xml:space="preserve"> </w:t>
      </w:r>
    </w:p>
    <w:p w:rsidR="00D55BC5" w:rsidRPr="007404FA" w:rsidRDefault="00D55BC5"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Анализирайки своята практика през 2022</w:t>
      </w:r>
      <w:r w:rsidR="001C5E0D" w:rsidRPr="007404FA">
        <w:rPr>
          <w:rFonts w:ascii="Times New Roman" w:eastAsia="Times New Roman" w:hAnsi="Times New Roman" w:cs="Times New Roman"/>
          <w:sz w:val="24"/>
          <w:szCs w:val="24"/>
        </w:rPr>
        <w:t> </w:t>
      </w:r>
      <w:r w:rsidRPr="007404FA">
        <w:rPr>
          <w:rFonts w:ascii="Times New Roman" w:eastAsia="Times New Roman" w:hAnsi="Times New Roman" w:cs="Times New Roman"/>
          <w:sz w:val="24"/>
          <w:szCs w:val="24"/>
        </w:rPr>
        <w:t>г.</w:t>
      </w:r>
      <w:r w:rsidR="00133955">
        <w:rPr>
          <w:rFonts w:ascii="Times New Roman" w:eastAsia="Times New Roman" w:hAnsi="Times New Roman" w:cs="Times New Roman"/>
          <w:sz w:val="24"/>
          <w:szCs w:val="24"/>
        </w:rPr>
        <w:t>,</w:t>
      </w:r>
      <w:r w:rsidRPr="007404FA">
        <w:rPr>
          <w:rFonts w:ascii="Times New Roman" w:eastAsia="Times New Roman" w:hAnsi="Times New Roman" w:cs="Times New Roman"/>
          <w:sz w:val="24"/>
          <w:szCs w:val="24"/>
        </w:rPr>
        <w:t xml:space="preserve"> КЗЛД отново отчита, че АЛД продължават сериозно да подценяват, а в няко</w:t>
      </w:r>
      <w:r w:rsidR="00133955">
        <w:rPr>
          <w:rFonts w:ascii="Times New Roman" w:eastAsia="Times New Roman" w:hAnsi="Times New Roman" w:cs="Times New Roman"/>
          <w:sz w:val="24"/>
          <w:szCs w:val="24"/>
        </w:rPr>
        <w:t>и случаи директно да неглижират</w:t>
      </w:r>
      <w:r w:rsidRPr="007404FA">
        <w:rPr>
          <w:rFonts w:ascii="Times New Roman" w:eastAsia="Times New Roman" w:hAnsi="Times New Roman" w:cs="Times New Roman"/>
          <w:sz w:val="24"/>
          <w:szCs w:val="24"/>
        </w:rPr>
        <w:t xml:space="preserve"> ролята на своите ДЛЗД. Комисията изрично подчертава, че и занапред при оценка за правилното прилагане на Регламент (ЕС) 2016/679 и ЗЗЛД от АЛД/ОЛД ще наблюдава работата на ДЛЗД и нейното подценяване ще се отчита като сериозен пропуск от страна на АЛД/ОЛД в това отношение. Самата фигура на ДЛЗД е съществен елемент в правната рамка за защита на личните данни и правилното функциониране на едно ДЛЗД е сигурен знак за задълбоченото разбиране и правилното прилагане на Регламента от АЛД/ОЛД.</w:t>
      </w:r>
    </w:p>
    <w:p w:rsidR="00D55BC5" w:rsidRPr="007404FA" w:rsidRDefault="00D55BC5"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 xml:space="preserve">И в бъдеще при своята контролна дейност КЗЛД ще продължи да обръща сериозно внимание върху реалното участие на ДЛЗД като важен и принципен момент от действията на един АЛД/ОЛД за изпълнение на задължението за точно прилагане на Регламента. Институционалната и морална подкрепа, която всеки АЛД/ОЛД следва да оказва за </w:t>
      </w:r>
      <w:r w:rsidRPr="007404FA">
        <w:rPr>
          <w:rFonts w:ascii="Times New Roman" w:eastAsia="Times New Roman" w:hAnsi="Times New Roman" w:cs="Times New Roman"/>
          <w:sz w:val="24"/>
          <w:szCs w:val="24"/>
        </w:rPr>
        <w:lastRenderedPageBreak/>
        <w:t xml:space="preserve">повишаване авторитета и значението на ДЛЗД в своята структура, ще затвърди професионалната репутация на ДЛЗД и </w:t>
      </w:r>
      <w:r w:rsidR="00941050" w:rsidRPr="007404FA">
        <w:rPr>
          <w:rFonts w:ascii="Times New Roman" w:eastAsia="Times New Roman" w:hAnsi="Times New Roman" w:cs="Times New Roman"/>
          <w:sz w:val="24"/>
          <w:szCs w:val="24"/>
        </w:rPr>
        <w:t xml:space="preserve">ще доведе до промяна на </w:t>
      </w:r>
      <w:r w:rsidRPr="007404FA">
        <w:rPr>
          <w:rFonts w:ascii="Times New Roman" w:eastAsia="Times New Roman" w:hAnsi="Times New Roman" w:cs="Times New Roman"/>
          <w:sz w:val="24"/>
          <w:szCs w:val="24"/>
        </w:rPr>
        <w:t xml:space="preserve">отношението </w:t>
      </w:r>
      <w:r w:rsidR="00941050" w:rsidRPr="007404FA">
        <w:rPr>
          <w:rFonts w:ascii="Times New Roman" w:eastAsia="Times New Roman" w:hAnsi="Times New Roman" w:cs="Times New Roman"/>
          <w:sz w:val="24"/>
          <w:szCs w:val="24"/>
        </w:rPr>
        <w:t>относно</w:t>
      </w:r>
      <w:r w:rsidRPr="007404FA">
        <w:rPr>
          <w:rFonts w:ascii="Times New Roman" w:eastAsia="Times New Roman" w:hAnsi="Times New Roman" w:cs="Times New Roman"/>
          <w:sz w:val="24"/>
          <w:szCs w:val="24"/>
        </w:rPr>
        <w:t xml:space="preserve"> функциите на ДЛЗД и ще повиши ангажираност</w:t>
      </w:r>
      <w:r w:rsidR="00941050" w:rsidRPr="007404FA">
        <w:rPr>
          <w:rFonts w:ascii="Times New Roman" w:eastAsia="Times New Roman" w:hAnsi="Times New Roman" w:cs="Times New Roman"/>
          <w:sz w:val="24"/>
          <w:szCs w:val="24"/>
        </w:rPr>
        <w:t>та на останалите служители на АЛД/ОЛД</w:t>
      </w:r>
      <w:r w:rsidRPr="007404FA">
        <w:rPr>
          <w:rFonts w:ascii="Times New Roman" w:eastAsia="Times New Roman" w:hAnsi="Times New Roman" w:cs="Times New Roman"/>
          <w:sz w:val="24"/>
          <w:szCs w:val="24"/>
        </w:rPr>
        <w:t xml:space="preserve"> по въпросите, свързани със защитата на личните данни в ежедневната им дейност. Като резултат от такива действия и самите ДЛЗД ще търсят начин за повишаване на своята професионална подготовка и квалификация, включително </w:t>
      </w:r>
      <w:r w:rsidR="00A00F68" w:rsidRPr="007404FA">
        <w:rPr>
          <w:rFonts w:ascii="Times New Roman" w:eastAsia="Times New Roman" w:hAnsi="Times New Roman" w:cs="Times New Roman"/>
          <w:sz w:val="24"/>
          <w:szCs w:val="24"/>
        </w:rPr>
        <w:t xml:space="preserve">под формата на </w:t>
      </w:r>
      <w:r w:rsidRPr="007404FA">
        <w:rPr>
          <w:rFonts w:ascii="Times New Roman" w:eastAsia="Times New Roman" w:hAnsi="Times New Roman" w:cs="Times New Roman"/>
          <w:sz w:val="24"/>
          <w:szCs w:val="24"/>
        </w:rPr>
        <w:t>консултации с КЗЛД, за ко</w:t>
      </w:r>
      <w:r w:rsidR="00133955">
        <w:rPr>
          <w:rFonts w:ascii="Times New Roman" w:eastAsia="Times New Roman" w:hAnsi="Times New Roman" w:cs="Times New Roman"/>
          <w:sz w:val="24"/>
          <w:szCs w:val="24"/>
        </w:rPr>
        <w:t>ито К</w:t>
      </w:r>
      <w:r w:rsidRPr="007404FA">
        <w:rPr>
          <w:rFonts w:ascii="Times New Roman" w:eastAsia="Times New Roman" w:hAnsi="Times New Roman" w:cs="Times New Roman"/>
          <w:sz w:val="24"/>
          <w:szCs w:val="24"/>
        </w:rPr>
        <w:t>омисията винаги е изразявала готовност. Следва да се отбележи, ч</w:t>
      </w:r>
      <w:r w:rsidR="00133955">
        <w:rPr>
          <w:rFonts w:ascii="Times New Roman" w:eastAsia="Times New Roman" w:hAnsi="Times New Roman" w:cs="Times New Roman"/>
          <w:sz w:val="24"/>
          <w:szCs w:val="24"/>
        </w:rPr>
        <w:t>е не са редки случаите, когато К</w:t>
      </w:r>
      <w:r w:rsidRPr="007404FA">
        <w:rPr>
          <w:rFonts w:ascii="Times New Roman" w:eastAsia="Times New Roman" w:hAnsi="Times New Roman" w:cs="Times New Roman"/>
          <w:sz w:val="24"/>
          <w:szCs w:val="24"/>
        </w:rPr>
        <w:t>омисията е сезирана с искания за становища от АЛД (с определени от тях ДЛЗД), които показват много слабо познаване на Регламента по принципни въп</w:t>
      </w:r>
      <w:r w:rsidR="001C5E0D" w:rsidRPr="007404FA">
        <w:rPr>
          <w:rFonts w:ascii="Times New Roman" w:eastAsia="Times New Roman" w:hAnsi="Times New Roman" w:cs="Times New Roman"/>
          <w:sz w:val="24"/>
          <w:szCs w:val="24"/>
        </w:rPr>
        <w:t xml:space="preserve">роси. </w:t>
      </w:r>
      <w:r w:rsidR="00EF6549" w:rsidRPr="007404FA">
        <w:rPr>
          <w:rFonts w:ascii="Times New Roman" w:eastAsia="Times New Roman" w:hAnsi="Times New Roman" w:cs="Times New Roman"/>
          <w:sz w:val="24"/>
          <w:szCs w:val="24"/>
        </w:rPr>
        <w:t xml:space="preserve">В тези случаи логично възниква въпросът </w:t>
      </w:r>
      <w:r w:rsidRPr="007404FA">
        <w:rPr>
          <w:rFonts w:ascii="Times New Roman" w:eastAsia="Times New Roman" w:hAnsi="Times New Roman" w:cs="Times New Roman"/>
          <w:sz w:val="24"/>
          <w:szCs w:val="24"/>
        </w:rPr>
        <w:t xml:space="preserve">дали </w:t>
      </w:r>
      <w:r w:rsidR="00E00736" w:rsidRPr="007404FA">
        <w:rPr>
          <w:rFonts w:ascii="Times New Roman" w:eastAsia="Times New Roman" w:hAnsi="Times New Roman" w:cs="Times New Roman"/>
          <w:sz w:val="24"/>
          <w:szCs w:val="24"/>
        </w:rPr>
        <w:t>т</w:t>
      </w:r>
      <w:r w:rsidR="00133955">
        <w:rPr>
          <w:rFonts w:ascii="Times New Roman" w:eastAsia="Times New Roman" w:hAnsi="Times New Roman" w:cs="Times New Roman"/>
          <w:sz w:val="24"/>
          <w:szCs w:val="24"/>
        </w:rPr>
        <w:t>е</w:t>
      </w:r>
      <w:r w:rsidR="00E00736" w:rsidRPr="007404FA">
        <w:rPr>
          <w:rFonts w:ascii="Times New Roman" w:eastAsia="Times New Roman" w:hAnsi="Times New Roman" w:cs="Times New Roman"/>
          <w:sz w:val="24"/>
          <w:szCs w:val="24"/>
        </w:rPr>
        <w:t>зи АЛД въобще</w:t>
      </w:r>
      <w:r w:rsidRPr="007404FA">
        <w:rPr>
          <w:rFonts w:ascii="Times New Roman" w:eastAsia="Times New Roman" w:hAnsi="Times New Roman" w:cs="Times New Roman"/>
          <w:sz w:val="24"/>
          <w:szCs w:val="24"/>
        </w:rPr>
        <w:t xml:space="preserve"> са се допитали до </w:t>
      </w:r>
      <w:r w:rsidR="00E00736" w:rsidRPr="007404FA">
        <w:rPr>
          <w:rFonts w:ascii="Times New Roman" w:eastAsia="Times New Roman" w:hAnsi="Times New Roman" w:cs="Times New Roman"/>
          <w:sz w:val="24"/>
          <w:szCs w:val="24"/>
        </w:rPr>
        <w:t>своите</w:t>
      </w:r>
      <w:r w:rsidRPr="007404FA">
        <w:rPr>
          <w:rFonts w:ascii="Times New Roman" w:eastAsia="Times New Roman" w:hAnsi="Times New Roman" w:cs="Times New Roman"/>
          <w:sz w:val="24"/>
          <w:szCs w:val="24"/>
        </w:rPr>
        <w:t xml:space="preserve"> ДЛЗД и ако</w:t>
      </w:r>
      <w:r w:rsidR="00553661" w:rsidRPr="007404FA">
        <w:rPr>
          <w:rFonts w:ascii="Times New Roman" w:eastAsia="Times New Roman" w:hAnsi="Times New Roman" w:cs="Times New Roman"/>
          <w:sz w:val="24"/>
          <w:szCs w:val="24"/>
        </w:rPr>
        <w:t xml:space="preserve"> – </w:t>
      </w:r>
      <w:r w:rsidR="00CE064A" w:rsidRPr="007404FA">
        <w:rPr>
          <w:rFonts w:ascii="Times New Roman" w:eastAsia="Times New Roman" w:hAnsi="Times New Roman" w:cs="Times New Roman"/>
          <w:sz w:val="24"/>
          <w:szCs w:val="24"/>
        </w:rPr>
        <w:t xml:space="preserve">да, </w:t>
      </w:r>
      <w:r w:rsidRPr="007404FA">
        <w:rPr>
          <w:rFonts w:ascii="Times New Roman" w:eastAsia="Times New Roman" w:hAnsi="Times New Roman" w:cs="Times New Roman"/>
          <w:sz w:val="24"/>
          <w:szCs w:val="24"/>
        </w:rPr>
        <w:t>на какво н</w:t>
      </w:r>
      <w:r w:rsidR="00CE064A" w:rsidRPr="007404FA">
        <w:rPr>
          <w:rFonts w:ascii="Times New Roman" w:eastAsia="Times New Roman" w:hAnsi="Times New Roman" w:cs="Times New Roman"/>
          <w:sz w:val="24"/>
          <w:szCs w:val="24"/>
        </w:rPr>
        <w:t>иво е познаването на материята в областта на защитата на</w:t>
      </w:r>
      <w:r w:rsidR="00157B49">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личните данни от същите тези ДЛЗД.</w:t>
      </w:r>
    </w:p>
    <w:p w:rsidR="00D55BC5" w:rsidRPr="007404FA" w:rsidRDefault="00D55BC5" w:rsidP="00DB6B05">
      <w:pPr>
        <w:spacing w:line="360" w:lineRule="auto"/>
        <w:ind w:firstLine="709"/>
        <w:jc w:val="both"/>
        <w:rPr>
          <w:rFonts w:ascii="Times New Roman" w:eastAsia="Times New Roman" w:hAnsi="Times New Roman" w:cs="Times New Roman"/>
          <w:sz w:val="24"/>
          <w:szCs w:val="24"/>
        </w:rPr>
      </w:pPr>
    </w:p>
    <w:p w:rsidR="00D55BC5" w:rsidRPr="007404FA" w:rsidRDefault="008F0A24" w:rsidP="00DB6B05">
      <w:pPr>
        <w:spacing w:line="360" w:lineRule="auto"/>
        <w:ind w:firstLine="709"/>
        <w:jc w:val="both"/>
        <w:rPr>
          <w:rFonts w:ascii="Times New Roman" w:eastAsia="Calibri" w:hAnsi="Times New Roman" w:cs="Times New Roman"/>
          <w:b/>
          <w:sz w:val="24"/>
          <w:szCs w:val="24"/>
        </w:rPr>
      </w:pPr>
      <w:r w:rsidRPr="007404FA">
        <w:rPr>
          <w:rFonts w:ascii="Times New Roman" w:eastAsia="Calibri" w:hAnsi="Times New Roman" w:cs="Times New Roman"/>
          <w:b/>
          <w:sz w:val="24"/>
          <w:szCs w:val="24"/>
        </w:rPr>
        <w:t>3</w:t>
      </w:r>
      <w:r w:rsidR="00D55BC5" w:rsidRPr="007404FA">
        <w:rPr>
          <w:rFonts w:ascii="Times New Roman" w:eastAsia="Calibri" w:hAnsi="Times New Roman" w:cs="Times New Roman"/>
          <w:b/>
          <w:sz w:val="24"/>
          <w:szCs w:val="24"/>
        </w:rPr>
        <w:t>. Повишаване на обществената информираност по въпроси в областта на защитата на личните данни.</w:t>
      </w:r>
    </w:p>
    <w:p w:rsidR="00D55BC5" w:rsidRPr="007404FA" w:rsidRDefault="00D55BC5"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 xml:space="preserve">Утвърдена практика на КЗЛД е </w:t>
      </w:r>
      <w:r w:rsidRPr="007404FA">
        <w:rPr>
          <w:rFonts w:ascii="Times New Roman" w:eastAsia="Calibri" w:hAnsi="Times New Roman" w:cs="Times New Roman"/>
          <w:sz w:val="24"/>
          <w:szCs w:val="24"/>
          <w:shd w:val="clear" w:color="auto" w:fill="FFFFFF"/>
        </w:rPr>
        <w:t xml:space="preserve">по достъпен и разбираем начин да разяснява на обществото </w:t>
      </w:r>
      <w:r w:rsidRPr="007404FA">
        <w:rPr>
          <w:rFonts w:ascii="Times New Roman" w:eastAsia="Times New Roman" w:hAnsi="Times New Roman" w:cs="Times New Roman"/>
          <w:sz w:val="24"/>
          <w:szCs w:val="24"/>
        </w:rPr>
        <w:t>основните положения от правната рамка в ЕС в областта на личните данни, както и националното законодателство в тази сфера.</w:t>
      </w:r>
    </w:p>
    <w:p w:rsidR="00ED514F" w:rsidRPr="007404FA" w:rsidRDefault="00ED514F" w:rsidP="00DB6B05">
      <w:pPr>
        <w:spacing w:line="360" w:lineRule="auto"/>
        <w:ind w:firstLine="709"/>
        <w:jc w:val="both"/>
        <w:rPr>
          <w:rFonts w:ascii="Times New Roman" w:eastAsia="Calibri" w:hAnsi="Times New Roman" w:cs="Times New Roman"/>
          <w:b/>
          <w:sz w:val="24"/>
          <w:szCs w:val="24"/>
        </w:rPr>
      </w:pPr>
      <w:r w:rsidRPr="007404FA">
        <w:rPr>
          <w:rFonts w:ascii="Times New Roman" w:eastAsia="Calibri" w:hAnsi="Times New Roman" w:cs="Times New Roman"/>
          <w:b/>
          <w:sz w:val="24"/>
          <w:szCs w:val="24"/>
        </w:rPr>
        <w:t>3.1. Институционален сайт</w:t>
      </w:r>
      <w:r w:rsidR="00133955">
        <w:rPr>
          <w:rFonts w:ascii="Times New Roman" w:eastAsia="Calibri" w:hAnsi="Times New Roman" w:cs="Times New Roman"/>
          <w:b/>
          <w:sz w:val="24"/>
          <w:szCs w:val="24"/>
        </w:rPr>
        <w:t>.</w:t>
      </w:r>
    </w:p>
    <w:p w:rsidR="00D55BC5" w:rsidRPr="007404FA" w:rsidRDefault="00D55BC5"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И през 2022</w:t>
      </w:r>
      <w:r w:rsidR="00F06583" w:rsidRPr="007404FA">
        <w:rPr>
          <w:rFonts w:ascii="Times New Roman" w:eastAsia="Calibri" w:hAnsi="Times New Roman" w:cs="Times New Roman"/>
          <w:sz w:val="24"/>
          <w:szCs w:val="24"/>
        </w:rPr>
        <w:t> г.</w:t>
      </w:r>
      <w:r w:rsidRPr="007404FA">
        <w:rPr>
          <w:rFonts w:ascii="Times New Roman" w:eastAsia="Calibri" w:hAnsi="Times New Roman" w:cs="Times New Roman"/>
          <w:sz w:val="24"/>
          <w:szCs w:val="24"/>
        </w:rPr>
        <w:t xml:space="preserve"> институционалният сайт на КЗЛД e основен инструмент за реализирането на информационната дейност на КЗЛД. </w:t>
      </w:r>
      <w:r w:rsidRPr="007404FA">
        <w:rPr>
          <w:rFonts w:ascii="Times New Roman" w:eastAsia="Times New Roman" w:hAnsi="Times New Roman" w:cs="Times New Roman"/>
          <w:sz w:val="24"/>
          <w:szCs w:val="24"/>
        </w:rPr>
        <w:t xml:space="preserve">За тази цел през </w:t>
      </w:r>
      <w:r w:rsidR="00560570" w:rsidRPr="007404FA">
        <w:rPr>
          <w:rFonts w:ascii="Times New Roman" w:eastAsia="Times New Roman" w:hAnsi="Times New Roman" w:cs="Times New Roman"/>
          <w:sz w:val="24"/>
          <w:szCs w:val="24"/>
        </w:rPr>
        <w:t>отчетния период</w:t>
      </w:r>
      <w:r w:rsidRPr="007404FA">
        <w:rPr>
          <w:rFonts w:ascii="Times New Roman" w:eastAsia="Times New Roman" w:hAnsi="Times New Roman" w:cs="Times New Roman"/>
          <w:sz w:val="24"/>
          <w:szCs w:val="24"/>
        </w:rPr>
        <w:t xml:space="preserve"> на сайта се публикуват насоки, указания, разяснения и т.н., като целта е в максимална степен да се обхванат различните категории потребители на информация</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 xml:space="preserve">граждани, администратори, потребители с различна степен на познания и ориентиране в сферата на опазване сигурността на личните данни и гарантиране правата на гражданите. </w:t>
      </w:r>
      <w:r w:rsidRPr="007404FA">
        <w:rPr>
          <w:rFonts w:ascii="Times New Roman" w:eastAsia="Calibri" w:hAnsi="Times New Roman" w:cs="Times New Roman"/>
          <w:sz w:val="24"/>
          <w:szCs w:val="24"/>
        </w:rPr>
        <w:t>Продължава поддържането на сайта в три езикови версии</w:t>
      </w:r>
      <w:r w:rsidR="00553661" w:rsidRPr="007404FA">
        <w:rPr>
          <w:rFonts w:ascii="Times New Roman" w:eastAsia="Calibri" w:hAnsi="Times New Roman" w:cs="Times New Roman"/>
          <w:sz w:val="24"/>
          <w:szCs w:val="24"/>
        </w:rPr>
        <w:t xml:space="preserve"> – </w:t>
      </w:r>
      <w:r w:rsidRPr="007404FA">
        <w:rPr>
          <w:rFonts w:ascii="Times New Roman" w:eastAsia="Calibri" w:hAnsi="Times New Roman" w:cs="Times New Roman"/>
          <w:sz w:val="24"/>
          <w:szCs w:val="24"/>
        </w:rPr>
        <w:t>на български, английски и френски език.</w:t>
      </w:r>
    </w:p>
    <w:p w:rsidR="00D55BC5" w:rsidRPr="007404FA" w:rsidRDefault="00D55BC5" w:rsidP="00DB6B05">
      <w:pPr>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През 2022</w:t>
      </w:r>
      <w:r w:rsidR="00F06583" w:rsidRPr="007404FA">
        <w:rPr>
          <w:rFonts w:ascii="Times New Roman" w:eastAsia="Times New Roman" w:hAnsi="Times New Roman" w:cs="Times New Roman"/>
          <w:sz w:val="24"/>
          <w:szCs w:val="24"/>
        </w:rPr>
        <w:t> г.</w:t>
      </w:r>
      <w:r w:rsidRPr="007404FA">
        <w:rPr>
          <w:rFonts w:ascii="Times New Roman" w:eastAsia="Times New Roman" w:hAnsi="Times New Roman" w:cs="Times New Roman"/>
          <w:sz w:val="24"/>
          <w:szCs w:val="24"/>
        </w:rPr>
        <w:t xml:space="preserve"> продължава</w:t>
      </w:r>
      <w:r w:rsidR="00133955">
        <w:rPr>
          <w:rFonts w:ascii="Times New Roman" w:eastAsia="Times New Roman" w:hAnsi="Times New Roman" w:cs="Times New Roman"/>
          <w:sz w:val="24"/>
          <w:szCs w:val="24"/>
        </w:rPr>
        <w:t>т</w:t>
      </w:r>
      <w:r w:rsidRPr="007404FA">
        <w:rPr>
          <w:rFonts w:ascii="Times New Roman" w:eastAsia="Times New Roman" w:hAnsi="Times New Roman" w:cs="Times New Roman"/>
          <w:sz w:val="24"/>
          <w:szCs w:val="24"/>
        </w:rPr>
        <w:t xml:space="preserve"> поддържането, актуализирането и</w:t>
      </w:r>
      <w:r w:rsidR="00157B49">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обогатяването с информация на двата общи информационно-разяснителни раздела</w:t>
      </w:r>
      <w:r w:rsidR="00E06D6E">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„Насоки“ и „Полезна информация“, както и на създадените в предходната 2021</w:t>
      </w:r>
      <w:r w:rsidR="00F06583" w:rsidRPr="007404FA">
        <w:rPr>
          <w:rFonts w:ascii="Times New Roman" w:eastAsia="Times New Roman" w:hAnsi="Times New Roman" w:cs="Times New Roman"/>
          <w:sz w:val="24"/>
          <w:szCs w:val="24"/>
        </w:rPr>
        <w:t> г.</w:t>
      </w:r>
      <w:r w:rsidRPr="007404FA">
        <w:rPr>
          <w:rFonts w:ascii="Times New Roman" w:eastAsia="Times New Roman" w:hAnsi="Times New Roman" w:cs="Times New Roman"/>
          <w:sz w:val="24"/>
          <w:szCs w:val="24"/>
        </w:rPr>
        <w:t xml:space="preserve"> тематично специализирани раздели „Международно сътрудничество“, „Предаване на данни към трети държави“ и „Шенгенско пространство“. В „Насоки“ се публикуват изисквания, указания и насоки, а в „Полезна информация“</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информация с разяснителен характер по актуални теми от висок обществен интерес. През 2022</w:t>
      </w:r>
      <w:r w:rsidR="00F06583" w:rsidRPr="007404FA">
        <w:rPr>
          <w:rFonts w:ascii="Times New Roman" w:eastAsia="Times New Roman" w:hAnsi="Times New Roman" w:cs="Times New Roman"/>
          <w:sz w:val="24"/>
          <w:szCs w:val="24"/>
        </w:rPr>
        <w:t> г.</w:t>
      </w:r>
      <w:r w:rsidRPr="007404FA">
        <w:rPr>
          <w:rFonts w:ascii="Times New Roman" w:eastAsia="Times New Roman" w:hAnsi="Times New Roman" w:cs="Times New Roman"/>
          <w:sz w:val="24"/>
          <w:szCs w:val="24"/>
        </w:rPr>
        <w:t xml:space="preserve"> продължава допълването на съдържанието с нови приети насоки на ЕКЗД и информационно-разяснителни материали по Регламент 2016/679 и ЗЗЛД. През юни е публикуван „Списък на операциите по обработване на лични данни, за които е </w:t>
      </w:r>
      <w:r w:rsidRPr="007404FA">
        <w:rPr>
          <w:rFonts w:ascii="Times New Roman" w:eastAsia="Times New Roman" w:hAnsi="Times New Roman" w:cs="Times New Roman"/>
          <w:sz w:val="24"/>
          <w:szCs w:val="24"/>
        </w:rPr>
        <w:lastRenderedPageBreak/>
        <w:t>задължителна предварителна консултация по чл.</w:t>
      </w:r>
      <w:r w:rsidR="00133955">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65, ал.</w:t>
      </w:r>
      <w:r w:rsidR="00133955">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 xml:space="preserve">3 от Закона за защита на личните данни“. </w:t>
      </w:r>
    </w:p>
    <w:p w:rsidR="00F95A49" w:rsidRPr="007404FA" w:rsidRDefault="00D55BC5" w:rsidP="00DB6B05">
      <w:pPr>
        <w:spacing w:line="360" w:lineRule="auto"/>
        <w:ind w:firstLine="709"/>
        <w:jc w:val="both"/>
        <w:rPr>
          <w:rFonts w:ascii="Times New Roman" w:eastAsia="Calibri" w:hAnsi="Times New Roman" w:cs="Times New Roman"/>
          <w:sz w:val="24"/>
          <w:szCs w:val="24"/>
        </w:rPr>
      </w:pPr>
      <w:r w:rsidRPr="007404FA">
        <w:rPr>
          <w:rFonts w:ascii="Times New Roman" w:eastAsia="Times New Roman" w:hAnsi="Times New Roman" w:cs="Times New Roman"/>
          <w:sz w:val="24"/>
          <w:szCs w:val="24"/>
        </w:rPr>
        <w:t>Тъй като р</w:t>
      </w:r>
      <w:r w:rsidR="00133955">
        <w:rPr>
          <w:rFonts w:ascii="Times New Roman" w:eastAsia="Calibri" w:hAnsi="Times New Roman" w:cs="Times New Roman"/>
          <w:sz w:val="24"/>
          <w:szCs w:val="24"/>
        </w:rPr>
        <w:t>аботата на КЗЛД</w:t>
      </w:r>
      <w:r w:rsidRPr="007404FA">
        <w:rPr>
          <w:rFonts w:ascii="Times New Roman" w:eastAsia="Calibri" w:hAnsi="Times New Roman" w:cs="Times New Roman"/>
          <w:sz w:val="24"/>
          <w:szCs w:val="24"/>
        </w:rPr>
        <w:t xml:space="preserve"> във връзка с постигането на пълноправно членство на България в Шенгенското п</w:t>
      </w:r>
      <w:r w:rsidR="00133955">
        <w:rPr>
          <w:rFonts w:ascii="Times New Roman" w:eastAsia="Calibri" w:hAnsi="Times New Roman" w:cs="Times New Roman"/>
          <w:sz w:val="24"/>
          <w:szCs w:val="24"/>
        </w:rPr>
        <w:t>ространство</w:t>
      </w:r>
      <w:r w:rsidRPr="007404FA">
        <w:rPr>
          <w:rFonts w:ascii="Times New Roman" w:eastAsia="Calibri" w:hAnsi="Times New Roman" w:cs="Times New Roman"/>
          <w:sz w:val="24"/>
          <w:szCs w:val="24"/>
        </w:rPr>
        <w:t xml:space="preserve"> е приоритетна задача и през 2022</w:t>
      </w:r>
      <w:r w:rsidR="00F06583" w:rsidRPr="007404FA">
        <w:rPr>
          <w:rFonts w:ascii="Times New Roman" w:eastAsia="Calibri" w:hAnsi="Times New Roman" w:cs="Times New Roman"/>
          <w:sz w:val="24"/>
          <w:szCs w:val="24"/>
        </w:rPr>
        <w:t> г.</w:t>
      </w:r>
      <w:r w:rsidRPr="007404FA">
        <w:rPr>
          <w:rFonts w:ascii="Times New Roman" w:eastAsia="Calibri" w:hAnsi="Times New Roman" w:cs="Times New Roman"/>
          <w:sz w:val="24"/>
          <w:szCs w:val="24"/>
        </w:rPr>
        <w:t xml:space="preserve">, специално внимание е отделено на актуализирането на раздела „Шенгенско пространство“. </w:t>
      </w:r>
      <w:r w:rsidR="00F95A49" w:rsidRPr="007404FA">
        <w:rPr>
          <w:rFonts w:ascii="Times New Roman" w:eastAsia="Calibri" w:hAnsi="Times New Roman" w:cs="Times New Roman"/>
          <w:sz w:val="24"/>
          <w:szCs w:val="24"/>
        </w:rPr>
        <w:t>През 2022</w:t>
      </w:r>
      <w:r w:rsidR="00F06583" w:rsidRPr="007404FA">
        <w:rPr>
          <w:rFonts w:ascii="Times New Roman" w:eastAsia="Calibri" w:hAnsi="Times New Roman" w:cs="Times New Roman"/>
          <w:sz w:val="24"/>
          <w:szCs w:val="24"/>
        </w:rPr>
        <w:t> г.</w:t>
      </w:r>
      <w:r w:rsidR="00F95A49" w:rsidRPr="007404FA">
        <w:rPr>
          <w:rFonts w:ascii="Times New Roman" w:eastAsia="Calibri" w:hAnsi="Times New Roman" w:cs="Times New Roman"/>
          <w:sz w:val="24"/>
          <w:szCs w:val="24"/>
        </w:rPr>
        <w:t xml:space="preserve"> е разработена и публикувана електронна брошура „Широкомащабни информационни системи на ЕС“, която заедно с актуализираната през същия период брошура отно</w:t>
      </w:r>
      <w:r w:rsidR="00133955">
        <w:rPr>
          <w:rFonts w:ascii="Times New Roman" w:eastAsia="Calibri" w:hAnsi="Times New Roman" w:cs="Times New Roman"/>
          <w:sz w:val="24"/>
          <w:szCs w:val="24"/>
        </w:rPr>
        <w:t>сно правата на физическите лица</w:t>
      </w:r>
      <w:r w:rsidR="00F95A49" w:rsidRPr="007404FA">
        <w:rPr>
          <w:rFonts w:ascii="Times New Roman" w:eastAsia="Calibri" w:hAnsi="Times New Roman" w:cs="Times New Roman"/>
          <w:sz w:val="24"/>
          <w:szCs w:val="24"/>
        </w:rPr>
        <w:t xml:space="preserve"> завършва информационния цикъл за запознаване на широката общественост с важните понятия относно Шенгенското законодателство. В тазгодишния информационен материал са представени широкомащабни информационни системи на ЕС, включително Шенгенската информационна система от второ поколение, Визовата информационна система, Информационната система Е</w:t>
      </w:r>
      <w:r w:rsidR="00133955">
        <w:rPr>
          <w:rFonts w:ascii="Times New Roman" w:eastAsia="Calibri" w:hAnsi="Times New Roman" w:cs="Times New Roman"/>
          <w:sz w:val="24"/>
          <w:szCs w:val="24"/>
        </w:rPr>
        <w:t>вродак</w:t>
      </w:r>
      <w:r w:rsidR="00F95A49" w:rsidRPr="007404FA">
        <w:rPr>
          <w:rFonts w:ascii="Times New Roman" w:eastAsia="Calibri" w:hAnsi="Times New Roman" w:cs="Times New Roman"/>
          <w:sz w:val="24"/>
          <w:szCs w:val="24"/>
        </w:rPr>
        <w:t>, Системата на Агенцията на ЕС за сътрудничество в областта на правоприлагането Е</w:t>
      </w:r>
      <w:r w:rsidR="00133955">
        <w:rPr>
          <w:rFonts w:ascii="Times New Roman" w:eastAsia="Calibri" w:hAnsi="Times New Roman" w:cs="Times New Roman"/>
          <w:sz w:val="24"/>
          <w:szCs w:val="24"/>
        </w:rPr>
        <w:t>вропол</w:t>
      </w:r>
      <w:r w:rsidR="00F95A49" w:rsidRPr="007404FA">
        <w:rPr>
          <w:rFonts w:ascii="Times New Roman" w:eastAsia="Calibri" w:hAnsi="Times New Roman" w:cs="Times New Roman"/>
          <w:sz w:val="24"/>
          <w:szCs w:val="24"/>
        </w:rPr>
        <w:t>, Митническата информационна система, Системата за влизане/излизане, Европейската система за информация за пътуванията и разрешаването им, Европейската система за информация за присъди срещу граждани на трети държави и лица без гражданство и Системата на Агенцията на ЕС за сътрудничество в областта на наказателното правосъдие. Детайлно са описани администраторите на отделните системи на европейско и на национално ниво, правата на физическите лица, както и осъществяването на надзора върху администраторите на лични данни на европейско и национално ниво. Електронната брошура е достъпна на български и английски език. В допълнение текущо се публикуват информационно-разяснителни материали на Европейската комисия (Шенгенска информационна система, гарантиране на свобода, сигурност и правосъдие), както и информационната брошура „Шенген. Вашият портал за свободно движение в Европа“ на Съвета на Европейския съюз. И двете брошури са достъпни и на трите езикови версии на интернет страницата на КЗЛД.</w:t>
      </w:r>
    </w:p>
    <w:p w:rsidR="00D55BC5" w:rsidRPr="007404FA" w:rsidRDefault="00D55BC5"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Отчитайки необходимостта от разяснителна информация относно трансферите на данни извън ЕС, през ноември 2022</w:t>
      </w:r>
      <w:r w:rsidR="00F06583" w:rsidRPr="007404FA">
        <w:rPr>
          <w:rFonts w:ascii="Times New Roman" w:eastAsia="Calibri" w:hAnsi="Times New Roman" w:cs="Times New Roman"/>
          <w:sz w:val="24"/>
          <w:szCs w:val="24"/>
        </w:rPr>
        <w:t> г.</w:t>
      </w:r>
      <w:r w:rsidRPr="007404FA">
        <w:rPr>
          <w:rFonts w:ascii="Times New Roman" w:eastAsia="Calibri" w:hAnsi="Times New Roman" w:cs="Times New Roman"/>
          <w:sz w:val="24"/>
          <w:szCs w:val="24"/>
        </w:rPr>
        <w:t xml:space="preserve"> в раздела </w:t>
      </w:r>
      <w:r w:rsidRPr="007404FA">
        <w:rPr>
          <w:rFonts w:ascii="Times New Roman" w:eastAsia="Times New Roman" w:hAnsi="Times New Roman" w:cs="Times New Roman"/>
          <w:sz w:val="24"/>
          <w:szCs w:val="24"/>
        </w:rPr>
        <w:t xml:space="preserve">„Предаване на данни към трети държави“ </w:t>
      </w:r>
      <w:r w:rsidRPr="007404FA">
        <w:rPr>
          <w:rFonts w:ascii="Times New Roman" w:eastAsia="Calibri" w:hAnsi="Times New Roman" w:cs="Times New Roman"/>
          <w:sz w:val="24"/>
          <w:szCs w:val="24"/>
        </w:rPr>
        <w:t>е публикувана информационна брошура на КЗЛД „Предаване на лични данни извън Европейския съюз</w:t>
      </w:r>
      <w:r w:rsidR="00E435D6">
        <w:rPr>
          <w:rFonts w:ascii="Times New Roman" w:eastAsia="Calibri" w:hAnsi="Times New Roman" w:cs="Times New Roman"/>
          <w:sz w:val="24"/>
          <w:szCs w:val="24"/>
        </w:rPr>
        <w:t>“</w:t>
      </w:r>
      <w:r w:rsidRPr="007404FA">
        <w:rPr>
          <w:rFonts w:ascii="Times New Roman" w:eastAsia="Calibri" w:hAnsi="Times New Roman" w:cs="Times New Roman"/>
          <w:sz w:val="24"/>
          <w:szCs w:val="24"/>
        </w:rPr>
        <w:t>.</w:t>
      </w:r>
      <w:r w:rsidR="0071503A" w:rsidRPr="007404FA">
        <w:rPr>
          <w:rFonts w:ascii="Times New Roman" w:hAnsi="Times New Roman" w:cs="Times New Roman"/>
          <w:sz w:val="24"/>
          <w:szCs w:val="24"/>
        </w:rPr>
        <w:t xml:space="preserve"> Разясненията по отношение на предаването на лични данни към трети държави и международни организации са допълнени с възможностите за предаване на данни съгласно Конвенция 108 на Съвета на Европа. В новия подраздел е предоставена информация относно общите положения, специфичните инструменти, както и Документи във връзка с трансферите на данни по Конвенция 108, приети от Съвета на Европа.</w:t>
      </w:r>
    </w:p>
    <w:p w:rsidR="00D55BC5" w:rsidRPr="007404FA" w:rsidRDefault="00D55BC5" w:rsidP="00DB6B05">
      <w:pPr>
        <w:spacing w:line="360" w:lineRule="auto"/>
        <w:ind w:firstLine="709"/>
        <w:jc w:val="both"/>
        <w:rPr>
          <w:rFonts w:ascii="Times New Roman" w:eastAsia="Times New Roman" w:hAnsi="Times New Roman" w:cs="Times New Roman"/>
          <w:bCs/>
          <w:sz w:val="24"/>
          <w:szCs w:val="24"/>
        </w:rPr>
      </w:pPr>
      <w:r w:rsidRPr="007404FA">
        <w:rPr>
          <w:rFonts w:ascii="Times New Roman" w:eastAsia="Times New Roman" w:hAnsi="Times New Roman" w:cs="Times New Roman"/>
          <w:sz w:val="24"/>
          <w:szCs w:val="24"/>
        </w:rPr>
        <w:lastRenderedPageBreak/>
        <w:t>През 2022</w:t>
      </w:r>
      <w:r w:rsidR="00F06583" w:rsidRPr="007404FA">
        <w:rPr>
          <w:rFonts w:ascii="Times New Roman" w:eastAsia="Times New Roman" w:hAnsi="Times New Roman" w:cs="Times New Roman"/>
          <w:sz w:val="24"/>
          <w:szCs w:val="24"/>
        </w:rPr>
        <w:t> г.</w:t>
      </w:r>
      <w:r w:rsidRPr="007404FA">
        <w:rPr>
          <w:rFonts w:ascii="Times New Roman" w:eastAsia="Times New Roman" w:hAnsi="Times New Roman" w:cs="Times New Roman"/>
          <w:sz w:val="24"/>
          <w:szCs w:val="24"/>
        </w:rPr>
        <w:t xml:space="preserve"> на сайта са създадени два тематично самостоятелни информационни раздела</w:t>
      </w:r>
      <w:r w:rsidR="002B2E4F" w:rsidRPr="007404FA">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sym w:font="Symbol" w:char="F02D"/>
      </w:r>
      <w:r w:rsidRPr="007404FA">
        <w:rPr>
          <w:rFonts w:ascii="Times New Roman" w:eastAsia="Times New Roman" w:hAnsi="Times New Roman" w:cs="Times New Roman"/>
          <w:sz w:val="24"/>
          <w:szCs w:val="24"/>
        </w:rPr>
        <w:t xml:space="preserve"> „Децата и техните лични данни“ и</w:t>
      </w:r>
      <w:r w:rsidR="00157B49">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w:t>
      </w:r>
      <w:r w:rsidRPr="007404FA">
        <w:rPr>
          <w:rFonts w:ascii="Times New Roman" w:eastAsia="Times New Roman" w:hAnsi="Times New Roman" w:cs="Times New Roman"/>
          <w:bCs/>
          <w:sz w:val="24"/>
          <w:szCs w:val="24"/>
        </w:rPr>
        <w:t>Решения на Съда на ЕС“.</w:t>
      </w:r>
    </w:p>
    <w:p w:rsidR="00D55BC5" w:rsidRPr="007404FA" w:rsidRDefault="00D55BC5" w:rsidP="00DB6B05">
      <w:pPr>
        <w:spacing w:line="360" w:lineRule="auto"/>
        <w:ind w:firstLine="709"/>
        <w:jc w:val="both"/>
        <w:rPr>
          <w:rFonts w:ascii="Times New Roman" w:eastAsia="Times New Roman" w:hAnsi="Times New Roman" w:cs="Times New Roman"/>
          <w:bCs/>
          <w:sz w:val="24"/>
          <w:szCs w:val="24"/>
        </w:rPr>
      </w:pPr>
      <w:r w:rsidRPr="007404FA">
        <w:rPr>
          <w:rFonts w:ascii="Times New Roman" w:eastAsia="Times New Roman" w:hAnsi="Times New Roman" w:cs="Times New Roman"/>
          <w:bCs/>
          <w:sz w:val="24"/>
          <w:szCs w:val="24"/>
        </w:rPr>
        <w:t>Защитата на личните данни на децата е един от фокусите на информационно-образователната дейност на КЗЛД, тъй като подрастващите са много уязвима група в съвременното ни общество по отношение на злоупотребите с личната неприкосновеност, особено при общуването в интернет. Децата трябва да могат да осъзнават напълно рисковете, свързани с обработването на личните им данни, евентуалните последици, както и правата си. Грижата за децата като субекти на данни винаги е била приоритет в работа на българския надзорен орган по защита на данните. КЗЛД е както инициатор, така и участник в множество събития и инициативи, посветени на децата.</w:t>
      </w:r>
      <w:r w:rsidR="00157B49">
        <w:rPr>
          <w:rFonts w:ascii="Times New Roman" w:eastAsia="Times New Roman" w:hAnsi="Times New Roman" w:cs="Times New Roman"/>
          <w:bCs/>
          <w:sz w:val="24"/>
          <w:szCs w:val="24"/>
        </w:rPr>
        <w:t xml:space="preserve"> </w:t>
      </w:r>
      <w:r w:rsidRPr="007404FA">
        <w:rPr>
          <w:rFonts w:ascii="Times New Roman" w:eastAsia="Times New Roman" w:hAnsi="Times New Roman" w:cs="Times New Roman"/>
          <w:bCs/>
          <w:sz w:val="24"/>
          <w:szCs w:val="24"/>
        </w:rPr>
        <w:t xml:space="preserve">Информация за тези инициативи, както и самите материали са регулярно публикувани в съответните раздели на институционалния сайт. </w:t>
      </w:r>
      <w:r w:rsidR="00133955">
        <w:rPr>
          <w:rFonts w:ascii="Times New Roman" w:eastAsia="Times New Roman" w:hAnsi="Times New Roman" w:cs="Times New Roman"/>
          <w:bCs/>
          <w:sz w:val="24"/>
          <w:szCs w:val="24"/>
        </w:rPr>
        <w:t>В изпълнение на решение на КЗЛД</w:t>
      </w:r>
      <w:r w:rsidRPr="007404FA">
        <w:rPr>
          <w:rFonts w:ascii="Times New Roman" w:eastAsia="Times New Roman" w:hAnsi="Times New Roman" w:cs="Times New Roman"/>
          <w:bCs/>
          <w:sz w:val="24"/>
          <w:szCs w:val="24"/>
        </w:rPr>
        <w:t xml:space="preserve"> през 2022</w:t>
      </w:r>
      <w:r w:rsidR="00F06583" w:rsidRPr="007404FA">
        <w:rPr>
          <w:rFonts w:ascii="Times New Roman" w:eastAsia="Times New Roman" w:hAnsi="Times New Roman" w:cs="Times New Roman"/>
          <w:bCs/>
          <w:sz w:val="24"/>
          <w:szCs w:val="24"/>
        </w:rPr>
        <w:t> г.</w:t>
      </w:r>
      <w:r w:rsidRPr="007404FA">
        <w:rPr>
          <w:rFonts w:ascii="Times New Roman" w:eastAsia="Times New Roman" w:hAnsi="Times New Roman" w:cs="Times New Roman"/>
          <w:bCs/>
          <w:sz w:val="24"/>
          <w:szCs w:val="24"/>
        </w:rPr>
        <w:t xml:space="preserve"> на сайта е създаден специализиран раздел „Децата и техните лични данни“, в който са събрани и структурирани немалкото изготвени материали и осъществени инициативи за децата</w:t>
      </w:r>
      <w:r w:rsidR="00553661" w:rsidRPr="007404FA">
        <w:rPr>
          <w:rFonts w:ascii="Times New Roman" w:eastAsia="Times New Roman" w:hAnsi="Times New Roman" w:cs="Times New Roman"/>
          <w:bCs/>
          <w:sz w:val="24"/>
          <w:szCs w:val="24"/>
        </w:rPr>
        <w:t xml:space="preserve"> – </w:t>
      </w:r>
      <w:r w:rsidRPr="007404FA">
        <w:rPr>
          <w:rFonts w:ascii="Times New Roman" w:eastAsia="Times New Roman" w:hAnsi="Times New Roman" w:cs="Times New Roman"/>
          <w:bCs/>
          <w:sz w:val="24"/>
          <w:szCs w:val="24"/>
        </w:rPr>
        <w:t>както насочени към самите деца, така и към други потребители, имащи отношение към защитата на личните данни и неприкосновеност на децата, особено в онлайн пространството. Основните елементи на този раздел са „Информационно-разяснителни брошури на КЗЛД“, „Информационно-разяснителни видеоматериали“, „Архив</w:t>
      </w:r>
      <w:r w:rsidR="00E06D6E">
        <w:rPr>
          <w:rFonts w:ascii="Times New Roman" w:eastAsia="Times New Roman" w:hAnsi="Times New Roman" w:cs="Times New Roman"/>
          <w:bCs/>
          <w:sz w:val="24"/>
          <w:szCs w:val="24"/>
        </w:rPr>
        <w:t xml:space="preserve"> – </w:t>
      </w:r>
      <w:r w:rsidR="00133955">
        <w:rPr>
          <w:rFonts w:ascii="Times New Roman" w:eastAsia="Times New Roman" w:hAnsi="Times New Roman" w:cs="Times New Roman"/>
          <w:bCs/>
          <w:sz w:val="24"/>
          <w:szCs w:val="24"/>
        </w:rPr>
        <w:t>конкурси на КЗЛД за деца“, „</w:t>
      </w:r>
      <w:r w:rsidRPr="007404FA">
        <w:rPr>
          <w:rFonts w:ascii="Times New Roman" w:eastAsia="Times New Roman" w:hAnsi="Times New Roman" w:cs="Times New Roman"/>
          <w:bCs/>
          <w:sz w:val="24"/>
          <w:szCs w:val="24"/>
        </w:rPr>
        <w:t>Национален център за безопасен интернет“ и „Раздел за защита на децата онлайн на сайта на Международния съюз по далекосъобщения“.</w:t>
      </w:r>
    </w:p>
    <w:p w:rsidR="00820A66" w:rsidRPr="007404FA" w:rsidRDefault="002F6C3D" w:rsidP="00DB6B05">
      <w:pPr>
        <w:spacing w:line="360" w:lineRule="auto"/>
        <w:ind w:firstLine="709"/>
        <w:jc w:val="both"/>
        <w:rPr>
          <w:rFonts w:ascii="Times New Roman" w:eastAsia="Calibri" w:hAnsi="Times New Roman" w:cs="Times New Roman"/>
          <w:sz w:val="24"/>
          <w:szCs w:val="24"/>
        </w:rPr>
      </w:pPr>
      <w:r w:rsidRPr="007404FA">
        <w:rPr>
          <w:rFonts w:ascii="Times New Roman" w:hAnsi="Times New Roman" w:cs="Times New Roman"/>
          <w:sz w:val="24"/>
          <w:szCs w:val="24"/>
        </w:rPr>
        <w:t>В изпълнение на задълженията на КЗЛД за информиране и предоставяне на разяснения относно прилагането на законодателството за защита на личните данни е създаден изключително полезен нов раздел на институциона</w:t>
      </w:r>
      <w:r w:rsidR="008A747B" w:rsidRPr="007404FA">
        <w:rPr>
          <w:rFonts w:ascii="Times New Roman" w:hAnsi="Times New Roman" w:cs="Times New Roman"/>
          <w:sz w:val="24"/>
          <w:szCs w:val="24"/>
        </w:rPr>
        <w:t>лната интернет страница на КЗЛД (</w:t>
      </w:r>
      <w:r w:rsidR="008A747B" w:rsidRPr="007404FA">
        <w:rPr>
          <w:rFonts w:ascii="Times New Roman" w:eastAsia="Times New Roman" w:hAnsi="Times New Roman" w:cs="Times New Roman"/>
          <w:sz w:val="24"/>
          <w:szCs w:val="24"/>
        </w:rPr>
        <w:t>„</w:t>
      </w:r>
      <w:r w:rsidR="008A747B" w:rsidRPr="007404FA">
        <w:rPr>
          <w:rFonts w:ascii="Times New Roman" w:eastAsia="Times New Roman" w:hAnsi="Times New Roman" w:cs="Times New Roman"/>
          <w:bCs/>
          <w:sz w:val="24"/>
          <w:szCs w:val="24"/>
        </w:rPr>
        <w:t xml:space="preserve">Решения на Съда на ЕС“), </w:t>
      </w:r>
      <w:r w:rsidRPr="007404FA">
        <w:rPr>
          <w:rFonts w:ascii="Times New Roman" w:hAnsi="Times New Roman" w:cs="Times New Roman"/>
          <w:sz w:val="24"/>
          <w:szCs w:val="24"/>
        </w:rPr>
        <w:t>посветена на решенията на СЕС, имащи отношение към прилагане на правилата за защита на личните данни</w:t>
      </w:r>
      <w:r w:rsidR="00D55BC5" w:rsidRPr="007404FA">
        <w:rPr>
          <w:rFonts w:ascii="Times New Roman" w:eastAsia="Times New Roman" w:hAnsi="Times New Roman" w:cs="Times New Roman"/>
          <w:bCs/>
          <w:sz w:val="24"/>
          <w:szCs w:val="24"/>
        </w:rPr>
        <w:t>.</w:t>
      </w:r>
      <w:r w:rsidR="00D55BC5" w:rsidRPr="007404FA">
        <w:rPr>
          <w:rFonts w:ascii="Times New Roman" w:eastAsia="Times New Roman" w:hAnsi="Times New Roman" w:cs="Times New Roman"/>
          <w:b/>
          <w:bCs/>
          <w:sz w:val="24"/>
          <w:szCs w:val="24"/>
        </w:rPr>
        <w:t xml:space="preserve"> </w:t>
      </w:r>
      <w:r w:rsidR="00D55BC5" w:rsidRPr="007404FA">
        <w:rPr>
          <w:rFonts w:ascii="Times New Roman" w:eastAsia="Times New Roman" w:hAnsi="Times New Roman" w:cs="Times New Roman"/>
          <w:bCs/>
          <w:sz w:val="24"/>
          <w:szCs w:val="24"/>
        </w:rPr>
        <w:t>Той</w:t>
      </w:r>
      <w:r w:rsidR="00D55BC5" w:rsidRPr="007404FA">
        <w:rPr>
          <w:rFonts w:ascii="Times New Roman" w:eastAsia="Times New Roman" w:hAnsi="Times New Roman" w:cs="Times New Roman"/>
          <w:b/>
          <w:bCs/>
          <w:sz w:val="24"/>
          <w:szCs w:val="24"/>
        </w:rPr>
        <w:t xml:space="preserve"> </w:t>
      </w:r>
      <w:r w:rsidR="00D55BC5" w:rsidRPr="007404FA">
        <w:rPr>
          <w:rFonts w:ascii="Times New Roman" w:eastAsia="Calibri" w:hAnsi="Times New Roman" w:cs="Times New Roman"/>
          <w:sz w:val="24"/>
          <w:szCs w:val="24"/>
        </w:rPr>
        <w:t xml:space="preserve">съдържа отпратки към информационната система на </w:t>
      </w:r>
      <w:r w:rsidR="005403B0" w:rsidRPr="007404FA">
        <w:rPr>
          <w:rFonts w:ascii="Times New Roman" w:eastAsia="Calibri" w:hAnsi="Times New Roman" w:cs="Times New Roman"/>
          <w:sz w:val="24"/>
          <w:szCs w:val="24"/>
        </w:rPr>
        <w:t xml:space="preserve">СЕС </w:t>
      </w:r>
      <w:r w:rsidR="00D55BC5" w:rsidRPr="007404FA">
        <w:rPr>
          <w:rFonts w:ascii="Times New Roman" w:eastAsia="Calibri" w:hAnsi="Times New Roman" w:cs="Times New Roman"/>
          <w:sz w:val="24"/>
          <w:szCs w:val="24"/>
        </w:rPr>
        <w:t xml:space="preserve">по делата, свързани със защитата на неприкосновеността на личния живот и личните данни. </w:t>
      </w:r>
      <w:r w:rsidR="00953D15" w:rsidRPr="007404FA">
        <w:rPr>
          <w:rFonts w:ascii="Times New Roman" w:hAnsi="Times New Roman" w:cs="Times New Roman"/>
          <w:sz w:val="24"/>
          <w:szCs w:val="24"/>
        </w:rPr>
        <w:t>По азбучен ред (започващ от решения, свързани със запитвания от Република България) са представени постъпилите преюдициални запитвания и решения на СЕС. За удобство на потребителите на интернет страницата делата са разделени в две категории</w:t>
      </w:r>
      <w:r w:rsidR="00553661" w:rsidRPr="007404FA">
        <w:rPr>
          <w:rFonts w:ascii="Times New Roman" w:hAnsi="Times New Roman" w:cs="Times New Roman"/>
          <w:sz w:val="24"/>
          <w:szCs w:val="24"/>
        </w:rPr>
        <w:t xml:space="preserve"> – </w:t>
      </w:r>
      <w:r w:rsidR="00953D15" w:rsidRPr="007404FA">
        <w:rPr>
          <w:rFonts w:ascii="Times New Roman" w:hAnsi="Times New Roman" w:cs="Times New Roman"/>
          <w:sz w:val="24"/>
          <w:szCs w:val="24"/>
        </w:rPr>
        <w:t>приключили и висящи. Създадена е организация за своевременно а</w:t>
      </w:r>
      <w:r w:rsidR="00D55BC5" w:rsidRPr="007404FA">
        <w:rPr>
          <w:rFonts w:ascii="Times New Roman" w:eastAsia="Calibri" w:hAnsi="Times New Roman" w:cs="Times New Roman"/>
          <w:sz w:val="24"/>
          <w:szCs w:val="24"/>
        </w:rPr>
        <w:t>ктуализ</w:t>
      </w:r>
      <w:r w:rsidR="00953D15" w:rsidRPr="007404FA">
        <w:rPr>
          <w:rFonts w:ascii="Times New Roman" w:eastAsia="Calibri" w:hAnsi="Times New Roman" w:cs="Times New Roman"/>
          <w:sz w:val="24"/>
          <w:szCs w:val="24"/>
        </w:rPr>
        <w:t xml:space="preserve">иране на информацията. </w:t>
      </w:r>
    </w:p>
    <w:p w:rsidR="00DF75D0" w:rsidRPr="007404FA" w:rsidRDefault="00DF75D0" w:rsidP="00DB6B05">
      <w:pPr>
        <w:spacing w:line="360" w:lineRule="auto"/>
        <w:ind w:firstLine="709"/>
        <w:jc w:val="both"/>
        <w:rPr>
          <w:rFonts w:ascii="Times New Roman" w:hAnsi="Times New Roman"/>
          <w:sz w:val="24"/>
          <w:szCs w:val="24"/>
        </w:rPr>
      </w:pPr>
      <w:r w:rsidRPr="007404FA">
        <w:rPr>
          <w:rFonts w:ascii="Times New Roman" w:hAnsi="Times New Roman"/>
          <w:sz w:val="24"/>
          <w:szCs w:val="24"/>
        </w:rPr>
        <w:t>Във връзка с ангажиментите по популяризиране на кандидатурата за членство на Република България в Организацията за икономическо сътрудничество и развитие през 2022</w:t>
      </w:r>
      <w:r w:rsidR="00F06583" w:rsidRPr="007404FA">
        <w:rPr>
          <w:rFonts w:ascii="Times New Roman" w:hAnsi="Times New Roman"/>
          <w:sz w:val="24"/>
          <w:szCs w:val="24"/>
        </w:rPr>
        <w:t> г.</w:t>
      </w:r>
      <w:r w:rsidRPr="007404FA">
        <w:rPr>
          <w:rFonts w:ascii="Times New Roman" w:hAnsi="Times New Roman"/>
          <w:sz w:val="24"/>
          <w:szCs w:val="24"/>
        </w:rPr>
        <w:t xml:space="preserve"> е създадена нарочна подсекция „Организация за икономическо сътрудничество и развитие“ в секция „Международно сътрудничество“. В него накратко се представя</w:t>
      </w:r>
      <w:r w:rsidR="00133955">
        <w:rPr>
          <w:rFonts w:ascii="Times New Roman" w:hAnsi="Times New Roman"/>
          <w:sz w:val="24"/>
          <w:szCs w:val="24"/>
        </w:rPr>
        <w:t>т</w:t>
      </w:r>
      <w:r w:rsidRPr="007404FA">
        <w:rPr>
          <w:rFonts w:ascii="Times New Roman" w:hAnsi="Times New Roman"/>
          <w:sz w:val="24"/>
          <w:szCs w:val="24"/>
        </w:rPr>
        <w:t xml:space="preserve"> </w:t>
      </w:r>
      <w:r w:rsidRPr="007404FA">
        <w:rPr>
          <w:rFonts w:ascii="Times New Roman" w:hAnsi="Times New Roman"/>
          <w:sz w:val="24"/>
          <w:szCs w:val="24"/>
        </w:rPr>
        <w:lastRenderedPageBreak/>
        <w:t>международната организация, нейните цели и задачи, решенията, които тя вз</w:t>
      </w:r>
      <w:r w:rsidR="00133955">
        <w:rPr>
          <w:rFonts w:ascii="Times New Roman" w:hAnsi="Times New Roman"/>
          <w:sz w:val="24"/>
          <w:szCs w:val="24"/>
        </w:rPr>
        <w:t>е</w:t>
      </w:r>
      <w:r w:rsidRPr="007404FA">
        <w:rPr>
          <w:rFonts w:ascii="Times New Roman" w:hAnsi="Times New Roman"/>
          <w:sz w:val="24"/>
          <w:szCs w:val="24"/>
        </w:rPr>
        <w:t>ма, както и задълженията, които произтичат за КЗЛД в процеса по присъединяване на Република България към ОИСР.</w:t>
      </w:r>
    </w:p>
    <w:p w:rsidR="00D55BC5" w:rsidRPr="007404FA" w:rsidRDefault="00D55BC5"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И през 2022</w:t>
      </w:r>
      <w:r w:rsidR="00F06583" w:rsidRPr="007404FA">
        <w:rPr>
          <w:rFonts w:ascii="Times New Roman" w:eastAsia="Calibri" w:hAnsi="Times New Roman" w:cs="Times New Roman"/>
          <w:sz w:val="24"/>
          <w:szCs w:val="24"/>
        </w:rPr>
        <w:t> г.</w:t>
      </w:r>
      <w:r w:rsidRPr="007404FA">
        <w:rPr>
          <w:rFonts w:ascii="Times New Roman" w:eastAsia="Calibri" w:hAnsi="Times New Roman" w:cs="Times New Roman"/>
          <w:sz w:val="24"/>
          <w:szCs w:val="24"/>
        </w:rPr>
        <w:t xml:space="preserve"> на сайта се поддържа разделът „Новини“, като в него се предоставя актуална информация за събития и инициативи на национално и наднационално ниво. Публикуват се информация и съответни препратки към приети решения, становища, насоки, документи с информационно-разяснителен характер на КЗЛД и на други органи и институции (</w:t>
      </w:r>
      <w:r w:rsidR="005403B0" w:rsidRPr="007404FA">
        <w:rPr>
          <w:rFonts w:ascii="Times New Roman" w:eastAsia="Calibri" w:hAnsi="Times New Roman" w:cs="Times New Roman"/>
          <w:sz w:val="24"/>
          <w:szCs w:val="24"/>
        </w:rPr>
        <w:t>ЕКЗД</w:t>
      </w:r>
      <w:r w:rsidRPr="007404FA">
        <w:rPr>
          <w:rFonts w:ascii="Times New Roman" w:eastAsia="Calibri" w:hAnsi="Times New Roman" w:cs="Times New Roman"/>
          <w:sz w:val="24"/>
          <w:szCs w:val="24"/>
        </w:rPr>
        <w:t xml:space="preserve">, Европейската комисия, Съда на ЕС и др.). </w:t>
      </w:r>
    </w:p>
    <w:p w:rsidR="00D55BC5" w:rsidRPr="007404FA" w:rsidRDefault="00D55BC5"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 xml:space="preserve">През </w:t>
      </w:r>
      <w:r w:rsidR="00230F31" w:rsidRPr="007404FA">
        <w:rPr>
          <w:rFonts w:ascii="Times New Roman" w:eastAsia="Calibri" w:hAnsi="Times New Roman" w:cs="Times New Roman"/>
          <w:sz w:val="24"/>
          <w:szCs w:val="24"/>
        </w:rPr>
        <w:t>отчетната година</w:t>
      </w:r>
      <w:r w:rsidRPr="007404FA">
        <w:rPr>
          <w:rFonts w:ascii="Times New Roman" w:eastAsia="Calibri" w:hAnsi="Times New Roman" w:cs="Times New Roman"/>
          <w:sz w:val="24"/>
          <w:szCs w:val="24"/>
        </w:rPr>
        <w:t xml:space="preserve"> продължава изпълнението на стратегическата цел за усъвършенстване на процеса за откритост и прозрачност, във връзка с което в раздел „Практика“ се отразява практиката на КЗЛД с акцент върху публикуването на становища от обществен интерес и псевдонимизирани решения по жалби.</w:t>
      </w:r>
      <w:r w:rsidR="00157B49">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 xml:space="preserve">Тъй като целта на публикуването е отразяване </w:t>
      </w:r>
      <w:r w:rsidR="00230F31" w:rsidRPr="007404FA">
        <w:rPr>
          <w:rFonts w:ascii="Times New Roman" w:eastAsia="Calibri" w:hAnsi="Times New Roman" w:cs="Times New Roman"/>
          <w:sz w:val="24"/>
          <w:szCs w:val="24"/>
        </w:rPr>
        <w:t>практиката</w:t>
      </w:r>
      <w:r w:rsidRPr="007404FA">
        <w:rPr>
          <w:rFonts w:ascii="Times New Roman" w:eastAsia="Calibri" w:hAnsi="Times New Roman" w:cs="Times New Roman"/>
          <w:sz w:val="24"/>
          <w:szCs w:val="24"/>
        </w:rPr>
        <w:t xml:space="preserve"> на Комисията по различни казуси, не се публикуват всички решения, а само някои</w:t>
      </w:r>
      <w:r w:rsidR="00230F31" w:rsidRPr="007404FA">
        <w:rPr>
          <w:rFonts w:ascii="Times New Roman" w:eastAsia="Calibri" w:hAnsi="Times New Roman" w:cs="Times New Roman"/>
          <w:sz w:val="24"/>
          <w:szCs w:val="24"/>
        </w:rPr>
        <w:t xml:space="preserve"> от тях</w:t>
      </w:r>
      <w:r w:rsidRPr="007404FA">
        <w:rPr>
          <w:rFonts w:ascii="Times New Roman" w:eastAsia="Calibri" w:hAnsi="Times New Roman" w:cs="Times New Roman"/>
          <w:sz w:val="24"/>
          <w:szCs w:val="24"/>
        </w:rPr>
        <w:t>. Публикуват се и решения от съдебната практика на КЗЛД</w:t>
      </w:r>
      <w:r w:rsidR="00553661" w:rsidRPr="007404FA">
        <w:rPr>
          <w:rFonts w:ascii="Times New Roman" w:eastAsia="Calibri" w:hAnsi="Times New Roman" w:cs="Times New Roman"/>
          <w:sz w:val="24"/>
          <w:szCs w:val="24"/>
        </w:rPr>
        <w:t xml:space="preserve"> – </w:t>
      </w:r>
      <w:r w:rsidRPr="007404FA">
        <w:rPr>
          <w:rFonts w:ascii="Times New Roman" w:eastAsia="Calibri" w:hAnsi="Times New Roman" w:cs="Times New Roman"/>
          <w:sz w:val="24"/>
          <w:szCs w:val="24"/>
        </w:rPr>
        <w:t>решения на ВАС и административни съдилища.</w:t>
      </w:r>
    </w:p>
    <w:p w:rsidR="00D55BC5" w:rsidRPr="007404FA" w:rsidRDefault="00D55BC5"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През 2022</w:t>
      </w:r>
      <w:r w:rsidR="00F06583" w:rsidRPr="007404FA">
        <w:rPr>
          <w:rFonts w:ascii="Times New Roman" w:eastAsia="Calibri" w:hAnsi="Times New Roman" w:cs="Times New Roman"/>
          <w:sz w:val="24"/>
          <w:szCs w:val="24"/>
        </w:rPr>
        <w:t> г.</w:t>
      </w:r>
      <w:r w:rsidRPr="007404FA">
        <w:rPr>
          <w:rFonts w:ascii="Times New Roman" w:eastAsia="Calibri" w:hAnsi="Times New Roman" w:cs="Times New Roman"/>
          <w:sz w:val="24"/>
          <w:szCs w:val="24"/>
        </w:rPr>
        <w:t xml:space="preserve"> продължава осигуряването на прозрачност относно функционирането на институцията чрез регулярно и своевременно публикуване на сайта на информация, подлежаща на публикуване в съответствие със законови изисквания</w:t>
      </w:r>
      <w:r w:rsidR="00E06D6E">
        <w:rPr>
          <w:rFonts w:ascii="Times New Roman" w:eastAsia="Calibri" w:hAnsi="Times New Roman" w:cs="Times New Roman"/>
          <w:sz w:val="24"/>
          <w:szCs w:val="24"/>
        </w:rPr>
        <w:t xml:space="preserve"> – </w:t>
      </w:r>
      <w:r w:rsidRPr="007404FA">
        <w:rPr>
          <w:rFonts w:ascii="Times New Roman" w:eastAsia="Calibri" w:hAnsi="Times New Roman" w:cs="Times New Roman"/>
          <w:sz w:val="24"/>
          <w:szCs w:val="24"/>
        </w:rPr>
        <w:t xml:space="preserve">финансова информация, информация за предоставянето на административни услуги, за осигуряване на достъп по обществена информация и т.н. Публикуват се и се поддържат актуални 2 регистъра и 1 списък по ЗПКОНПИ. </w:t>
      </w:r>
    </w:p>
    <w:p w:rsidR="00D55BC5" w:rsidRPr="007404FA" w:rsidRDefault="003969D6" w:rsidP="00DB6B05">
      <w:pPr>
        <w:tabs>
          <w:tab w:val="left" w:pos="993"/>
        </w:tabs>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институционалния сайт</w:t>
      </w:r>
      <w:r w:rsidR="00D55BC5" w:rsidRPr="007404FA">
        <w:rPr>
          <w:rFonts w:ascii="Times New Roman" w:eastAsia="Calibri" w:hAnsi="Times New Roman" w:cs="Times New Roman"/>
          <w:sz w:val="24"/>
          <w:szCs w:val="24"/>
        </w:rPr>
        <w:t xml:space="preserve"> в раздела „Институцията“ е публикувана и издадената през 2022</w:t>
      </w:r>
      <w:r w:rsidR="00F06583" w:rsidRPr="007404FA">
        <w:rPr>
          <w:rFonts w:ascii="Times New Roman" w:eastAsia="Calibri" w:hAnsi="Times New Roman" w:cs="Times New Roman"/>
          <w:sz w:val="24"/>
          <w:szCs w:val="24"/>
        </w:rPr>
        <w:t> г.</w:t>
      </w:r>
      <w:r w:rsidR="00D55BC5" w:rsidRPr="007404FA">
        <w:rPr>
          <w:rFonts w:ascii="Times New Roman" w:eastAsia="Calibri" w:hAnsi="Times New Roman" w:cs="Times New Roman"/>
          <w:sz w:val="24"/>
          <w:szCs w:val="24"/>
        </w:rPr>
        <w:t xml:space="preserve"> юбилейна книга „20 години Комисия за защита на личните данни“. Книгата съдържа 440 страници, разделена е на 3 основни части, като първата</w:t>
      </w:r>
      <w:r w:rsidR="00157B49">
        <w:rPr>
          <w:rFonts w:ascii="Times New Roman" w:eastAsia="Calibri" w:hAnsi="Times New Roman" w:cs="Times New Roman"/>
          <w:sz w:val="24"/>
          <w:szCs w:val="24"/>
        </w:rPr>
        <w:t xml:space="preserve"> </w:t>
      </w:r>
      <w:r w:rsidR="00D55BC5" w:rsidRPr="007404FA">
        <w:rPr>
          <w:rFonts w:ascii="Times New Roman" w:eastAsia="Calibri" w:hAnsi="Times New Roman" w:cs="Times New Roman"/>
          <w:sz w:val="24"/>
          <w:szCs w:val="24"/>
        </w:rPr>
        <w:t>част</w:t>
      </w:r>
      <w:r w:rsidR="002B2E4F" w:rsidRPr="007404FA">
        <w:rPr>
          <w:rFonts w:ascii="Times New Roman" w:eastAsia="Calibri" w:hAnsi="Times New Roman" w:cs="Times New Roman"/>
          <w:sz w:val="24"/>
          <w:szCs w:val="24"/>
        </w:rPr>
        <w:t xml:space="preserve"> </w:t>
      </w:r>
      <w:r w:rsidR="00D55BC5" w:rsidRPr="007404FA">
        <w:rPr>
          <w:rFonts w:ascii="Times New Roman" w:eastAsia="Calibri" w:hAnsi="Times New Roman" w:cs="Times New Roman"/>
          <w:sz w:val="24"/>
          <w:szCs w:val="24"/>
        </w:rPr>
        <w:sym w:font="Symbol" w:char="F02D"/>
      </w:r>
      <w:r w:rsidR="00D55BC5" w:rsidRPr="007404FA">
        <w:rPr>
          <w:rFonts w:ascii="Times New Roman" w:eastAsia="Calibri" w:hAnsi="Times New Roman" w:cs="Times New Roman"/>
          <w:sz w:val="24"/>
          <w:szCs w:val="24"/>
        </w:rPr>
        <w:t xml:space="preserve"> „Институционално развитие и надзорна дейност на КЗЛД. Правото на защита на личните данни (2002</w:t>
      </w:r>
      <w:r>
        <w:rPr>
          <w:rFonts w:ascii="Times New Roman" w:eastAsia="Calibri" w:hAnsi="Times New Roman" w:cs="Times New Roman"/>
          <w:sz w:val="24"/>
          <w:szCs w:val="24"/>
        </w:rPr>
        <w:t xml:space="preserve"> </w:t>
      </w:r>
      <w:r w:rsidR="00D55BC5" w:rsidRPr="007404F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D55BC5" w:rsidRPr="007404FA">
        <w:rPr>
          <w:rFonts w:ascii="Times New Roman" w:eastAsia="Calibri" w:hAnsi="Times New Roman" w:cs="Times New Roman"/>
          <w:sz w:val="24"/>
          <w:szCs w:val="24"/>
        </w:rPr>
        <w:t>2022</w:t>
      </w:r>
      <w:r w:rsidR="00F06583" w:rsidRPr="007404FA">
        <w:rPr>
          <w:rFonts w:ascii="Times New Roman" w:eastAsia="Calibri" w:hAnsi="Times New Roman" w:cs="Times New Roman"/>
          <w:sz w:val="24"/>
          <w:szCs w:val="24"/>
        </w:rPr>
        <w:t> г.</w:t>
      </w:r>
      <w:r w:rsidR="00D55BC5" w:rsidRPr="007404FA">
        <w:rPr>
          <w:rFonts w:ascii="Times New Roman" w:eastAsia="Calibri" w:hAnsi="Times New Roman" w:cs="Times New Roman"/>
          <w:sz w:val="24"/>
          <w:szCs w:val="24"/>
        </w:rPr>
        <w:t>)</w:t>
      </w:r>
      <w:r>
        <w:rPr>
          <w:rFonts w:ascii="Times New Roman" w:eastAsia="Calibri" w:hAnsi="Times New Roman" w:cs="Times New Roman"/>
          <w:sz w:val="24"/>
          <w:szCs w:val="24"/>
        </w:rPr>
        <w:t>,</w:t>
      </w:r>
      <w:r w:rsidR="00D55BC5" w:rsidRPr="007404FA">
        <w:rPr>
          <w:rFonts w:ascii="Times New Roman" w:eastAsia="Calibri" w:hAnsi="Times New Roman" w:cs="Times New Roman"/>
          <w:sz w:val="24"/>
          <w:szCs w:val="24"/>
        </w:rPr>
        <w:t xml:space="preserve"> е 57 страници, втора част</w:t>
      </w:r>
      <w:r w:rsidR="002B2E4F" w:rsidRPr="007404FA">
        <w:rPr>
          <w:rFonts w:ascii="Times New Roman" w:eastAsia="Calibri" w:hAnsi="Times New Roman" w:cs="Times New Roman"/>
          <w:sz w:val="24"/>
          <w:szCs w:val="24"/>
        </w:rPr>
        <w:t xml:space="preserve"> </w:t>
      </w:r>
      <w:r w:rsidR="00D55BC5" w:rsidRPr="007404FA">
        <w:rPr>
          <w:rFonts w:ascii="Times New Roman" w:eastAsia="Calibri" w:hAnsi="Times New Roman" w:cs="Times New Roman"/>
          <w:sz w:val="24"/>
          <w:szCs w:val="24"/>
        </w:rPr>
        <w:sym w:font="Symbol" w:char="F02D"/>
      </w:r>
      <w:r w:rsidR="00D55BC5" w:rsidRPr="007404FA">
        <w:rPr>
          <w:rFonts w:ascii="Times New Roman" w:eastAsia="Calibri" w:hAnsi="Times New Roman" w:cs="Times New Roman"/>
          <w:sz w:val="24"/>
          <w:szCs w:val="24"/>
        </w:rPr>
        <w:t xml:space="preserve"> „Административна и съдебна практика в Република България“</w:t>
      </w:r>
      <w:r>
        <w:rPr>
          <w:rFonts w:ascii="Times New Roman" w:eastAsia="Calibri" w:hAnsi="Times New Roman" w:cs="Times New Roman"/>
          <w:sz w:val="24"/>
          <w:szCs w:val="24"/>
        </w:rPr>
        <w:t>,</w:t>
      </w:r>
      <w:r w:rsidR="00D55BC5" w:rsidRPr="007404FA">
        <w:rPr>
          <w:rFonts w:ascii="Times New Roman" w:eastAsia="Calibri" w:hAnsi="Times New Roman" w:cs="Times New Roman"/>
          <w:sz w:val="24"/>
          <w:szCs w:val="24"/>
        </w:rPr>
        <w:t xml:space="preserve"> е 440 страници, а третата част, представяща трите състава на КЗЛД от 2002</w:t>
      </w:r>
      <w:r w:rsidR="00F06583" w:rsidRPr="007404FA">
        <w:rPr>
          <w:rFonts w:ascii="Times New Roman" w:eastAsia="Calibri" w:hAnsi="Times New Roman" w:cs="Times New Roman"/>
          <w:sz w:val="24"/>
          <w:szCs w:val="24"/>
        </w:rPr>
        <w:t> г.</w:t>
      </w:r>
      <w:r w:rsidR="00D55BC5" w:rsidRPr="007404FA">
        <w:rPr>
          <w:rFonts w:ascii="Times New Roman" w:eastAsia="Calibri" w:hAnsi="Times New Roman" w:cs="Times New Roman"/>
          <w:sz w:val="24"/>
          <w:szCs w:val="24"/>
        </w:rPr>
        <w:t xml:space="preserve"> до 2022</w:t>
      </w:r>
      <w:r w:rsidR="00F06583" w:rsidRPr="007404FA">
        <w:rPr>
          <w:rFonts w:ascii="Times New Roman" w:eastAsia="Calibri" w:hAnsi="Times New Roman" w:cs="Times New Roman"/>
          <w:sz w:val="24"/>
          <w:szCs w:val="24"/>
        </w:rPr>
        <w:t> г.</w:t>
      </w:r>
      <w:r>
        <w:rPr>
          <w:rFonts w:ascii="Times New Roman" w:eastAsia="Calibri" w:hAnsi="Times New Roman" w:cs="Times New Roman"/>
          <w:sz w:val="24"/>
          <w:szCs w:val="24"/>
        </w:rPr>
        <w:t>,</w:t>
      </w:r>
      <w:r w:rsidR="00D55BC5" w:rsidRPr="007404FA">
        <w:rPr>
          <w:rFonts w:ascii="Times New Roman" w:eastAsia="Calibri" w:hAnsi="Times New Roman" w:cs="Times New Roman"/>
          <w:sz w:val="24"/>
          <w:szCs w:val="24"/>
        </w:rPr>
        <w:t xml:space="preserve"> е 16 страници. Приложени са снимки от важни събития, както и на грамоти и награди за КЗЛД.</w:t>
      </w:r>
    </w:p>
    <w:p w:rsidR="00B9004C" w:rsidRPr="007404FA" w:rsidRDefault="00B9004C" w:rsidP="00DB6B05">
      <w:pPr>
        <w:tabs>
          <w:tab w:val="left" w:pos="993"/>
        </w:tabs>
        <w:spacing w:line="360" w:lineRule="auto"/>
        <w:ind w:firstLine="709"/>
        <w:jc w:val="both"/>
        <w:rPr>
          <w:rFonts w:ascii="Times New Roman" w:eastAsia="Calibri" w:hAnsi="Times New Roman" w:cs="Times New Roman"/>
          <w:sz w:val="24"/>
          <w:szCs w:val="24"/>
        </w:rPr>
      </w:pPr>
    </w:p>
    <w:p w:rsidR="00B9004C" w:rsidRPr="007404FA" w:rsidRDefault="00B9004C" w:rsidP="00DB6B05">
      <w:pPr>
        <w:tabs>
          <w:tab w:val="left" w:pos="993"/>
        </w:tabs>
        <w:spacing w:line="360" w:lineRule="auto"/>
        <w:ind w:firstLine="709"/>
        <w:jc w:val="both"/>
        <w:rPr>
          <w:rFonts w:ascii="Times New Roman" w:eastAsia="Calibri" w:hAnsi="Times New Roman" w:cs="Times New Roman"/>
          <w:b/>
          <w:sz w:val="24"/>
          <w:szCs w:val="24"/>
        </w:rPr>
      </w:pPr>
      <w:r w:rsidRPr="007404FA">
        <w:rPr>
          <w:rFonts w:ascii="Times New Roman" w:eastAsia="Calibri" w:hAnsi="Times New Roman" w:cs="Times New Roman"/>
          <w:b/>
          <w:sz w:val="24"/>
          <w:szCs w:val="24"/>
        </w:rPr>
        <w:t>3.2. Информационен бюлетин</w:t>
      </w:r>
      <w:r w:rsidR="003969D6">
        <w:rPr>
          <w:rFonts w:ascii="Times New Roman" w:eastAsia="Calibri" w:hAnsi="Times New Roman" w:cs="Times New Roman"/>
          <w:b/>
          <w:sz w:val="24"/>
          <w:szCs w:val="24"/>
        </w:rPr>
        <w:t>.</w:t>
      </w:r>
    </w:p>
    <w:p w:rsidR="00D55BC5" w:rsidRPr="007404FA" w:rsidRDefault="00D55BC5" w:rsidP="00DB6B05">
      <w:pPr>
        <w:widowControl w:val="0"/>
        <w:spacing w:line="360" w:lineRule="auto"/>
        <w:ind w:firstLine="709"/>
        <w:contextualSpacing/>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Информационният бюлетин на КЗЛД е друго основно средство за постигане на обществена информираност, който има собствен ISSN 2367-7759. През 2022</w:t>
      </w:r>
      <w:r w:rsidR="00F06583" w:rsidRPr="007404FA">
        <w:rPr>
          <w:rFonts w:ascii="Times New Roman" w:eastAsia="Times New Roman" w:hAnsi="Times New Roman" w:cs="Times New Roman"/>
          <w:sz w:val="24"/>
          <w:szCs w:val="24"/>
        </w:rPr>
        <w:t> г.</w:t>
      </w:r>
      <w:r w:rsidRPr="007404FA">
        <w:rPr>
          <w:rFonts w:ascii="Times New Roman" w:eastAsia="Times New Roman" w:hAnsi="Times New Roman" w:cs="Times New Roman"/>
          <w:sz w:val="24"/>
          <w:szCs w:val="24"/>
        </w:rPr>
        <w:t xml:space="preserve"> са издадени шест бюлетина. Бюлетинът се издава в електронен вид на всеки 2 месеца и се публикува на институционалния сайт, с което е достъпен за всеки посетител на сайта. Едновременно с </w:t>
      </w:r>
      <w:r w:rsidRPr="007404FA">
        <w:rPr>
          <w:rFonts w:ascii="Times New Roman" w:eastAsia="Times New Roman" w:hAnsi="Times New Roman" w:cs="Times New Roman"/>
          <w:sz w:val="24"/>
          <w:szCs w:val="24"/>
        </w:rPr>
        <w:lastRenderedPageBreak/>
        <w:t>това има възможност за абониране, в резултат на което абонатите получават известие, че поредният брой вече е публикуван, както и съответен линк. По инициатива на КЗЛД в списъка на получателите на бюлетина са включени длъжностни лица по защита на данните, както и съсловни и браншови органи и организации. Предоставена е и възможност за отписване както на абонатите, така и на тези получатели, включени в списъка по инициатива на КЗЛД. Към края на 2022</w:t>
      </w:r>
      <w:r w:rsidR="00F06583" w:rsidRPr="007404FA">
        <w:rPr>
          <w:rFonts w:ascii="Times New Roman" w:eastAsia="Times New Roman" w:hAnsi="Times New Roman" w:cs="Times New Roman"/>
          <w:sz w:val="24"/>
          <w:szCs w:val="24"/>
        </w:rPr>
        <w:t> г.</w:t>
      </w:r>
      <w:r w:rsidRPr="007404FA">
        <w:rPr>
          <w:rFonts w:ascii="Times New Roman" w:eastAsia="Times New Roman" w:hAnsi="Times New Roman" w:cs="Times New Roman"/>
          <w:sz w:val="24"/>
          <w:szCs w:val="24"/>
        </w:rPr>
        <w:t xml:space="preserve"> общият брой на получателите на бюлетина е 4000 души, от които 1100 са абонати и 2900</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длъжностни лица по защита на данните, съсловни и браншови органи и организации</w:t>
      </w:r>
      <w:r w:rsidR="00DE4C8A">
        <w:rPr>
          <w:rFonts w:ascii="Times New Roman" w:eastAsia="Times New Roman" w:hAnsi="Times New Roman" w:cs="Times New Roman"/>
          <w:sz w:val="24"/>
          <w:szCs w:val="24"/>
        </w:rPr>
        <w:t>.</w:t>
      </w:r>
    </w:p>
    <w:p w:rsidR="00D55BC5" w:rsidRPr="007404FA" w:rsidRDefault="00D55BC5" w:rsidP="00DB6B05">
      <w:pPr>
        <w:spacing w:line="360" w:lineRule="auto"/>
        <w:ind w:firstLine="709"/>
        <w:contextualSpacing/>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В бюлетина се предоставят материали, отразяващи дейността и инициативите на</w:t>
      </w:r>
      <w:r w:rsidR="00157B49">
        <w:rPr>
          <w:rFonts w:ascii="Times New Roman" w:eastAsia="Times New Roman" w:hAnsi="Times New Roman" w:cs="Times New Roman"/>
          <w:sz w:val="24"/>
          <w:szCs w:val="24"/>
        </w:rPr>
        <w:t xml:space="preserve"> </w:t>
      </w:r>
      <w:r w:rsidR="00611A4E" w:rsidRPr="007404FA">
        <w:rPr>
          <w:rFonts w:ascii="Times New Roman" w:eastAsia="Times New Roman" w:hAnsi="Times New Roman" w:cs="Times New Roman"/>
          <w:sz w:val="24"/>
          <w:szCs w:val="24"/>
        </w:rPr>
        <w:t>Комисията</w:t>
      </w:r>
      <w:r w:rsidRPr="007404FA">
        <w:rPr>
          <w:rFonts w:ascii="Times New Roman" w:eastAsia="Times New Roman" w:hAnsi="Times New Roman" w:cs="Times New Roman"/>
          <w:sz w:val="24"/>
          <w:szCs w:val="24"/>
        </w:rPr>
        <w:t>, на Европейския комитет по защита на данните, приети от ЕКЗД документи (становища, изявления), решения на Съда на ЕС и др.</w:t>
      </w:r>
      <w:r w:rsidRPr="007404FA">
        <w:rPr>
          <w:rFonts w:ascii="Times New Roman" w:eastAsia="Times New Roman" w:hAnsi="Times New Roman" w:cs="Times New Roman"/>
          <w:bCs/>
          <w:sz w:val="24"/>
          <w:szCs w:val="24"/>
        </w:rPr>
        <w:t xml:space="preserve"> </w:t>
      </w:r>
      <w:r w:rsidRPr="007404FA">
        <w:rPr>
          <w:rFonts w:ascii="Times New Roman" w:eastAsia="Times New Roman" w:hAnsi="Times New Roman" w:cs="Times New Roman"/>
          <w:sz w:val="24"/>
          <w:szCs w:val="24"/>
        </w:rPr>
        <w:t>И през 2022</w:t>
      </w:r>
      <w:r w:rsidR="00F06583" w:rsidRPr="007404FA">
        <w:rPr>
          <w:rFonts w:ascii="Times New Roman" w:eastAsia="Times New Roman" w:hAnsi="Times New Roman" w:cs="Times New Roman"/>
          <w:sz w:val="24"/>
          <w:szCs w:val="24"/>
        </w:rPr>
        <w:t> г.</w:t>
      </w:r>
      <w:r w:rsidRPr="007404FA">
        <w:rPr>
          <w:rFonts w:ascii="Times New Roman" w:eastAsia="Times New Roman" w:hAnsi="Times New Roman" w:cs="Times New Roman"/>
          <w:sz w:val="24"/>
          <w:szCs w:val="24"/>
        </w:rPr>
        <w:t xml:space="preserve"> в бюлетина се отразяват събития, инициативи и разработки в областта на защитата на личните данни в национален, европейски и световен мащаб. </w:t>
      </w:r>
    </w:p>
    <w:p w:rsidR="00D55BC5" w:rsidRPr="007404FA" w:rsidRDefault="00D55BC5" w:rsidP="00DB6B05">
      <w:pPr>
        <w:spacing w:line="360" w:lineRule="auto"/>
        <w:ind w:firstLine="709"/>
        <w:contextualSpacing/>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За 2022</w:t>
      </w:r>
      <w:r w:rsidR="00F06583" w:rsidRPr="007404FA">
        <w:rPr>
          <w:rFonts w:ascii="Times New Roman" w:eastAsia="Times New Roman" w:hAnsi="Times New Roman" w:cs="Times New Roman"/>
          <w:sz w:val="24"/>
          <w:szCs w:val="24"/>
        </w:rPr>
        <w:t> г.</w:t>
      </w:r>
      <w:r w:rsidRPr="007404FA">
        <w:rPr>
          <w:rFonts w:ascii="Times New Roman" w:eastAsia="Times New Roman" w:hAnsi="Times New Roman" w:cs="Times New Roman"/>
          <w:sz w:val="24"/>
          <w:szCs w:val="24"/>
        </w:rPr>
        <w:t xml:space="preserve"> такива материали в национален мащаб са: „Комисията за защита на личните данни депозира в Народното събрание отчета за дейността си през 2021 </w:t>
      </w:r>
      <w:r w:rsidR="003969D6">
        <w:rPr>
          <w:rFonts w:ascii="Times New Roman" w:eastAsia="Times New Roman" w:hAnsi="Times New Roman" w:cs="Times New Roman"/>
          <w:sz w:val="24"/>
          <w:szCs w:val="24"/>
        </w:rPr>
        <w:t>г. Резюме на отчета</w:t>
      </w:r>
      <w:r w:rsidRPr="007404FA">
        <w:rPr>
          <w:rFonts w:ascii="Times New Roman" w:eastAsia="Times New Roman" w:hAnsi="Times New Roman" w:cs="Times New Roman"/>
          <w:sz w:val="24"/>
          <w:szCs w:val="24"/>
        </w:rPr>
        <w:t>“; „ВАС постанови решение, в което формулира критерии за преценка на баланса между правото на свобода на изразяване и информация и правото на защита на личните данни“; „КЗЛД публикува информационно-разяснителен материал относно действията на АЛД при настъпване на нарушение на сигурността на личните данни“; „Принципна практика на КЗЛД, свързана с произнасяне по видеонаблюдение за периода 25.05.2018</w:t>
      </w:r>
      <w:r w:rsidR="003969D6">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г.</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18.03.2021</w:t>
      </w:r>
      <w:r w:rsidR="003969D6">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г.“; „КЗЛД прие Списък на операциите по обработване на лични данни, за които е задължителна предварителна консултация по чл.</w:t>
      </w:r>
      <w:r w:rsidR="003969D6">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65, ал.</w:t>
      </w:r>
      <w:r w:rsidR="003969D6">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3 от Закона за защита на личните данни“; „КЗЛД организира разяснителни събития за представители на малки и средни предприятия“; „КЗЛД отбеляза Деня за защита на личните данни“; „КЗЛД връчи своята годишна „Награда за журналистика“; „КЗЛД обяви своя годишен студентски конкурс за есе“; „Комисията за защита на личните данни е отличена от Съюза на юристите в България“.</w:t>
      </w:r>
    </w:p>
    <w:p w:rsidR="00D55BC5" w:rsidRPr="007404FA" w:rsidRDefault="00D55BC5" w:rsidP="00DB6B05">
      <w:pPr>
        <w:spacing w:line="360" w:lineRule="auto"/>
        <w:ind w:firstLine="709"/>
        <w:contextualSpacing/>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Във връзка с работата на КЗЛД по отношение на защитата на личните данни на децата през 2022</w:t>
      </w:r>
      <w:r w:rsidR="00F06583" w:rsidRPr="007404FA">
        <w:rPr>
          <w:rFonts w:ascii="Times New Roman" w:eastAsia="Times New Roman" w:hAnsi="Times New Roman" w:cs="Times New Roman"/>
          <w:sz w:val="24"/>
          <w:szCs w:val="24"/>
        </w:rPr>
        <w:t> г.</w:t>
      </w:r>
      <w:r w:rsidRPr="007404FA">
        <w:rPr>
          <w:rFonts w:ascii="Times New Roman" w:eastAsia="Times New Roman" w:hAnsi="Times New Roman" w:cs="Times New Roman"/>
          <w:sz w:val="24"/>
          <w:szCs w:val="24"/>
        </w:rPr>
        <w:t xml:space="preserve"> в бюлетина</w:t>
      </w:r>
      <w:r w:rsidR="00157B49">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са</w:t>
      </w:r>
      <w:r w:rsidR="00157B49">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публикувани материалите „КЗЛД се включва активно в инициативи, свързани с правата на децата в дигитална среда“, „Съвместната работа на държавните институции по отношение на безопасността на децата онлайн“; „Представители на КЗЛД взе</w:t>
      </w:r>
      <w:r w:rsidR="00024537" w:rsidRPr="007404FA">
        <w:rPr>
          <w:rFonts w:ascii="Times New Roman" w:eastAsia="Times New Roman" w:hAnsi="Times New Roman" w:cs="Times New Roman"/>
          <w:sz w:val="24"/>
          <w:szCs w:val="24"/>
        </w:rPr>
        <w:t>мат</w:t>
      </w:r>
      <w:r w:rsidRPr="007404FA">
        <w:rPr>
          <w:rFonts w:ascii="Times New Roman" w:eastAsia="Times New Roman" w:hAnsi="Times New Roman" w:cs="Times New Roman"/>
          <w:sz w:val="24"/>
          <w:szCs w:val="24"/>
        </w:rPr>
        <w:t xml:space="preserve"> участие в инициатива по случай Международния ден на детето“.</w:t>
      </w:r>
    </w:p>
    <w:p w:rsidR="00D55BC5" w:rsidRPr="007404FA" w:rsidRDefault="00D55BC5" w:rsidP="00DB6B05">
      <w:pPr>
        <w:spacing w:line="360" w:lineRule="auto"/>
        <w:ind w:firstLine="709"/>
        <w:contextualSpacing/>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 xml:space="preserve">И през изминалата година продължава практиката за предоставяне на информация в бюлетина относно проектната дейност на КЗЛД: „Успешно завърши изпълнението на </w:t>
      </w:r>
      <w:r w:rsidRPr="007404FA">
        <w:rPr>
          <w:rFonts w:ascii="Times New Roman" w:eastAsia="Times New Roman" w:hAnsi="Times New Roman" w:cs="Times New Roman"/>
          <w:sz w:val="24"/>
          <w:szCs w:val="24"/>
        </w:rPr>
        <w:lastRenderedPageBreak/>
        <w:t>проект AI-Trans, финансиран от ЕС“; „Завърши изпълнението на дейностите по проект SMEDATA II“.</w:t>
      </w:r>
    </w:p>
    <w:p w:rsidR="00D55BC5" w:rsidRPr="007404FA" w:rsidRDefault="00D55BC5" w:rsidP="00DB6B05">
      <w:pPr>
        <w:spacing w:line="360" w:lineRule="auto"/>
        <w:ind w:firstLine="709"/>
        <w:contextualSpacing/>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През 2022</w:t>
      </w:r>
      <w:r w:rsidR="00F06583" w:rsidRPr="007404FA">
        <w:rPr>
          <w:rFonts w:ascii="Times New Roman" w:eastAsia="Times New Roman" w:hAnsi="Times New Roman" w:cs="Times New Roman"/>
          <w:sz w:val="24"/>
          <w:szCs w:val="24"/>
        </w:rPr>
        <w:t> г.</w:t>
      </w:r>
      <w:r w:rsidRPr="007404FA">
        <w:rPr>
          <w:rFonts w:ascii="Times New Roman" w:eastAsia="Times New Roman" w:hAnsi="Times New Roman" w:cs="Times New Roman"/>
          <w:sz w:val="24"/>
          <w:szCs w:val="24"/>
        </w:rPr>
        <w:t xml:space="preserve"> в бюлетина са публикувани текстовете на издадените от КЗЛД</w:t>
      </w:r>
      <w:r w:rsidR="00157B49">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информационни брошури „Големи бази данни (Big Data) и свързаната с тях възможност за профилиране“; „Съвременни заплахи и предизвикателства пред защитата на личните данни в контекста на тенденциите в развитието на изкуствения интелект и новите технологии за лицево разпознаване“; „Правата на децата и младите хора при работа в дигитални платформи. Защита и укрепване на правата на децата и младите хора</w:t>
      </w:r>
      <w:r w:rsidR="007157C4" w:rsidRPr="007404FA">
        <w:rPr>
          <w:rFonts w:ascii="Times New Roman" w:eastAsia="Times New Roman" w:hAnsi="Times New Roman" w:cs="Times New Roman"/>
          <w:sz w:val="24"/>
          <w:szCs w:val="24"/>
        </w:rPr>
        <w:t>“.</w:t>
      </w:r>
    </w:p>
    <w:p w:rsidR="00D55BC5" w:rsidRPr="007404FA" w:rsidRDefault="00D55BC5" w:rsidP="00DB6B05">
      <w:pPr>
        <w:spacing w:line="360" w:lineRule="auto"/>
        <w:ind w:firstLine="709"/>
        <w:contextualSpacing/>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В бюлетина са публикувани материали, отразяващи отбелязването на 20-годишния юбилей на КЗЛД през 2022</w:t>
      </w:r>
      <w:r w:rsidR="00F06583" w:rsidRPr="007404FA">
        <w:rPr>
          <w:rFonts w:ascii="Times New Roman" w:eastAsia="Times New Roman" w:hAnsi="Times New Roman" w:cs="Times New Roman"/>
          <w:sz w:val="24"/>
          <w:szCs w:val="24"/>
        </w:rPr>
        <w:t> г.</w:t>
      </w:r>
      <w:r w:rsidR="002B2E4F" w:rsidRPr="007404FA">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sym w:font="Symbol" w:char="F02D"/>
      </w:r>
      <w:r w:rsidR="00070EE0">
        <w:rPr>
          <w:rFonts w:ascii="Times New Roman" w:eastAsia="Times New Roman" w:hAnsi="Times New Roman" w:cs="Times New Roman"/>
          <w:sz w:val="24"/>
          <w:szCs w:val="24"/>
        </w:rPr>
        <w:t xml:space="preserve"> „КЗЛД отбеляза своя 20-</w:t>
      </w:r>
      <w:r w:rsidRPr="007404FA">
        <w:rPr>
          <w:rFonts w:ascii="Times New Roman" w:eastAsia="Times New Roman" w:hAnsi="Times New Roman" w:cs="Times New Roman"/>
          <w:sz w:val="24"/>
          <w:szCs w:val="24"/>
        </w:rPr>
        <w:t>годишен юбилей с официална церемония“ и „КЗЛД издаде книга, посветена на цялостната ѝ дейност през изминалите 20 години“.</w:t>
      </w:r>
    </w:p>
    <w:p w:rsidR="00D55BC5" w:rsidRPr="007404FA" w:rsidRDefault="00D55BC5"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И през 2022</w:t>
      </w:r>
      <w:r w:rsidR="00F06583" w:rsidRPr="007404FA">
        <w:rPr>
          <w:rFonts w:ascii="Times New Roman" w:eastAsia="Calibri" w:hAnsi="Times New Roman" w:cs="Times New Roman"/>
          <w:sz w:val="24"/>
          <w:szCs w:val="24"/>
        </w:rPr>
        <w:t> г.</w:t>
      </w:r>
      <w:r w:rsidRPr="007404FA">
        <w:rPr>
          <w:rFonts w:ascii="Times New Roman" w:eastAsia="Calibri" w:hAnsi="Times New Roman" w:cs="Times New Roman"/>
          <w:sz w:val="24"/>
          <w:szCs w:val="24"/>
        </w:rPr>
        <w:t xml:space="preserve"> продължава практиката в бюлетина да се отразяват решения от заседанията на ЕКЗД, както и</w:t>
      </w:r>
      <w:r w:rsidR="00157B49">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съвместните становища на ЕКЗД и ЕНОЗД. Публикувани са и материалите „Европейският комитет по защита на данните започна първото координирано</w:t>
      </w:r>
      <w:r w:rsidR="00157B49">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правоприлагащо действие относно използването на облачните услуги от публичния сектор“; „Европейският комитет по защита на данните публикува изявление относно предложението за Кодекс за европейско полицейско сътрудничество“; „ЕНОЗД разпореди на Европол да изтрие данни за лица, които нямат установена връзка с престъпна дейност“; „Европейският надзорен орган по защита на данните предприе правни действия относно новия регламент на Европол“.</w:t>
      </w:r>
    </w:p>
    <w:p w:rsidR="00D55BC5" w:rsidRPr="007404FA" w:rsidRDefault="00D55BC5"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Други материали, отразяващи инициативи на ниво ЕС</w:t>
      </w:r>
      <w:r w:rsidR="00611A4E" w:rsidRPr="007404FA">
        <w:rPr>
          <w:rFonts w:ascii="Times New Roman" w:eastAsia="Calibri" w:hAnsi="Times New Roman" w:cs="Times New Roman"/>
          <w:sz w:val="24"/>
          <w:szCs w:val="24"/>
        </w:rPr>
        <w:t>,</w:t>
      </w:r>
      <w:r w:rsidRPr="007404FA">
        <w:rPr>
          <w:rFonts w:ascii="Times New Roman" w:eastAsia="Calibri" w:hAnsi="Times New Roman" w:cs="Times New Roman"/>
          <w:sz w:val="24"/>
          <w:szCs w:val="24"/>
        </w:rPr>
        <w:t xml:space="preserve"> са: „КЗЛД участва в мисия по оценка по Шенген“; „Четири години от започване на прилагането на ОРЗД“; „Европейската комисия приема мерки в полза на киберсигурността на безжичните устройства и продукти“; „Европейската комисия предлага декларация за цифровите права и принципи за всички в ЕС“; „</w:t>
      </w:r>
      <w:r w:rsidRPr="007404FA">
        <w:rPr>
          <w:rFonts w:ascii="Times New Roman" w:eastAsia="Times New Roman" w:hAnsi="Times New Roman" w:cs="Times New Roman"/>
          <w:sz w:val="24"/>
          <w:szCs w:val="24"/>
        </w:rPr>
        <w:t>Европейската комисия предлага нови</w:t>
      </w:r>
      <w:r w:rsidRPr="007404FA">
        <w:rPr>
          <w:rFonts w:ascii="Times New Roman" w:eastAsia="Calibri" w:hAnsi="Times New Roman" w:cs="Times New Roman"/>
          <w:sz w:val="24"/>
          <w:szCs w:val="24"/>
        </w:rPr>
        <w:t xml:space="preserve"> правила за повишаване на киберсигурността и информационната сигурност в институциите, органите, службите и агенциите на ЕС“; „Европейската комисия представи предложение за нов законодателен акт за киберустойчивост“; „Съветът на ЕС и Европейският парламент постигнаха предварително споразумение относно Акта за управление на данните“; „Приет е европейски</w:t>
      </w:r>
      <w:r w:rsidR="00070EE0">
        <w:rPr>
          <w:rFonts w:ascii="Times New Roman" w:eastAsia="Calibri" w:hAnsi="Times New Roman" w:cs="Times New Roman"/>
          <w:sz w:val="24"/>
          <w:szCs w:val="24"/>
        </w:rPr>
        <w:t>ят Акт за управление на данните</w:t>
      </w:r>
      <w:r w:rsidRPr="007404FA">
        <w:rPr>
          <w:rFonts w:ascii="Times New Roman" w:eastAsia="Calibri" w:hAnsi="Times New Roman" w:cs="Times New Roman"/>
          <w:sz w:val="24"/>
          <w:szCs w:val="24"/>
        </w:rPr>
        <w:t>“;</w:t>
      </w:r>
      <w:r w:rsidR="00157B49">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„Методология на Агенцията по киберсигурност на ЕС (ENISA) за създаване на картина на заплахите за киберсигурността“.</w:t>
      </w:r>
    </w:p>
    <w:p w:rsidR="00D55BC5" w:rsidRPr="007404FA" w:rsidRDefault="00D55BC5"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Материали, отразяващи в бюлетина международни форуми и инициативи през 2022</w:t>
      </w:r>
      <w:r w:rsidR="00F06583" w:rsidRPr="007404FA">
        <w:rPr>
          <w:rFonts w:ascii="Times New Roman" w:eastAsia="Calibri" w:hAnsi="Times New Roman" w:cs="Times New Roman"/>
          <w:sz w:val="24"/>
          <w:szCs w:val="24"/>
        </w:rPr>
        <w:t> г.</w:t>
      </w:r>
      <w:r w:rsidR="00611A4E" w:rsidRPr="007404FA">
        <w:rPr>
          <w:rFonts w:ascii="Times New Roman" w:eastAsia="Calibri" w:hAnsi="Times New Roman" w:cs="Times New Roman"/>
          <w:sz w:val="24"/>
          <w:szCs w:val="24"/>
        </w:rPr>
        <w:t>,</w:t>
      </w:r>
      <w:r w:rsidRPr="007404FA">
        <w:rPr>
          <w:rFonts w:ascii="Times New Roman" w:eastAsia="Calibri" w:hAnsi="Times New Roman" w:cs="Times New Roman"/>
          <w:sz w:val="24"/>
          <w:szCs w:val="24"/>
        </w:rPr>
        <w:t xml:space="preserve"> са: „Състоя се 43-тото издание на Глобалната асамблея по въпросите за неприкосновеността“; „30-</w:t>
      </w:r>
      <w:r w:rsidR="00070EE0">
        <w:rPr>
          <w:rFonts w:ascii="Times New Roman" w:eastAsia="Calibri" w:hAnsi="Times New Roman" w:cs="Times New Roman"/>
          <w:sz w:val="24"/>
          <w:szCs w:val="24"/>
        </w:rPr>
        <w:t>а</w:t>
      </w:r>
      <w:r w:rsidRPr="007404FA">
        <w:rPr>
          <w:rFonts w:ascii="Times New Roman" w:eastAsia="Calibri" w:hAnsi="Times New Roman" w:cs="Times New Roman"/>
          <w:sz w:val="24"/>
          <w:szCs w:val="24"/>
        </w:rPr>
        <w:t xml:space="preserve"> конференция на европейските органи по защита на данните“; </w:t>
      </w:r>
      <w:r w:rsidRPr="007404FA">
        <w:rPr>
          <w:rFonts w:ascii="Times New Roman" w:eastAsia="Calibri" w:hAnsi="Times New Roman" w:cs="Times New Roman"/>
          <w:sz w:val="24"/>
          <w:szCs w:val="24"/>
        </w:rPr>
        <w:lastRenderedPageBreak/>
        <w:t>„Заседание на Международна работна група по защита на данните в телекомуникациите“; „Заседание на Консултативния комитет на Конвенция 10</w:t>
      </w:r>
      <w:r w:rsidR="00070EE0">
        <w:rPr>
          <w:rFonts w:ascii="Times New Roman" w:eastAsia="Calibri" w:hAnsi="Times New Roman" w:cs="Times New Roman"/>
          <w:sz w:val="24"/>
          <w:szCs w:val="24"/>
        </w:rPr>
        <w:t>8 на Съвета на Европа“; „За 10-</w:t>
      </w:r>
      <w:r w:rsidRPr="007404FA">
        <w:rPr>
          <w:rFonts w:ascii="Times New Roman" w:eastAsia="Calibri" w:hAnsi="Times New Roman" w:cs="Times New Roman"/>
          <w:sz w:val="24"/>
          <w:szCs w:val="24"/>
        </w:rPr>
        <w:t>а поредна година бе отбелязан Европейският месец на киберсигурността“.</w:t>
      </w:r>
    </w:p>
    <w:p w:rsidR="00D55BC5" w:rsidRPr="007404FA" w:rsidRDefault="00D55BC5" w:rsidP="00DB6B05">
      <w:pPr>
        <w:suppressAutoHyphens/>
        <w:autoSpaceDE w:val="0"/>
        <w:autoSpaceDN w:val="0"/>
        <w:adjustRightInd w:val="0"/>
        <w:spacing w:line="360" w:lineRule="auto"/>
        <w:ind w:firstLine="709"/>
        <w:jc w:val="both"/>
        <w:textAlignment w:val="center"/>
        <w:rPr>
          <w:rFonts w:ascii="Times New Roman" w:eastAsia="Calibri" w:hAnsi="Times New Roman" w:cs="Times New Roman"/>
          <w:sz w:val="24"/>
          <w:szCs w:val="24"/>
        </w:rPr>
      </w:pPr>
      <w:r w:rsidRPr="007404FA">
        <w:rPr>
          <w:rFonts w:ascii="Times New Roman" w:eastAsia="Calibri" w:hAnsi="Times New Roman" w:cs="Times New Roman"/>
          <w:sz w:val="24"/>
          <w:szCs w:val="24"/>
        </w:rPr>
        <w:t>И през 2022</w:t>
      </w:r>
      <w:r w:rsidR="00F06583" w:rsidRPr="007404FA">
        <w:rPr>
          <w:rFonts w:ascii="Times New Roman" w:eastAsia="Calibri" w:hAnsi="Times New Roman" w:cs="Times New Roman"/>
          <w:sz w:val="24"/>
          <w:szCs w:val="24"/>
        </w:rPr>
        <w:t> г.</w:t>
      </w:r>
      <w:r w:rsidRPr="007404FA">
        <w:rPr>
          <w:rFonts w:ascii="Times New Roman" w:eastAsia="Calibri" w:hAnsi="Times New Roman" w:cs="Times New Roman"/>
          <w:sz w:val="24"/>
          <w:szCs w:val="24"/>
        </w:rPr>
        <w:t xml:space="preserve"> продължава публикуването на решения и становища на КЗЛД, както и обща статистика за контролната дейност. Решения по жалби се публикуват с цел осигуряване на прозрачност за обществеността относно практиката на КЗЛД при разглеждане на жалби. Всички публикувани решения на КЗЛД са с псевдонимизирани лични данни на физическите лица и по-голямата част от имената на юридическите лица. По отношение на контролната дейност през 2022</w:t>
      </w:r>
      <w:r w:rsidR="00F06583" w:rsidRPr="007404FA">
        <w:rPr>
          <w:rFonts w:ascii="Times New Roman" w:eastAsia="Calibri" w:hAnsi="Times New Roman" w:cs="Times New Roman"/>
          <w:sz w:val="24"/>
          <w:szCs w:val="24"/>
        </w:rPr>
        <w:t> г.</w:t>
      </w:r>
      <w:r w:rsidRPr="007404FA">
        <w:rPr>
          <w:rFonts w:ascii="Times New Roman" w:eastAsia="Calibri" w:hAnsi="Times New Roman" w:cs="Times New Roman"/>
          <w:sz w:val="24"/>
          <w:szCs w:val="24"/>
        </w:rPr>
        <w:t xml:space="preserve"> регулярно се публикува статистика за извършени проверки, разгледани искания, упражнени корективни правомощия на КЗЛД. </w:t>
      </w:r>
    </w:p>
    <w:p w:rsidR="00B9004C" w:rsidRPr="007404FA" w:rsidRDefault="00B9004C" w:rsidP="00DB6B05">
      <w:pPr>
        <w:suppressAutoHyphens/>
        <w:autoSpaceDE w:val="0"/>
        <w:autoSpaceDN w:val="0"/>
        <w:adjustRightInd w:val="0"/>
        <w:spacing w:line="360" w:lineRule="auto"/>
        <w:ind w:firstLine="709"/>
        <w:jc w:val="both"/>
        <w:textAlignment w:val="center"/>
        <w:rPr>
          <w:rFonts w:ascii="Times New Roman" w:eastAsia="Calibri" w:hAnsi="Times New Roman" w:cs="Times New Roman"/>
          <w:sz w:val="24"/>
          <w:szCs w:val="24"/>
        </w:rPr>
      </w:pPr>
    </w:p>
    <w:p w:rsidR="003E6291" w:rsidRPr="007404FA" w:rsidRDefault="00B9004C" w:rsidP="00DB6B05">
      <w:pPr>
        <w:tabs>
          <w:tab w:val="left" w:pos="426"/>
          <w:tab w:val="left" w:pos="993"/>
        </w:tabs>
        <w:suppressAutoHyphens/>
        <w:autoSpaceDN w:val="0"/>
        <w:spacing w:line="360" w:lineRule="auto"/>
        <w:ind w:left="709"/>
        <w:jc w:val="both"/>
        <w:textAlignment w:val="baseline"/>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3.3</w:t>
      </w:r>
      <w:r w:rsidR="00B31E64" w:rsidRPr="007404FA">
        <w:rPr>
          <w:rFonts w:ascii="Times New Roman" w:eastAsia="Times New Roman" w:hAnsi="Times New Roman" w:cs="Times New Roman"/>
          <w:b/>
          <w:sz w:val="24"/>
          <w:szCs w:val="24"/>
        </w:rPr>
        <w:t xml:space="preserve">. </w:t>
      </w:r>
      <w:r w:rsidR="003E6291" w:rsidRPr="007404FA">
        <w:rPr>
          <w:rFonts w:ascii="Times New Roman" w:eastAsia="Times New Roman" w:hAnsi="Times New Roman" w:cs="Times New Roman"/>
          <w:b/>
          <w:sz w:val="24"/>
          <w:szCs w:val="24"/>
        </w:rPr>
        <w:t>Ден за защита на личните данни.</w:t>
      </w:r>
    </w:p>
    <w:p w:rsidR="003E6291" w:rsidRPr="007404FA" w:rsidRDefault="003E6291" w:rsidP="00DB6B05">
      <w:pPr>
        <w:tabs>
          <w:tab w:val="left" w:pos="709"/>
        </w:tabs>
        <w:spacing w:line="360" w:lineRule="auto"/>
        <w:ind w:firstLine="709"/>
        <w:jc w:val="both"/>
        <w:rPr>
          <w:rFonts w:ascii="Times New Roman" w:eastAsia="Times New Roman" w:hAnsi="Times New Roman" w:cs="Times New Roman"/>
          <w:sz w:val="24"/>
          <w:szCs w:val="24"/>
        </w:rPr>
      </w:pPr>
      <w:r w:rsidRPr="007404FA">
        <w:rPr>
          <w:rFonts w:ascii="Times New Roman" w:eastAsia="Calibri" w:hAnsi="Times New Roman" w:cs="Times New Roman"/>
          <w:sz w:val="24"/>
          <w:szCs w:val="24"/>
        </w:rPr>
        <w:t>През 2022</w:t>
      </w:r>
      <w:r w:rsidR="00F06583" w:rsidRPr="007404FA">
        <w:rPr>
          <w:rFonts w:ascii="Times New Roman" w:eastAsia="Calibri" w:hAnsi="Times New Roman" w:cs="Times New Roman"/>
          <w:sz w:val="24"/>
          <w:szCs w:val="24"/>
        </w:rPr>
        <w:t> г.</w:t>
      </w:r>
      <w:r w:rsidR="00157B49">
        <w:rPr>
          <w:rFonts w:ascii="Times New Roman" w:eastAsia="Calibri" w:hAnsi="Times New Roman" w:cs="Times New Roman"/>
          <w:sz w:val="24"/>
          <w:szCs w:val="24"/>
        </w:rPr>
        <w:t xml:space="preserve"> </w:t>
      </w:r>
      <w:r w:rsidRPr="007404FA">
        <w:rPr>
          <w:rFonts w:ascii="Times New Roman" w:eastAsia="Times New Roman" w:hAnsi="Times New Roman" w:cs="Times New Roman"/>
          <w:sz w:val="24"/>
          <w:szCs w:val="24"/>
        </w:rPr>
        <w:t>КЗЛД за 16-и пореден път отбеляз</w:t>
      </w:r>
      <w:r w:rsidR="00801A8E" w:rsidRPr="007404FA">
        <w:rPr>
          <w:rFonts w:ascii="Times New Roman" w:eastAsia="Times New Roman" w:hAnsi="Times New Roman" w:cs="Times New Roman"/>
          <w:sz w:val="24"/>
          <w:szCs w:val="24"/>
        </w:rPr>
        <w:t>в</w:t>
      </w:r>
      <w:r w:rsidRPr="007404FA">
        <w:rPr>
          <w:rFonts w:ascii="Times New Roman" w:eastAsia="Times New Roman" w:hAnsi="Times New Roman" w:cs="Times New Roman"/>
          <w:sz w:val="24"/>
          <w:szCs w:val="24"/>
        </w:rPr>
        <w:t>а 28 януари</w:t>
      </w:r>
      <w:r w:rsidR="00553661" w:rsidRPr="007404FA">
        <w:rPr>
          <w:rFonts w:ascii="Times New Roman" w:eastAsia="Times New Roman" w:hAnsi="Times New Roman" w:cs="Times New Roman"/>
          <w:sz w:val="24"/>
          <w:szCs w:val="24"/>
        </w:rPr>
        <w:t xml:space="preserve"> – </w:t>
      </w:r>
      <w:r w:rsidRPr="007404FA">
        <w:rPr>
          <w:rFonts w:ascii="Times New Roman" w:eastAsia="Times New Roman" w:hAnsi="Times New Roman" w:cs="Times New Roman"/>
          <w:sz w:val="24"/>
          <w:szCs w:val="24"/>
        </w:rPr>
        <w:t>Деня за защита на личните данни,</w:t>
      </w:r>
      <w:r w:rsidRPr="007404FA">
        <w:rPr>
          <w:rFonts w:ascii="Times New Roman" w:eastAsia="Calibri" w:hAnsi="Times New Roman" w:cs="Times New Roman"/>
          <w:sz w:val="24"/>
          <w:szCs w:val="24"/>
        </w:rPr>
        <w:t xml:space="preserve"> с редица събития и мероприятия. </w:t>
      </w:r>
      <w:r w:rsidRPr="007404FA">
        <w:rPr>
          <w:rFonts w:ascii="Times New Roman" w:eastAsia="Times New Roman" w:hAnsi="Times New Roman" w:cs="Times New Roman"/>
          <w:sz w:val="24"/>
          <w:szCs w:val="24"/>
        </w:rPr>
        <w:t>Основната цел на това честване са повишаване на информираността и насърчаване на инициативите и добрите практики за разбиране правата, правилата, рисковете и гаранциите, свързани с обработването и защитата на личните данни.</w:t>
      </w:r>
    </w:p>
    <w:p w:rsidR="003E6291" w:rsidRPr="007404FA" w:rsidRDefault="003E6291" w:rsidP="00DB6B05">
      <w:pPr>
        <w:tabs>
          <w:tab w:val="left" w:pos="709"/>
        </w:tabs>
        <w:spacing w:line="360" w:lineRule="auto"/>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Инициативата за обявяването на 28 януари за Ден за защита на личните данни е на Съвета на Европа, но понастоящем той се отбелязва в редица държави в целия свят, въпреки че е възникнал като „европейски“. През 2018</w:t>
      </w:r>
      <w:r w:rsidR="00F06583" w:rsidRPr="007404FA">
        <w:rPr>
          <w:rFonts w:ascii="Times New Roman" w:eastAsia="Times New Roman" w:hAnsi="Times New Roman" w:cs="Times New Roman"/>
          <w:sz w:val="24"/>
          <w:szCs w:val="24"/>
        </w:rPr>
        <w:t> г.</w:t>
      </w:r>
      <w:r w:rsidRPr="007404FA">
        <w:rPr>
          <w:rFonts w:ascii="Times New Roman" w:eastAsia="Times New Roman" w:hAnsi="Times New Roman" w:cs="Times New Roman"/>
          <w:sz w:val="24"/>
          <w:szCs w:val="24"/>
        </w:rPr>
        <w:t xml:space="preserve"> Конвенция 108 е модернизирана с оглед развитието на информационните и комуникационните технологии и предизвикателствата, които възникват пред неприкосновеността.</w:t>
      </w:r>
    </w:p>
    <w:p w:rsidR="003E6291" w:rsidRPr="007404FA" w:rsidRDefault="003E6291" w:rsidP="00DB6B05">
      <w:pPr>
        <w:tabs>
          <w:tab w:val="left" w:pos="709"/>
        </w:tabs>
        <w:spacing w:line="360" w:lineRule="auto"/>
        <w:ind w:firstLine="709"/>
        <w:jc w:val="both"/>
        <w:rPr>
          <w:rFonts w:ascii="Times New Roman" w:eastAsia="Times New Roman" w:hAnsi="Times New Roman" w:cs="Times New Roman"/>
          <w:sz w:val="24"/>
          <w:szCs w:val="24"/>
        </w:rPr>
      </w:pPr>
      <w:r w:rsidRPr="007404FA">
        <w:rPr>
          <w:rFonts w:ascii="Times New Roman" w:eastAsia="Calibri" w:hAnsi="Times New Roman" w:cs="Times New Roman"/>
          <w:sz w:val="24"/>
          <w:szCs w:val="24"/>
        </w:rPr>
        <w:t xml:space="preserve">По повод празника КЗЛД организира </w:t>
      </w:r>
      <w:r w:rsidRPr="007404FA">
        <w:rPr>
          <w:rFonts w:ascii="Times New Roman" w:eastAsia="Calibri" w:hAnsi="Times New Roman" w:cs="Times New Roman"/>
          <w:sz w:val="24"/>
          <w:szCs w:val="24"/>
          <w:lang w:eastAsia="en-US"/>
        </w:rPr>
        <w:t>традиционната „Приемна за администратори на лични данни и граждани“</w:t>
      </w:r>
      <w:r w:rsidR="00DC22C0" w:rsidRPr="007404FA">
        <w:rPr>
          <w:rFonts w:ascii="Times New Roman" w:eastAsia="Calibri" w:hAnsi="Times New Roman" w:cs="Times New Roman"/>
          <w:sz w:val="24"/>
          <w:szCs w:val="24"/>
        </w:rPr>
        <w:t xml:space="preserve"> (от приемна чрез видеоконферентна връзка)</w:t>
      </w:r>
      <w:r w:rsidRPr="007404FA">
        <w:rPr>
          <w:rFonts w:ascii="Times New Roman" w:eastAsia="Calibri" w:hAnsi="Times New Roman" w:cs="Times New Roman"/>
          <w:sz w:val="24"/>
          <w:szCs w:val="24"/>
          <w:lang w:eastAsia="en-US"/>
        </w:rPr>
        <w:t>, в която експерти от администрацията приемат граждани, администратори на лични данни</w:t>
      </w:r>
      <w:r w:rsidRPr="007404FA">
        <w:rPr>
          <w:rFonts w:ascii="Times New Roman" w:eastAsia="Calibri" w:hAnsi="Times New Roman" w:cs="Times New Roman"/>
          <w:sz w:val="24"/>
          <w:szCs w:val="24"/>
        </w:rPr>
        <w:t xml:space="preserve"> и длъжностни лица по защита на данните </w:t>
      </w:r>
      <w:r w:rsidRPr="007404FA">
        <w:rPr>
          <w:rFonts w:ascii="Times New Roman" w:eastAsia="Calibri" w:hAnsi="Times New Roman" w:cs="Times New Roman"/>
          <w:sz w:val="24"/>
          <w:szCs w:val="24"/>
          <w:lang w:eastAsia="en-US"/>
        </w:rPr>
        <w:t>и отговарят на въпросите</w:t>
      </w:r>
      <w:r w:rsidRPr="007404FA">
        <w:rPr>
          <w:rFonts w:ascii="Times New Roman" w:eastAsia="Times New Roman" w:hAnsi="Times New Roman" w:cs="Times New Roman"/>
          <w:sz w:val="24"/>
          <w:szCs w:val="24"/>
        </w:rPr>
        <w:t xml:space="preserve"> им, свързани както с прилагането на Закона за защита на личните данни, така и с поставени конкретни казуси. </w:t>
      </w:r>
    </w:p>
    <w:p w:rsidR="003E6291" w:rsidRPr="007404FA" w:rsidRDefault="003E6291" w:rsidP="00DB6B05">
      <w:pPr>
        <w:tabs>
          <w:tab w:val="left" w:pos="709"/>
        </w:tabs>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Председателят на КЗЛД Венцислав Караджов връч</w:t>
      </w:r>
      <w:r w:rsidR="008C38B5" w:rsidRPr="007404FA">
        <w:rPr>
          <w:rFonts w:ascii="Times New Roman" w:eastAsia="Calibri" w:hAnsi="Times New Roman" w:cs="Times New Roman"/>
          <w:sz w:val="24"/>
          <w:szCs w:val="24"/>
        </w:rPr>
        <w:t>ва</w:t>
      </w:r>
      <w:r w:rsidRPr="007404FA">
        <w:rPr>
          <w:rFonts w:ascii="Times New Roman" w:eastAsia="Calibri" w:hAnsi="Times New Roman" w:cs="Times New Roman"/>
          <w:sz w:val="24"/>
          <w:szCs w:val="24"/>
        </w:rPr>
        <w:t xml:space="preserve"> за шеста поредна година „Награда за журналистика“ по повод 28 януари</w:t>
      </w:r>
      <w:r w:rsidR="00553661" w:rsidRPr="007404FA">
        <w:rPr>
          <w:rFonts w:ascii="Times New Roman" w:eastAsia="Calibri" w:hAnsi="Times New Roman" w:cs="Times New Roman"/>
          <w:sz w:val="24"/>
          <w:szCs w:val="24"/>
        </w:rPr>
        <w:t xml:space="preserve"> – </w:t>
      </w:r>
      <w:r w:rsidRPr="007404FA">
        <w:rPr>
          <w:rFonts w:ascii="Times New Roman" w:eastAsia="Calibri" w:hAnsi="Times New Roman" w:cs="Times New Roman"/>
          <w:sz w:val="24"/>
          <w:szCs w:val="24"/>
        </w:rPr>
        <w:t xml:space="preserve">Ден за защита на </w:t>
      </w:r>
      <w:r w:rsidR="008C38B5" w:rsidRPr="007404FA">
        <w:rPr>
          <w:rFonts w:ascii="Times New Roman" w:eastAsia="Calibri" w:hAnsi="Times New Roman" w:cs="Times New Roman"/>
          <w:sz w:val="24"/>
          <w:szCs w:val="24"/>
        </w:rPr>
        <w:t>личните данни. Комисията награждава</w:t>
      </w:r>
      <w:r w:rsidRPr="007404FA">
        <w:rPr>
          <w:rFonts w:ascii="Times New Roman" w:eastAsia="Calibri" w:hAnsi="Times New Roman" w:cs="Times New Roman"/>
          <w:sz w:val="24"/>
          <w:szCs w:val="24"/>
        </w:rPr>
        <w:t xml:space="preserve"> Диян Божидаров</w:t>
      </w:r>
      <w:r w:rsidR="0084438F" w:rsidRPr="007404FA">
        <w:rPr>
          <w:rFonts w:ascii="Times New Roman" w:eastAsia="Calibri" w:hAnsi="Times New Roman" w:cs="Times New Roman"/>
          <w:sz w:val="24"/>
          <w:szCs w:val="24"/>
        </w:rPr>
        <w:t xml:space="preserve"> (в-к „Сега“)</w:t>
      </w:r>
      <w:r w:rsidRPr="007404FA">
        <w:rPr>
          <w:rFonts w:ascii="Times New Roman" w:eastAsia="Calibri" w:hAnsi="Times New Roman" w:cs="Times New Roman"/>
          <w:sz w:val="24"/>
          <w:szCs w:val="24"/>
        </w:rPr>
        <w:t xml:space="preserve"> за най-голям журналистически принос през 2021</w:t>
      </w:r>
      <w:r w:rsidR="00F06583" w:rsidRPr="007404FA">
        <w:rPr>
          <w:rFonts w:ascii="Times New Roman" w:eastAsia="Calibri" w:hAnsi="Times New Roman" w:cs="Times New Roman"/>
          <w:sz w:val="24"/>
          <w:szCs w:val="24"/>
        </w:rPr>
        <w:t> г.</w:t>
      </w:r>
      <w:r w:rsidRPr="007404FA">
        <w:rPr>
          <w:rFonts w:ascii="Times New Roman" w:eastAsia="Calibri" w:hAnsi="Times New Roman" w:cs="Times New Roman"/>
          <w:sz w:val="24"/>
          <w:szCs w:val="24"/>
        </w:rPr>
        <w:t xml:space="preserve"> за</w:t>
      </w:r>
      <w:r w:rsidR="00157B49">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поредица от журналистически</w:t>
      </w:r>
      <w:r w:rsidR="00157B49">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материали, отразяващи проблем с документи</w:t>
      </w:r>
      <w:r w:rsidR="00C038DA">
        <w:rPr>
          <w:rFonts w:ascii="Times New Roman" w:eastAsia="Calibri" w:hAnsi="Times New Roman" w:cs="Times New Roman"/>
          <w:sz w:val="24"/>
          <w:szCs w:val="24"/>
        </w:rPr>
        <w:t>,</w:t>
      </w:r>
      <w:r w:rsidRPr="007404FA">
        <w:rPr>
          <w:rFonts w:ascii="Times New Roman" w:eastAsia="Calibri" w:hAnsi="Times New Roman" w:cs="Times New Roman"/>
          <w:sz w:val="24"/>
          <w:szCs w:val="24"/>
        </w:rPr>
        <w:t xml:space="preserve"> съдържащи лични данни, оставени без надзор в белодробен диспансер в мъглижкото село Радунци.</w:t>
      </w:r>
    </w:p>
    <w:p w:rsidR="003E6291" w:rsidRPr="007404FA" w:rsidRDefault="003E6291" w:rsidP="00DB6B05">
      <w:pPr>
        <w:tabs>
          <w:tab w:val="left" w:pos="709"/>
        </w:tabs>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Ежегодната „Награда за журналистика“ (грамота и медал на КЗЛД) е учредена на 28 януари 2016</w:t>
      </w:r>
      <w:r w:rsidR="00F06583" w:rsidRPr="007404FA">
        <w:rPr>
          <w:rFonts w:ascii="Times New Roman" w:eastAsia="Calibri" w:hAnsi="Times New Roman" w:cs="Times New Roman"/>
          <w:sz w:val="24"/>
          <w:szCs w:val="24"/>
        </w:rPr>
        <w:t> г.</w:t>
      </w:r>
      <w:r w:rsidRPr="007404FA">
        <w:rPr>
          <w:rFonts w:ascii="Times New Roman" w:eastAsia="Calibri" w:hAnsi="Times New Roman" w:cs="Times New Roman"/>
          <w:sz w:val="24"/>
          <w:szCs w:val="24"/>
        </w:rPr>
        <w:t xml:space="preserve"> и се дава за публ</w:t>
      </w:r>
      <w:r w:rsidR="00C038DA">
        <w:rPr>
          <w:rFonts w:ascii="Times New Roman" w:eastAsia="Calibri" w:hAnsi="Times New Roman" w:cs="Times New Roman"/>
          <w:sz w:val="24"/>
          <w:szCs w:val="24"/>
        </w:rPr>
        <w:t xml:space="preserve">икации, предавания и обществено </w:t>
      </w:r>
      <w:r w:rsidRPr="007404FA">
        <w:rPr>
          <w:rFonts w:ascii="Times New Roman" w:eastAsia="Calibri" w:hAnsi="Times New Roman" w:cs="Times New Roman"/>
          <w:sz w:val="24"/>
          <w:szCs w:val="24"/>
        </w:rPr>
        <w:t xml:space="preserve">значими прояви на </w:t>
      </w:r>
      <w:r w:rsidRPr="007404FA">
        <w:rPr>
          <w:rFonts w:ascii="Times New Roman" w:eastAsia="Calibri" w:hAnsi="Times New Roman" w:cs="Times New Roman"/>
          <w:sz w:val="24"/>
          <w:szCs w:val="24"/>
        </w:rPr>
        <w:lastRenderedPageBreak/>
        <w:t xml:space="preserve">журналист/медия, които са отразявали редовно дейността на институцията през предходната календарна година и правата на гражданите за неприкосновеност и защита на личните данни. </w:t>
      </w:r>
    </w:p>
    <w:p w:rsidR="001864F3" w:rsidRPr="007404FA" w:rsidRDefault="001864F3"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По случай Деня за защита на личните данни</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28 януари, КЗЛД обявява станал традиция студентски конкурс за есе на тема „Трудности в практическото прилагане на защитата на личните данни в условията на пандемията“. Въпреки двукратното удължа</w:t>
      </w:r>
      <w:r w:rsidR="00000DF1">
        <w:rPr>
          <w:rFonts w:ascii="Times New Roman" w:hAnsi="Times New Roman" w:cs="Times New Roman"/>
          <w:sz w:val="24"/>
          <w:szCs w:val="24"/>
        </w:rPr>
        <w:t>ване на срока за кандидатстване</w:t>
      </w:r>
      <w:r w:rsidRPr="007404FA">
        <w:rPr>
          <w:rFonts w:ascii="Times New Roman" w:hAnsi="Times New Roman" w:cs="Times New Roman"/>
          <w:sz w:val="24"/>
          <w:szCs w:val="24"/>
        </w:rPr>
        <w:t xml:space="preserve"> есета не са подадени. КЗЛД планира да продължи традицията по организиране на конкурса и в следващия отчетен период.</w:t>
      </w:r>
    </w:p>
    <w:p w:rsidR="001864F3" w:rsidRPr="007404FA" w:rsidRDefault="001864F3" w:rsidP="00DB6B05">
      <w:pPr>
        <w:tabs>
          <w:tab w:val="left" w:pos="709"/>
        </w:tabs>
        <w:spacing w:line="360" w:lineRule="auto"/>
        <w:ind w:firstLine="709"/>
        <w:jc w:val="both"/>
        <w:rPr>
          <w:rFonts w:ascii="Times New Roman" w:eastAsia="Calibri" w:hAnsi="Times New Roman" w:cs="Times New Roman"/>
          <w:sz w:val="24"/>
          <w:szCs w:val="24"/>
        </w:rPr>
      </w:pPr>
    </w:p>
    <w:p w:rsidR="003E6291" w:rsidRPr="007404FA" w:rsidRDefault="00ED514F" w:rsidP="00DB6B05">
      <w:pPr>
        <w:suppressAutoHyphens/>
        <w:autoSpaceDN w:val="0"/>
        <w:spacing w:line="360" w:lineRule="auto"/>
        <w:ind w:firstLine="709"/>
        <w:jc w:val="both"/>
        <w:textAlignment w:val="baseline"/>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3.4</w:t>
      </w:r>
      <w:r w:rsidR="003E6291" w:rsidRPr="007404FA">
        <w:rPr>
          <w:rFonts w:ascii="Times New Roman" w:eastAsia="Times New Roman" w:hAnsi="Times New Roman" w:cs="Times New Roman"/>
          <w:b/>
          <w:sz w:val="24"/>
          <w:szCs w:val="24"/>
        </w:rPr>
        <w:t>. Медийна политика.</w:t>
      </w:r>
    </w:p>
    <w:p w:rsidR="003E6291" w:rsidRPr="007404FA" w:rsidRDefault="003E6291"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КЗЛД продължава успешно реализирането на своята последователна политика по развитие и устойчива позитивна институционална публичност, на прозрачност и откритост в осъществяването на своята дейност.</w:t>
      </w:r>
    </w:p>
    <w:p w:rsidR="003E6291" w:rsidRPr="007404FA" w:rsidRDefault="003E6291"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 xml:space="preserve">През годините Комисията </w:t>
      </w:r>
      <w:r w:rsidR="003F0F82" w:rsidRPr="007404FA">
        <w:rPr>
          <w:rFonts w:ascii="Times New Roman" w:eastAsia="Calibri" w:hAnsi="Times New Roman" w:cs="Times New Roman"/>
          <w:sz w:val="24"/>
          <w:szCs w:val="24"/>
        </w:rPr>
        <w:t xml:space="preserve">е </w:t>
      </w:r>
      <w:r w:rsidRPr="007404FA">
        <w:rPr>
          <w:rFonts w:ascii="Times New Roman" w:eastAsia="Calibri" w:hAnsi="Times New Roman" w:cs="Times New Roman"/>
          <w:sz w:val="24"/>
          <w:szCs w:val="24"/>
        </w:rPr>
        <w:t>изгради</w:t>
      </w:r>
      <w:r w:rsidR="003F0F82" w:rsidRPr="007404FA">
        <w:rPr>
          <w:rFonts w:ascii="Times New Roman" w:eastAsia="Calibri" w:hAnsi="Times New Roman" w:cs="Times New Roman"/>
          <w:sz w:val="24"/>
          <w:szCs w:val="24"/>
        </w:rPr>
        <w:t>ла</w:t>
      </w:r>
      <w:r w:rsidRPr="007404FA">
        <w:rPr>
          <w:rFonts w:ascii="Times New Roman" w:eastAsia="Calibri" w:hAnsi="Times New Roman" w:cs="Times New Roman"/>
          <w:sz w:val="24"/>
          <w:szCs w:val="24"/>
        </w:rPr>
        <w:t xml:space="preserve"> добри практики за комуникация с медиите с ясната цел за постигане на единни, ясно установени и съвременни стандарти в медийната комуникация за повишаване на информираността на обществото и осигуряване на публичност и откритост на своята дейност, свързана със защита на личните данни на физическите лица.</w:t>
      </w:r>
    </w:p>
    <w:p w:rsidR="003E6291" w:rsidRPr="007404FA" w:rsidRDefault="003E6291"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 xml:space="preserve">От КЗЛД се предоставя своевременно информация на журналисти по тяхно писмено или устно искане, което води до публикуването на значителен брой информационни материали и журналистически разследвания, </w:t>
      </w:r>
      <w:r w:rsidR="00222EF6" w:rsidRPr="007404FA">
        <w:rPr>
          <w:rFonts w:ascii="Times New Roman" w:eastAsia="Calibri" w:hAnsi="Times New Roman" w:cs="Times New Roman"/>
          <w:sz w:val="24"/>
          <w:szCs w:val="24"/>
        </w:rPr>
        <w:t>засягащи</w:t>
      </w:r>
      <w:r w:rsidRPr="007404FA">
        <w:rPr>
          <w:rFonts w:ascii="Times New Roman" w:eastAsia="Calibri" w:hAnsi="Times New Roman" w:cs="Times New Roman"/>
          <w:sz w:val="24"/>
          <w:szCs w:val="24"/>
        </w:rPr>
        <w:t xml:space="preserve"> разнообразни аспекти на защитата на личните данни. Чрез постоянната комуникация с медиите и множеството реализирани изяви до населението у нас достига ценна и практична информация, което е част от цялостната политика на институцията към публичност, прозрачност и открит диалог с българското общество.</w:t>
      </w:r>
    </w:p>
    <w:p w:rsidR="00F64A63" w:rsidRPr="007404FA" w:rsidRDefault="003E6291"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Постъпилите</w:t>
      </w:r>
      <w:r w:rsidR="004D1DBA" w:rsidRPr="007404FA">
        <w:rPr>
          <w:rFonts w:ascii="Times New Roman" w:eastAsia="Calibri" w:hAnsi="Times New Roman" w:cs="Times New Roman"/>
          <w:sz w:val="24"/>
          <w:szCs w:val="24"/>
        </w:rPr>
        <w:t xml:space="preserve"> през 2022</w:t>
      </w:r>
      <w:r w:rsidR="00F06583" w:rsidRPr="007404FA">
        <w:rPr>
          <w:rFonts w:ascii="Times New Roman" w:eastAsia="Calibri" w:hAnsi="Times New Roman" w:cs="Times New Roman"/>
          <w:sz w:val="24"/>
          <w:szCs w:val="24"/>
        </w:rPr>
        <w:t> г.</w:t>
      </w:r>
      <w:r w:rsidRPr="007404FA">
        <w:rPr>
          <w:rFonts w:ascii="Times New Roman" w:eastAsia="Calibri" w:hAnsi="Times New Roman" w:cs="Times New Roman"/>
          <w:sz w:val="24"/>
          <w:szCs w:val="24"/>
        </w:rPr>
        <w:t xml:space="preserve"> запитвания от журналисти касаят основно </w:t>
      </w:r>
      <w:r w:rsidR="004D1DBA" w:rsidRPr="007404FA">
        <w:rPr>
          <w:rFonts w:ascii="Times New Roman" w:eastAsia="Calibri" w:hAnsi="Times New Roman" w:cs="Times New Roman"/>
          <w:sz w:val="24"/>
          <w:szCs w:val="24"/>
        </w:rPr>
        <w:t>жалби и сигнали, извършени</w:t>
      </w:r>
      <w:r w:rsidRPr="007404FA">
        <w:rPr>
          <w:rFonts w:ascii="Times New Roman" w:eastAsia="Calibri" w:hAnsi="Times New Roman" w:cs="Times New Roman"/>
          <w:sz w:val="24"/>
          <w:szCs w:val="24"/>
        </w:rPr>
        <w:t xml:space="preserve"> проверки/одит</w:t>
      </w:r>
      <w:r w:rsidR="004D1DBA" w:rsidRPr="007404FA">
        <w:rPr>
          <w:rFonts w:ascii="Times New Roman" w:eastAsia="Calibri" w:hAnsi="Times New Roman" w:cs="Times New Roman"/>
          <w:sz w:val="24"/>
          <w:szCs w:val="24"/>
        </w:rPr>
        <w:t>и, издадени</w:t>
      </w:r>
      <w:r w:rsidRPr="007404FA">
        <w:rPr>
          <w:rFonts w:ascii="Times New Roman" w:eastAsia="Calibri" w:hAnsi="Times New Roman" w:cs="Times New Roman"/>
          <w:sz w:val="24"/>
          <w:szCs w:val="24"/>
        </w:rPr>
        <w:t xml:space="preserve"> АУАН и НП и упражняването на корективните правомощия по</w:t>
      </w:r>
      <w:r w:rsidR="00F06583" w:rsidRPr="007404FA">
        <w:rPr>
          <w:rFonts w:ascii="Times New Roman" w:eastAsia="Calibri" w:hAnsi="Times New Roman" w:cs="Times New Roman"/>
          <w:sz w:val="24"/>
          <w:szCs w:val="24"/>
        </w:rPr>
        <w:t xml:space="preserve"> чл. </w:t>
      </w:r>
      <w:r w:rsidRPr="007404FA">
        <w:rPr>
          <w:rFonts w:ascii="Times New Roman" w:eastAsia="Calibri" w:hAnsi="Times New Roman" w:cs="Times New Roman"/>
          <w:sz w:val="24"/>
          <w:szCs w:val="24"/>
        </w:rPr>
        <w:t>58, §2 от Регламент (ЕС) 2016/679. В осъществените интервюта с председателя на Комисията Венцислав Караджов през отчетния период са обсъдени темите за видеонаблюдение, обработване на лични данни в частния сектор, опазване на личните данни и други.</w:t>
      </w:r>
      <w:r w:rsidR="00F64A63" w:rsidRPr="007404FA">
        <w:rPr>
          <w:rFonts w:ascii="Times New Roman" w:eastAsia="Calibri" w:hAnsi="Times New Roman" w:cs="Times New Roman"/>
          <w:b/>
          <w:bCs/>
          <w:sz w:val="24"/>
          <w:szCs w:val="24"/>
        </w:rPr>
        <w:br w:type="page"/>
      </w:r>
    </w:p>
    <w:p w:rsidR="00E42714" w:rsidRPr="002472B6" w:rsidRDefault="00E42714" w:rsidP="002472B6">
      <w:pPr>
        <w:pStyle w:val="Heading1"/>
        <w:spacing w:before="0" w:line="360" w:lineRule="auto"/>
        <w:ind w:firstLine="709"/>
        <w:rPr>
          <w:rFonts w:ascii="Times New Roman" w:hAnsi="Times New Roman" w:cs="Times New Roman"/>
          <w:sz w:val="24"/>
          <w:szCs w:val="24"/>
        </w:rPr>
      </w:pPr>
      <w:bookmarkStart w:id="10" w:name="_Toc130915387"/>
      <w:r w:rsidRPr="002472B6">
        <w:rPr>
          <w:rFonts w:ascii="Times New Roman" w:hAnsi="Times New Roman" w:cs="Times New Roman"/>
          <w:sz w:val="24"/>
          <w:szCs w:val="24"/>
        </w:rPr>
        <w:lastRenderedPageBreak/>
        <w:t>XI. АДМИНИСТРАТИВЕН КАПАЦИТЕТ И ФИНАНСОВИ РЕСУРСИ</w:t>
      </w:r>
      <w:bookmarkEnd w:id="10"/>
    </w:p>
    <w:p w:rsidR="00E42714" w:rsidRPr="007404FA" w:rsidRDefault="00E42714" w:rsidP="00DB6B05">
      <w:pPr>
        <w:spacing w:line="360" w:lineRule="auto"/>
        <w:ind w:firstLine="709"/>
        <w:jc w:val="both"/>
        <w:rPr>
          <w:rFonts w:ascii="Times New Roman" w:eastAsia="Calibri" w:hAnsi="Times New Roman" w:cs="Times New Roman"/>
          <w:sz w:val="24"/>
          <w:szCs w:val="24"/>
        </w:rPr>
      </w:pPr>
    </w:p>
    <w:p w:rsidR="001B4178" w:rsidRPr="007404FA" w:rsidRDefault="001B4178" w:rsidP="00DB6B05">
      <w:pPr>
        <w:numPr>
          <w:ilvl w:val="0"/>
          <w:numId w:val="10"/>
        </w:numPr>
        <w:suppressAutoHyphens/>
        <w:autoSpaceDN w:val="0"/>
        <w:spacing w:line="360" w:lineRule="auto"/>
        <w:ind w:left="0" w:firstLine="709"/>
        <w:jc w:val="both"/>
        <w:textAlignment w:val="baseline"/>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Административен капацитет.</w:t>
      </w:r>
    </w:p>
    <w:p w:rsidR="001B4178" w:rsidRPr="007404FA" w:rsidRDefault="001B4178"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Общата численост на персонала към 31.12.2022</w:t>
      </w:r>
      <w:r w:rsidR="00F06583" w:rsidRPr="007404FA">
        <w:rPr>
          <w:rFonts w:ascii="Times New Roman" w:eastAsia="Calibri" w:hAnsi="Times New Roman" w:cs="Times New Roman"/>
          <w:sz w:val="24"/>
          <w:szCs w:val="24"/>
        </w:rPr>
        <w:t> г.</w:t>
      </w:r>
      <w:r w:rsidRPr="007404FA">
        <w:rPr>
          <w:rFonts w:ascii="Times New Roman" w:eastAsia="Calibri" w:hAnsi="Times New Roman" w:cs="Times New Roman"/>
          <w:sz w:val="24"/>
          <w:szCs w:val="24"/>
        </w:rPr>
        <w:t xml:space="preserve"> е 87 щатни бройки. Недостигът на достатъчно финансови и човешки ресурси, които да гарантират адекватно, навременно и качествено изпълнение на надзорните ѝ функции е приоритетен въпрос, за който Комисията предприема действия през 2022</w:t>
      </w:r>
      <w:r w:rsidR="00F06583" w:rsidRPr="007404FA">
        <w:rPr>
          <w:rFonts w:ascii="Times New Roman" w:eastAsia="Calibri" w:hAnsi="Times New Roman" w:cs="Times New Roman"/>
          <w:sz w:val="24"/>
          <w:szCs w:val="24"/>
        </w:rPr>
        <w:t> г.</w:t>
      </w:r>
      <w:r w:rsidRPr="007404FA">
        <w:rPr>
          <w:rFonts w:ascii="Times New Roman" w:eastAsia="Calibri" w:hAnsi="Times New Roman" w:cs="Times New Roman"/>
          <w:sz w:val="24"/>
          <w:szCs w:val="24"/>
        </w:rPr>
        <w:t xml:space="preserve"> чрез обявяването на конкурси и процедури по мобилност за общо 8 свободни позиции. За целия отчетен период са проведени 5 конкурса и процедури за мобилност и са назначени 11 служители, от които 9 по служебно правоотношение и двама по трудово правоотношение. Един служител е назначен чрез мобилност в държавната администрация по</w:t>
      </w:r>
      <w:r w:rsidR="00F06583" w:rsidRPr="007404FA">
        <w:rPr>
          <w:rFonts w:ascii="Times New Roman" w:eastAsia="Calibri" w:hAnsi="Times New Roman" w:cs="Times New Roman"/>
          <w:sz w:val="24"/>
          <w:szCs w:val="24"/>
        </w:rPr>
        <w:t xml:space="preserve"> чл. </w:t>
      </w:r>
      <w:r w:rsidRPr="007404FA">
        <w:rPr>
          <w:rFonts w:ascii="Times New Roman" w:eastAsia="Calibri" w:hAnsi="Times New Roman" w:cs="Times New Roman"/>
          <w:sz w:val="24"/>
          <w:szCs w:val="24"/>
        </w:rPr>
        <w:t xml:space="preserve">81а от Закона за държавния служител. </w:t>
      </w:r>
    </w:p>
    <w:p w:rsidR="001B4178" w:rsidRPr="007404FA" w:rsidRDefault="001B4178"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Към 31.12.2022</w:t>
      </w:r>
      <w:r w:rsidR="00F06583" w:rsidRPr="007404FA">
        <w:rPr>
          <w:rFonts w:ascii="Times New Roman" w:eastAsia="Calibri" w:hAnsi="Times New Roman" w:cs="Times New Roman"/>
          <w:sz w:val="24"/>
          <w:szCs w:val="24"/>
        </w:rPr>
        <w:t> г.</w:t>
      </w:r>
      <w:r w:rsidRPr="007404FA">
        <w:rPr>
          <w:rFonts w:ascii="Times New Roman" w:eastAsia="Calibri" w:hAnsi="Times New Roman" w:cs="Times New Roman"/>
          <w:sz w:val="24"/>
          <w:szCs w:val="24"/>
        </w:rPr>
        <w:t xml:space="preserve"> в КЗЛД работят 56 служители по служебно правоотношение и 17 по трудово правоотношение (в това число председателят и членовете на КЗЛД).</w:t>
      </w:r>
    </w:p>
    <w:p w:rsidR="001B4178" w:rsidRPr="007404FA" w:rsidRDefault="001B4178"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 xml:space="preserve">През отчетния период в ранг са повишени 12 служители. </w:t>
      </w:r>
    </w:p>
    <w:p w:rsidR="001B4178" w:rsidRPr="007404FA" w:rsidRDefault="001B4178"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През 2022</w:t>
      </w:r>
      <w:r w:rsidR="00F06583" w:rsidRPr="007404FA">
        <w:rPr>
          <w:rFonts w:ascii="Times New Roman" w:eastAsia="Calibri" w:hAnsi="Times New Roman" w:cs="Times New Roman"/>
          <w:sz w:val="24"/>
          <w:szCs w:val="24"/>
        </w:rPr>
        <w:t> г.</w:t>
      </w:r>
      <w:r w:rsidRPr="007404FA">
        <w:rPr>
          <w:rFonts w:ascii="Times New Roman" w:eastAsia="Calibri" w:hAnsi="Times New Roman" w:cs="Times New Roman"/>
          <w:sz w:val="24"/>
          <w:szCs w:val="24"/>
        </w:rPr>
        <w:t xml:space="preserve"> чрез процедура по мобилност в държавната администрация e напуснал един служител на КЗЛД. </w:t>
      </w:r>
    </w:p>
    <w:p w:rsidR="001B4178" w:rsidRPr="007404FA" w:rsidRDefault="001B4178"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През 2022</w:t>
      </w:r>
      <w:r w:rsidR="00F06583" w:rsidRPr="007404FA">
        <w:rPr>
          <w:rFonts w:ascii="Times New Roman" w:hAnsi="Times New Roman" w:cs="Times New Roman"/>
          <w:sz w:val="24"/>
          <w:szCs w:val="24"/>
        </w:rPr>
        <w:t> г.</w:t>
      </w:r>
      <w:r w:rsidR="00584332">
        <w:rPr>
          <w:rFonts w:ascii="Times New Roman" w:hAnsi="Times New Roman" w:cs="Times New Roman"/>
          <w:sz w:val="24"/>
          <w:szCs w:val="24"/>
        </w:rPr>
        <w:t xml:space="preserve"> общо 39 служители</w:t>
      </w:r>
      <w:r w:rsidRPr="007404FA">
        <w:rPr>
          <w:rFonts w:ascii="Times New Roman" w:hAnsi="Times New Roman" w:cs="Times New Roman"/>
          <w:sz w:val="24"/>
          <w:szCs w:val="24"/>
        </w:rPr>
        <w:t xml:space="preserve"> са преминали през различни </w:t>
      </w:r>
      <w:r w:rsidR="006E7480" w:rsidRPr="007404FA">
        <w:rPr>
          <w:rFonts w:ascii="Times New Roman" w:hAnsi="Times New Roman" w:cs="Times New Roman"/>
          <w:sz w:val="24"/>
          <w:szCs w:val="24"/>
        </w:rPr>
        <w:t>тематични</w:t>
      </w:r>
      <w:r w:rsidRPr="007404FA">
        <w:rPr>
          <w:rFonts w:ascii="Times New Roman" w:hAnsi="Times New Roman" w:cs="Times New Roman"/>
          <w:sz w:val="24"/>
          <w:szCs w:val="24"/>
        </w:rPr>
        <w:t xml:space="preserve"> обучения. Общия</w:t>
      </w:r>
      <w:r w:rsidR="00584332">
        <w:rPr>
          <w:rFonts w:ascii="Times New Roman" w:hAnsi="Times New Roman" w:cs="Times New Roman"/>
          <w:sz w:val="24"/>
          <w:szCs w:val="24"/>
        </w:rPr>
        <w:t>т</w:t>
      </w:r>
      <w:r w:rsidRPr="007404FA">
        <w:rPr>
          <w:rFonts w:ascii="Times New Roman" w:hAnsi="Times New Roman" w:cs="Times New Roman"/>
          <w:sz w:val="24"/>
          <w:szCs w:val="24"/>
        </w:rPr>
        <w:t xml:space="preserve"> брой на обученията</w:t>
      </w:r>
      <w:r w:rsidR="00BA252F" w:rsidRPr="007404FA">
        <w:rPr>
          <w:rFonts w:ascii="Times New Roman" w:hAnsi="Times New Roman" w:cs="Times New Roman"/>
          <w:sz w:val="24"/>
          <w:szCs w:val="24"/>
        </w:rPr>
        <w:t>,</w:t>
      </w:r>
      <w:r w:rsidRPr="007404FA">
        <w:rPr>
          <w:rFonts w:ascii="Times New Roman" w:hAnsi="Times New Roman" w:cs="Times New Roman"/>
          <w:sz w:val="24"/>
          <w:szCs w:val="24"/>
        </w:rPr>
        <w:t xml:space="preserve"> приключили с </w:t>
      </w:r>
      <w:r w:rsidR="00BA252F" w:rsidRPr="007404FA">
        <w:rPr>
          <w:rFonts w:ascii="Times New Roman" w:hAnsi="Times New Roman" w:cs="Times New Roman"/>
          <w:sz w:val="24"/>
          <w:szCs w:val="24"/>
        </w:rPr>
        <w:t>издаване</w:t>
      </w:r>
      <w:r w:rsidRPr="007404FA">
        <w:rPr>
          <w:rFonts w:ascii="Times New Roman" w:hAnsi="Times New Roman" w:cs="Times New Roman"/>
          <w:sz w:val="24"/>
          <w:szCs w:val="24"/>
        </w:rPr>
        <w:t xml:space="preserve"> на сертификати</w:t>
      </w:r>
      <w:r w:rsidR="00BA252F" w:rsidRPr="007404FA">
        <w:rPr>
          <w:rFonts w:ascii="Times New Roman" w:hAnsi="Times New Roman" w:cs="Times New Roman"/>
          <w:sz w:val="24"/>
          <w:szCs w:val="24"/>
        </w:rPr>
        <w:t>,</w:t>
      </w:r>
      <w:r w:rsidRPr="007404FA">
        <w:rPr>
          <w:rFonts w:ascii="Times New Roman" w:hAnsi="Times New Roman" w:cs="Times New Roman"/>
          <w:sz w:val="24"/>
          <w:szCs w:val="24"/>
        </w:rPr>
        <w:t xml:space="preserve"> е 65. Обученията по теми се разделят, както следва: </w:t>
      </w:r>
    </w:p>
    <w:p w:rsidR="001B4178" w:rsidRPr="007404FA" w:rsidRDefault="00584332" w:rsidP="00DB6B05">
      <w:pPr>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„Кибер</w:t>
      </w:r>
      <w:r w:rsidR="001B4178" w:rsidRPr="007404FA">
        <w:rPr>
          <w:rFonts w:ascii="Times New Roman" w:hAnsi="Times New Roman" w:cs="Times New Roman"/>
          <w:sz w:val="24"/>
          <w:szCs w:val="24"/>
        </w:rPr>
        <w:t>хигиена при използване на електронната поща“</w:t>
      </w:r>
      <w:r w:rsidR="00553661" w:rsidRPr="007404FA">
        <w:rPr>
          <w:rFonts w:ascii="Times New Roman" w:hAnsi="Times New Roman" w:cs="Times New Roman"/>
          <w:sz w:val="24"/>
          <w:szCs w:val="24"/>
        </w:rPr>
        <w:t xml:space="preserve"> – </w:t>
      </w:r>
      <w:r w:rsidR="001B4178" w:rsidRPr="007404FA">
        <w:rPr>
          <w:rFonts w:ascii="Times New Roman" w:hAnsi="Times New Roman" w:cs="Times New Roman"/>
          <w:sz w:val="24"/>
          <w:szCs w:val="24"/>
        </w:rPr>
        <w:t xml:space="preserve">25 </w:t>
      </w:r>
      <w:r>
        <w:rPr>
          <w:rFonts w:ascii="Times New Roman" w:hAnsi="Times New Roman" w:cs="Times New Roman"/>
          <w:sz w:val="24"/>
          <w:szCs w:val="24"/>
        </w:rPr>
        <w:t>служители</w:t>
      </w:r>
      <w:r w:rsidR="001B4178" w:rsidRPr="007404FA">
        <w:rPr>
          <w:rFonts w:ascii="Times New Roman" w:hAnsi="Times New Roman" w:cs="Times New Roman"/>
          <w:sz w:val="24"/>
          <w:szCs w:val="24"/>
        </w:rPr>
        <w:t xml:space="preserve">; </w:t>
      </w:r>
    </w:p>
    <w:p w:rsidR="001B4178" w:rsidRPr="007404FA" w:rsidRDefault="001B4178" w:rsidP="00DB6B05">
      <w:pPr>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cs="Times New Roman"/>
          <w:sz w:val="24"/>
          <w:szCs w:val="24"/>
        </w:rPr>
      </w:pPr>
      <w:r w:rsidRPr="007404FA">
        <w:rPr>
          <w:rFonts w:ascii="Times New Roman" w:hAnsi="Times New Roman" w:cs="Times New Roman"/>
          <w:sz w:val="24"/>
          <w:szCs w:val="24"/>
        </w:rPr>
        <w:t>„Въведение в държавната служба“</w:t>
      </w:r>
      <w:r w:rsidR="00553661" w:rsidRPr="007404FA">
        <w:rPr>
          <w:rFonts w:ascii="Times New Roman" w:hAnsi="Times New Roman" w:cs="Times New Roman"/>
          <w:sz w:val="24"/>
          <w:szCs w:val="24"/>
        </w:rPr>
        <w:t xml:space="preserve"> – </w:t>
      </w:r>
      <w:r w:rsidR="00584332">
        <w:rPr>
          <w:rFonts w:ascii="Times New Roman" w:hAnsi="Times New Roman" w:cs="Times New Roman"/>
          <w:sz w:val="24"/>
          <w:szCs w:val="24"/>
        </w:rPr>
        <w:t>6 служители</w:t>
      </w:r>
      <w:r w:rsidRPr="007404FA">
        <w:rPr>
          <w:rFonts w:ascii="Times New Roman" w:hAnsi="Times New Roman" w:cs="Times New Roman"/>
          <w:sz w:val="24"/>
          <w:szCs w:val="24"/>
        </w:rPr>
        <w:t>;</w:t>
      </w:r>
    </w:p>
    <w:p w:rsidR="001B4178" w:rsidRPr="007404FA" w:rsidRDefault="001B4178" w:rsidP="00DB6B05">
      <w:pPr>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cs="Times New Roman"/>
          <w:sz w:val="24"/>
          <w:szCs w:val="24"/>
        </w:rPr>
      </w:pPr>
      <w:r w:rsidRPr="007404FA">
        <w:rPr>
          <w:rFonts w:ascii="Times New Roman" w:hAnsi="Times New Roman" w:cs="Times New Roman"/>
          <w:sz w:val="24"/>
          <w:szCs w:val="24"/>
        </w:rPr>
        <w:t>„Въведение в държавната служба</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ел. модули“</w:t>
      </w:r>
      <w:r w:rsidR="00553661" w:rsidRPr="007404FA">
        <w:rPr>
          <w:rFonts w:ascii="Times New Roman" w:hAnsi="Times New Roman" w:cs="Times New Roman"/>
          <w:sz w:val="24"/>
          <w:szCs w:val="24"/>
        </w:rPr>
        <w:t xml:space="preserve"> – </w:t>
      </w:r>
      <w:r w:rsidR="00584332">
        <w:rPr>
          <w:rFonts w:ascii="Times New Roman" w:hAnsi="Times New Roman" w:cs="Times New Roman"/>
          <w:sz w:val="24"/>
          <w:szCs w:val="24"/>
        </w:rPr>
        <w:t>6 служители</w:t>
      </w:r>
      <w:r w:rsidRPr="007404FA">
        <w:rPr>
          <w:rFonts w:ascii="Times New Roman" w:hAnsi="Times New Roman" w:cs="Times New Roman"/>
          <w:sz w:val="24"/>
          <w:szCs w:val="24"/>
        </w:rPr>
        <w:t>;</w:t>
      </w:r>
    </w:p>
    <w:p w:rsidR="001B4178" w:rsidRPr="007404FA" w:rsidRDefault="001B4178" w:rsidP="00DB6B05">
      <w:pPr>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cs="Times New Roman"/>
          <w:sz w:val="24"/>
          <w:szCs w:val="24"/>
        </w:rPr>
      </w:pPr>
      <w:r w:rsidRPr="007404FA">
        <w:rPr>
          <w:rFonts w:ascii="Times New Roman" w:hAnsi="Times New Roman" w:cs="Times New Roman"/>
          <w:sz w:val="24"/>
          <w:szCs w:val="24"/>
        </w:rPr>
        <w:t>„Достъп до обществена информация“</w:t>
      </w:r>
      <w:r w:rsidR="00553661" w:rsidRPr="007404FA">
        <w:rPr>
          <w:rFonts w:ascii="Times New Roman" w:hAnsi="Times New Roman" w:cs="Times New Roman"/>
          <w:sz w:val="24"/>
          <w:szCs w:val="24"/>
        </w:rPr>
        <w:t xml:space="preserve"> – </w:t>
      </w:r>
      <w:r w:rsidR="00584332">
        <w:rPr>
          <w:rFonts w:ascii="Times New Roman" w:hAnsi="Times New Roman" w:cs="Times New Roman"/>
          <w:sz w:val="24"/>
          <w:szCs w:val="24"/>
        </w:rPr>
        <w:t>6 служители</w:t>
      </w:r>
      <w:r w:rsidRPr="007404FA">
        <w:rPr>
          <w:rFonts w:ascii="Times New Roman" w:hAnsi="Times New Roman" w:cs="Times New Roman"/>
          <w:sz w:val="24"/>
          <w:szCs w:val="24"/>
        </w:rPr>
        <w:t xml:space="preserve">; </w:t>
      </w:r>
    </w:p>
    <w:p w:rsidR="001B4178" w:rsidRPr="007404FA" w:rsidRDefault="001B4178" w:rsidP="00DB6B05">
      <w:pPr>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cs="Times New Roman"/>
          <w:sz w:val="24"/>
          <w:szCs w:val="24"/>
        </w:rPr>
      </w:pPr>
      <w:r w:rsidRPr="007404FA">
        <w:rPr>
          <w:rFonts w:ascii="Times New Roman" w:hAnsi="Times New Roman" w:cs="Times New Roman"/>
          <w:sz w:val="24"/>
          <w:szCs w:val="24"/>
        </w:rPr>
        <w:t>„Политики за научни изследвания, иновации и технологичен трансфер“</w:t>
      </w:r>
      <w:r w:rsidR="00553661" w:rsidRPr="007404FA">
        <w:rPr>
          <w:rFonts w:ascii="Times New Roman" w:hAnsi="Times New Roman" w:cs="Times New Roman"/>
          <w:sz w:val="24"/>
          <w:szCs w:val="24"/>
        </w:rPr>
        <w:t xml:space="preserve"> – </w:t>
      </w:r>
      <w:r w:rsidR="00584332">
        <w:rPr>
          <w:rFonts w:ascii="Times New Roman" w:hAnsi="Times New Roman" w:cs="Times New Roman"/>
          <w:sz w:val="24"/>
          <w:szCs w:val="24"/>
        </w:rPr>
        <w:t>двама служители</w:t>
      </w:r>
      <w:r w:rsidRPr="007404FA">
        <w:rPr>
          <w:rFonts w:ascii="Times New Roman" w:hAnsi="Times New Roman" w:cs="Times New Roman"/>
          <w:sz w:val="24"/>
          <w:szCs w:val="24"/>
        </w:rPr>
        <w:t>;</w:t>
      </w:r>
    </w:p>
    <w:p w:rsidR="001B4178" w:rsidRPr="007404FA" w:rsidRDefault="001B4178" w:rsidP="00DB6B05">
      <w:pPr>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cs="Times New Roman"/>
          <w:sz w:val="24"/>
          <w:szCs w:val="24"/>
        </w:rPr>
      </w:pPr>
      <w:r w:rsidRPr="007404FA">
        <w:rPr>
          <w:rFonts w:ascii="Times New Roman" w:hAnsi="Times New Roman" w:cs="Times New Roman"/>
          <w:sz w:val="24"/>
          <w:szCs w:val="24"/>
        </w:rPr>
        <w:t>„Правна уредба на защитата на личните данни“</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един служител;</w:t>
      </w:r>
    </w:p>
    <w:p w:rsidR="001B4178" w:rsidRPr="007404FA" w:rsidRDefault="001B4178" w:rsidP="00DB6B05">
      <w:pPr>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cs="Times New Roman"/>
          <w:sz w:val="24"/>
          <w:szCs w:val="24"/>
        </w:rPr>
      </w:pPr>
      <w:r w:rsidRPr="007404FA">
        <w:rPr>
          <w:rFonts w:ascii="Times New Roman" w:hAnsi="Times New Roman" w:cs="Times New Roman"/>
          <w:sz w:val="24"/>
          <w:szCs w:val="24"/>
        </w:rPr>
        <w:t>„Защита на личните данни в дигитална среда“</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един служител;</w:t>
      </w:r>
    </w:p>
    <w:p w:rsidR="001B4178" w:rsidRPr="007404FA" w:rsidRDefault="001B4178" w:rsidP="00DB6B05">
      <w:pPr>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cs="Times New Roman"/>
          <w:sz w:val="24"/>
          <w:szCs w:val="24"/>
        </w:rPr>
      </w:pPr>
      <w:r w:rsidRPr="007404FA">
        <w:rPr>
          <w:rFonts w:ascii="Times New Roman" w:hAnsi="Times New Roman" w:cs="Times New Roman"/>
          <w:sz w:val="24"/>
          <w:szCs w:val="24"/>
        </w:rPr>
        <w:t>„Предизвикателството да управляваш</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ел. модули“</w:t>
      </w:r>
      <w:r w:rsidR="00553661" w:rsidRPr="007404FA">
        <w:rPr>
          <w:rFonts w:ascii="Times New Roman" w:hAnsi="Times New Roman" w:cs="Times New Roman"/>
          <w:sz w:val="24"/>
          <w:szCs w:val="24"/>
        </w:rPr>
        <w:t xml:space="preserve"> – </w:t>
      </w:r>
      <w:r w:rsidR="00584332" w:rsidRPr="007404FA">
        <w:rPr>
          <w:rFonts w:ascii="Times New Roman" w:hAnsi="Times New Roman" w:cs="Times New Roman"/>
          <w:sz w:val="24"/>
          <w:szCs w:val="24"/>
        </w:rPr>
        <w:t>двама служители</w:t>
      </w:r>
      <w:r w:rsidRPr="007404FA">
        <w:rPr>
          <w:rFonts w:ascii="Times New Roman" w:hAnsi="Times New Roman" w:cs="Times New Roman"/>
          <w:sz w:val="24"/>
          <w:szCs w:val="24"/>
        </w:rPr>
        <w:t>;</w:t>
      </w:r>
    </w:p>
    <w:p w:rsidR="001B4178" w:rsidRPr="007404FA" w:rsidRDefault="001B4178" w:rsidP="00DB6B05">
      <w:pPr>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cs="Times New Roman"/>
          <w:sz w:val="24"/>
          <w:szCs w:val="24"/>
        </w:rPr>
      </w:pPr>
      <w:r w:rsidRPr="007404FA">
        <w:rPr>
          <w:rFonts w:ascii="Times New Roman" w:hAnsi="Times New Roman" w:cs="Times New Roman"/>
          <w:sz w:val="24"/>
          <w:szCs w:val="24"/>
        </w:rPr>
        <w:t>„Иновации в публичния сектор“</w:t>
      </w:r>
      <w:r w:rsidR="00553661" w:rsidRPr="007404FA">
        <w:rPr>
          <w:rFonts w:ascii="Times New Roman" w:hAnsi="Times New Roman" w:cs="Times New Roman"/>
          <w:sz w:val="24"/>
          <w:szCs w:val="24"/>
        </w:rPr>
        <w:t xml:space="preserve"> – </w:t>
      </w:r>
      <w:r w:rsidR="00584332" w:rsidRPr="007404FA">
        <w:rPr>
          <w:rFonts w:ascii="Times New Roman" w:hAnsi="Times New Roman" w:cs="Times New Roman"/>
          <w:sz w:val="24"/>
          <w:szCs w:val="24"/>
        </w:rPr>
        <w:t>двама служители</w:t>
      </w:r>
      <w:r w:rsidRPr="007404FA">
        <w:rPr>
          <w:rFonts w:ascii="Times New Roman" w:hAnsi="Times New Roman" w:cs="Times New Roman"/>
          <w:sz w:val="24"/>
          <w:szCs w:val="24"/>
        </w:rPr>
        <w:t>;</w:t>
      </w:r>
    </w:p>
    <w:p w:rsidR="001B4178" w:rsidRPr="007404FA" w:rsidRDefault="00584332" w:rsidP="00DB6B05">
      <w:pPr>
        <w:widowControl w:val="0"/>
        <w:numPr>
          <w:ilvl w:val="0"/>
          <w:numId w:val="36"/>
        </w:numPr>
        <w:tabs>
          <w:tab w:val="left" w:pos="993"/>
          <w:tab w:val="left" w:pos="1134"/>
        </w:tabs>
        <w:autoSpaceDE w:val="0"/>
        <w:autoSpaceDN w:val="0"/>
        <w:adjustRightInd w:val="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„Кибер</w:t>
      </w:r>
      <w:r w:rsidR="001B4178" w:rsidRPr="007404FA">
        <w:rPr>
          <w:rFonts w:ascii="Times New Roman" w:hAnsi="Times New Roman" w:cs="Times New Roman"/>
          <w:sz w:val="24"/>
          <w:szCs w:val="24"/>
        </w:rPr>
        <w:t>сигурност: активи, заплахи, рискове“</w:t>
      </w:r>
      <w:r w:rsidR="00553661" w:rsidRPr="007404FA">
        <w:rPr>
          <w:rFonts w:ascii="Times New Roman" w:hAnsi="Times New Roman" w:cs="Times New Roman"/>
          <w:sz w:val="24"/>
          <w:szCs w:val="24"/>
        </w:rPr>
        <w:t xml:space="preserve"> – </w:t>
      </w:r>
      <w:r w:rsidR="001B4178" w:rsidRPr="007404FA">
        <w:rPr>
          <w:rFonts w:ascii="Times New Roman" w:hAnsi="Times New Roman" w:cs="Times New Roman"/>
          <w:sz w:val="24"/>
          <w:szCs w:val="24"/>
        </w:rPr>
        <w:t>един служител;</w:t>
      </w:r>
    </w:p>
    <w:p w:rsidR="001B4178" w:rsidRPr="007404FA" w:rsidRDefault="001B4178" w:rsidP="00DB6B05">
      <w:pPr>
        <w:widowControl w:val="0"/>
        <w:numPr>
          <w:ilvl w:val="0"/>
          <w:numId w:val="36"/>
        </w:numPr>
        <w:tabs>
          <w:tab w:val="left" w:pos="1134"/>
        </w:tabs>
        <w:autoSpaceDE w:val="0"/>
        <w:autoSpaceDN w:val="0"/>
        <w:adjustRightInd w:val="0"/>
        <w:spacing w:line="360" w:lineRule="auto"/>
        <w:ind w:left="0" w:firstLine="709"/>
        <w:jc w:val="both"/>
        <w:rPr>
          <w:rFonts w:ascii="Times New Roman" w:hAnsi="Times New Roman" w:cs="Times New Roman"/>
          <w:sz w:val="24"/>
          <w:szCs w:val="24"/>
        </w:rPr>
      </w:pPr>
      <w:r w:rsidRPr="007404FA">
        <w:rPr>
          <w:rFonts w:ascii="Times New Roman" w:hAnsi="Times New Roman" w:cs="Times New Roman"/>
          <w:sz w:val="24"/>
          <w:szCs w:val="24"/>
        </w:rPr>
        <w:t>„Ефективни модели за лидерство в конфликтни и кризисни ситуации. Преговори и управление на промяната“</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един служител;</w:t>
      </w:r>
    </w:p>
    <w:p w:rsidR="001B4178" w:rsidRPr="00993E64" w:rsidRDefault="001B4178" w:rsidP="00DB6B05">
      <w:pPr>
        <w:widowControl w:val="0"/>
        <w:numPr>
          <w:ilvl w:val="0"/>
          <w:numId w:val="36"/>
        </w:numPr>
        <w:tabs>
          <w:tab w:val="left" w:pos="1134"/>
        </w:tabs>
        <w:autoSpaceDE w:val="0"/>
        <w:autoSpaceDN w:val="0"/>
        <w:adjustRightInd w:val="0"/>
        <w:spacing w:line="360" w:lineRule="auto"/>
        <w:ind w:left="0"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 „Информационна и мрежова сигурност в подкрепа на рефор</w:t>
      </w:r>
      <w:r w:rsidR="00584332">
        <w:rPr>
          <w:rFonts w:ascii="Times New Roman" w:hAnsi="Times New Roman" w:cs="Times New Roman"/>
          <w:sz w:val="24"/>
          <w:szCs w:val="24"/>
        </w:rPr>
        <w:t xml:space="preserve">мите в публичната </w:t>
      </w:r>
      <w:r w:rsidR="00993E64" w:rsidRPr="00993E64">
        <w:rPr>
          <w:rFonts w:ascii="Times New Roman" w:hAnsi="Times New Roman" w:cs="Times New Roman"/>
          <w:sz w:val="24"/>
          <w:szCs w:val="24"/>
        </w:rPr>
        <w:t>администрация“</w:t>
      </w:r>
      <w:r w:rsidR="00584332" w:rsidRPr="00993E64">
        <w:rPr>
          <w:rFonts w:ascii="Times New Roman" w:hAnsi="Times New Roman" w:cs="Times New Roman"/>
          <w:sz w:val="24"/>
          <w:szCs w:val="24"/>
        </w:rPr>
        <w:t xml:space="preserve"> </w:t>
      </w:r>
      <w:r w:rsidRPr="00993E64">
        <w:rPr>
          <w:rFonts w:ascii="Times New Roman" w:hAnsi="Times New Roman" w:cs="Times New Roman"/>
          <w:sz w:val="24"/>
          <w:szCs w:val="24"/>
        </w:rPr>
        <w:t>;</w:t>
      </w:r>
    </w:p>
    <w:p w:rsidR="001B4178" w:rsidRPr="007404FA" w:rsidRDefault="001B4178" w:rsidP="00DB6B05">
      <w:pPr>
        <w:widowControl w:val="0"/>
        <w:numPr>
          <w:ilvl w:val="0"/>
          <w:numId w:val="36"/>
        </w:numPr>
        <w:tabs>
          <w:tab w:val="left" w:pos="1134"/>
        </w:tabs>
        <w:autoSpaceDE w:val="0"/>
        <w:autoSpaceDN w:val="0"/>
        <w:adjustRightInd w:val="0"/>
        <w:spacing w:line="360" w:lineRule="auto"/>
        <w:ind w:left="0"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 „Нови технологии в управлението</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интернет на нещата“</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един служител;</w:t>
      </w:r>
    </w:p>
    <w:p w:rsidR="001B4178" w:rsidRPr="007404FA" w:rsidRDefault="001B4178" w:rsidP="00DB6B05">
      <w:pPr>
        <w:widowControl w:val="0"/>
        <w:numPr>
          <w:ilvl w:val="0"/>
          <w:numId w:val="36"/>
        </w:numPr>
        <w:tabs>
          <w:tab w:val="left" w:pos="1134"/>
        </w:tabs>
        <w:autoSpaceDE w:val="0"/>
        <w:autoSpaceDN w:val="0"/>
        <w:adjustRightInd w:val="0"/>
        <w:spacing w:line="360" w:lineRule="auto"/>
        <w:ind w:left="0" w:firstLine="709"/>
        <w:jc w:val="both"/>
        <w:rPr>
          <w:rFonts w:ascii="Times New Roman" w:hAnsi="Times New Roman" w:cs="Times New Roman"/>
          <w:sz w:val="24"/>
          <w:szCs w:val="24"/>
        </w:rPr>
      </w:pPr>
      <w:r w:rsidRPr="007404FA">
        <w:rPr>
          <w:rFonts w:ascii="Times New Roman" w:hAnsi="Times New Roman" w:cs="Times New Roman"/>
          <w:sz w:val="24"/>
          <w:szCs w:val="24"/>
        </w:rPr>
        <w:lastRenderedPageBreak/>
        <w:t xml:space="preserve"> „Нови технологии в обучението облачни технологии“</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един служител;</w:t>
      </w:r>
    </w:p>
    <w:p w:rsidR="001B4178" w:rsidRPr="007404FA" w:rsidRDefault="001B4178" w:rsidP="00DB6B05">
      <w:pPr>
        <w:widowControl w:val="0"/>
        <w:numPr>
          <w:ilvl w:val="0"/>
          <w:numId w:val="36"/>
        </w:numPr>
        <w:tabs>
          <w:tab w:val="left" w:pos="1134"/>
        </w:tabs>
        <w:autoSpaceDE w:val="0"/>
        <w:autoSpaceDN w:val="0"/>
        <w:adjustRightInd w:val="0"/>
        <w:spacing w:line="360" w:lineRule="auto"/>
        <w:ind w:left="0"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 „Въведение в цифровите права“</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един служител;</w:t>
      </w:r>
    </w:p>
    <w:p w:rsidR="001B4178" w:rsidRPr="007404FA" w:rsidRDefault="001B4178" w:rsidP="00DB6B05">
      <w:pPr>
        <w:widowControl w:val="0"/>
        <w:numPr>
          <w:ilvl w:val="0"/>
          <w:numId w:val="36"/>
        </w:numPr>
        <w:tabs>
          <w:tab w:val="left" w:pos="1134"/>
        </w:tabs>
        <w:autoSpaceDE w:val="0"/>
        <w:autoSpaceDN w:val="0"/>
        <w:adjustRightInd w:val="0"/>
        <w:spacing w:line="360" w:lineRule="auto"/>
        <w:ind w:left="0"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 „Социални мрежи в публични сектор</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създаване и управление“</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 xml:space="preserve">един служител; </w:t>
      </w:r>
    </w:p>
    <w:p w:rsidR="001B4178" w:rsidRPr="007404FA" w:rsidRDefault="001B4178" w:rsidP="00DB6B05">
      <w:pPr>
        <w:widowControl w:val="0"/>
        <w:numPr>
          <w:ilvl w:val="0"/>
          <w:numId w:val="36"/>
        </w:numPr>
        <w:tabs>
          <w:tab w:val="left" w:pos="1134"/>
        </w:tabs>
        <w:autoSpaceDE w:val="0"/>
        <w:autoSpaceDN w:val="0"/>
        <w:adjustRightInd w:val="0"/>
        <w:spacing w:line="360" w:lineRule="auto"/>
        <w:ind w:left="0"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 „Лятна академия за млади лидери“</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един служител.</w:t>
      </w:r>
    </w:p>
    <w:p w:rsidR="001B4178" w:rsidRPr="007404FA" w:rsidRDefault="001B4178"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По покана от Дипломатическия институт към министъра на външните работи на Република България по повод изпълнението на проект №</w:t>
      </w:r>
      <w:r w:rsidR="00993E64">
        <w:rPr>
          <w:rFonts w:ascii="Times New Roman" w:hAnsi="Times New Roman" w:cs="Times New Roman"/>
          <w:sz w:val="24"/>
          <w:szCs w:val="24"/>
        </w:rPr>
        <w:t> </w:t>
      </w:r>
      <w:r w:rsidRPr="007404FA">
        <w:rPr>
          <w:rFonts w:ascii="Times New Roman" w:hAnsi="Times New Roman" w:cs="Times New Roman"/>
          <w:sz w:val="24"/>
          <w:szCs w:val="24"/>
        </w:rPr>
        <w:t xml:space="preserve">BG05SFOP001-2.015-0002 с наименование „Провеждане на специализирани обучения за служители от държавната администрация“ служители на КЗЛД вземат участие в </w:t>
      </w:r>
      <w:r w:rsidRPr="007404FA">
        <w:rPr>
          <w:rFonts w:ascii="Times New Roman" w:eastAsia="Calibri" w:hAnsi="Times New Roman" w:cs="Times New Roman"/>
          <w:sz w:val="24"/>
          <w:szCs w:val="24"/>
        </w:rPr>
        <w:t>обучения, организирани от Дипломатическия институт към Министерството на външните работи</w:t>
      </w:r>
      <w:r w:rsidR="00553661" w:rsidRPr="007404FA">
        <w:rPr>
          <w:rFonts w:ascii="Times New Roman" w:eastAsia="Calibri" w:hAnsi="Times New Roman" w:cs="Times New Roman"/>
          <w:sz w:val="24"/>
          <w:szCs w:val="24"/>
        </w:rPr>
        <w:t xml:space="preserve"> – </w:t>
      </w:r>
      <w:r w:rsidRPr="007404FA">
        <w:rPr>
          <w:rFonts w:ascii="Times New Roman" w:eastAsia="Calibri" w:hAnsi="Times New Roman" w:cs="Times New Roman"/>
          <w:sz w:val="24"/>
          <w:szCs w:val="24"/>
        </w:rPr>
        <w:t>курс „Публична дипломация“ и курс „Комуникационни и презентационни умения в международна среда“.</w:t>
      </w:r>
    </w:p>
    <w:p w:rsidR="001B4178" w:rsidRPr="007404FA" w:rsidRDefault="001B4178"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Курсът се провежда в рамките на два дни, през които се разглеждат приликите и разликите между конвенционалната и публичната дипломация. Особен акцент в обучението е поставен върху публичната дипломация, осъществявана в ЕС, както и на способите за провеждане на т.нар. „дигитална дипломация“. В резултат на проведения курс взелите участие в него служители от администрацията на КЗЛД са повишили квалификацията и уменията си, нужни при участието им в различни формати на експертни работни групи както на национално, така и на европейско равнище.</w:t>
      </w:r>
    </w:p>
    <w:p w:rsidR="007546DC" w:rsidRPr="007404FA" w:rsidRDefault="007546DC"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Продължава активното участие на представители на администрацията на КЗЛД в инициативата на Института за публична администрация „Лятна академия за млади лидери в държавната администрация“. Следва да се отбележи, че участието във форумите на инициативата се осъществява след предварително кандидатстване и селекция от страна на организаторите на най-подходящите участници. През септември 2022</w:t>
      </w:r>
      <w:r w:rsidR="00F06583" w:rsidRPr="007404FA">
        <w:rPr>
          <w:rFonts w:ascii="Times New Roman" w:eastAsia="Calibri" w:hAnsi="Times New Roman" w:cs="Times New Roman"/>
          <w:sz w:val="24"/>
          <w:szCs w:val="24"/>
        </w:rPr>
        <w:t> г.</w:t>
      </w:r>
      <w:r w:rsidRPr="007404FA">
        <w:rPr>
          <w:rFonts w:ascii="Times New Roman" w:eastAsia="Calibri" w:hAnsi="Times New Roman" w:cs="Times New Roman"/>
          <w:sz w:val="24"/>
          <w:szCs w:val="24"/>
        </w:rPr>
        <w:t xml:space="preserve"> за седма поредна година е проведен началният етап на инициативата. И тази година администрацията на КЗЛД е представена от още един нов участник в началното събитие.</w:t>
      </w:r>
    </w:p>
    <w:p w:rsidR="007546DC" w:rsidRPr="007404FA" w:rsidRDefault="007546DC"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Основната цел на Академия</w:t>
      </w:r>
      <w:r w:rsidR="00221489" w:rsidRPr="007404FA">
        <w:rPr>
          <w:rFonts w:ascii="Times New Roman" w:eastAsia="Calibri" w:hAnsi="Times New Roman" w:cs="Times New Roman"/>
          <w:sz w:val="24"/>
          <w:szCs w:val="24"/>
        </w:rPr>
        <w:t>та</w:t>
      </w:r>
      <w:r w:rsidRPr="007404FA">
        <w:rPr>
          <w:rFonts w:ascii="Times New Roman" w:eastAsia="Calibri" w:hAnsi="Times New Roman" w:cs="Times New Roman"/>
          <w:sz w:val="24"/>
          <w:szCs w:val="24"/>
        </w:rPr>
        <w:t xml:space="preserve"> е краткосрочно практическо обучение на млади държавни служители с лидерски потенциал, както и създаване и развиване на мрежа от иновативни кадри на държавната администрация. Обучението е комбинация от практически задачи и лекции, свързани с изграждане на умения за защитаване на политики и проекти, умения за водене на преговори и за лобиране, за представяне пред публика, протокол и етикет. Участниците получават обща въвеждаща информация за различните лидерски стилове и се запознават с методите на водене на преговори и дипломация в ЕС. В два поредни дни фокус на вниманието </w:t>
      </w:r>
      <w:r w:rsidR="00584332">
        <w:rPr>
          <w:rFonts w:ascii="Times New Roman" w:eastAsia="Calibri" w:hAnsi="Times New Roman" w:cs="Times New Roman"/>
          <w:sz w:val="24"/>
          <w:szCs w:val="24"/>
        </w:rPr>
        <w:t>са</w:t>
      </w:r>
      <w:r w:rsidRPr="007404FA">
        <w:rPr>
          <w:rFonts w:ascii="Times New Roman" w:eastAsia="Calibri" w:hAnsi="Times New Roman" w:cs="Times New Roman"/>
          <w:sz w:val="24"/>
          <w:szCs w:val="24"/>
        </w:rPr>
        <w:t xml:space="preserve"> настоящият дневен ред на ЕС, ролята на лидерството в ЕС, възможните перспективи за ЕС и Република България. На екипен принцип е проведена симулация на преговори в стила на ЕС. Един ден е посветен на цифровото общество и неговата най-уязвима страна</w:t>
      </w:r>
      <w:r w:rsidR="00553661" w:rsidRPr="007404FA">
        <w:rPr>
          <w:rFonts w:ascii="Times New Roman" w:eastAsia="Calibri" w:hAnsi="Times New Roman" w:cs="Times New Roman"/>
          <w:sz w:val="24"/>
          <w:szCs w:val="24"/>
        </w:rPr>
        <w:t xml:space="preserve"> – </w:t>
      </w:r>
      <w:r w:rsidRPr="007404FA">
        <w:rPr>
          <w:rFonts w:ascii="Times New Roman" w:eastAsia="Calibri" w:hAnsi="Times New Roman" w:cs="Times New Roman"/>
          <w:sz w:val="24"/>
          <w:szCs w:val="24"/>
        </w:rPr>
        <w:t xml:space="preserve">киберсигурността. Дискутирано е и намирането </w:t>
      </w:r>
      <w:r w:rsidRPr="007404FA">
        <w:rPr>
          <w:rFonts w:ascii="Times New Roman" w:eastAsia="Calibri" w:hAnsi="Times New Roman" w:cs="Times New Roman"/>
          <w:sz w:val="24"/>
          <w:szCs w:val="24"/>
        </w:rPr>
        <w:lastRenderedPageBreak/>
        <w:t>на баланс между нуждите на правоприлагането и правата за поверителност. Комуникациите в социалните мрежи и оформянето на мисленето и мирогледа е друга тема, обект на целодневни дискусии. Обществената отговорност и прилагането от страна на администрацията на обществено отговорни практики са обсъдени под надслова „Екологична и достъпна администрация“.</w:t>
      </w:r>
    </w:p>
    <w:p w:rsidR="007546DC" w:rsidRPr="007404FA" w:rsidRDefault="007546DC"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По линия на Академията двама участници от нейни предходни издания са включени в три последователни обучения</w:t>
      </w:r>
      <w:r w:rsidR="00553661" w:rsidRPr="007404FA">
        <w:rPr>
          <w:rFonts w:ascii="Times New Roman" w:eastAsia="Calibri" w:hAnsi="Times New Roman" w:cs="Times New Roman"/>
          <w:sz w:val="24"/>
          <w:szCs w:val="24"/>
        </w:rPr>
        <w:t xml:space="preserve"> – </w:t>
      </w:r>
      <w:r w:rsidRPr="007404FA">
        <w:rPr>
          <w:rFonts w:ascii="Times New Roman" w:eastAsia="Calibri" w:hAnsi="Times New Roman" w:cs="Times New Roman"/>
          <w:sz w:val="24"/>
          <w:szCs w:val="24"/>
        </w:rPr>
        <w:t>„Ефективни модели на лидерство в конфликтни и кризисни ситуации. Преговори и управление на промяната“, „Киберсигурност: активи, заплахи и рискове“ (с единствен представител на администрацията на КЗЛД) и заключителното събитие за 2022</w:t>
      </w:r>
      <w:r w:rsidR="00F06583" w:rsidRPr="007404FA">
        <w:rPr>
          <w:rFonts w:ascii="Times New Roman" w:eastAsia="Calibri" w:hAnsi="Times New Roman" w:cs="Times New Roman"/>
          <w:sz w:val="24"/>
          <w:szCs w:val="24"/>
        </w:rPr>
        <w:t> г.</w:t>
      </w:r>
      <w:r w:rsidR="00553661" w:rsidRPr="007404FA">
        <w:rPr>
          <w:rFonts w:ascii="Times New Roman" w:eastAsia="Calibri" w:hAnsi="Times New Roman" w:cs="Times New Roman"/>
          <w:sz w:val="24"/>
          <w:szCs w:val="24"/>
        </w:rPr>
        <w:t xml:space="preserve"> – </w:t>
      </w:r>
      <w:r w:rsidRPr="007404FA">
        <w:rPr>
          <w:rFonts w:ascii="Times New Roman" w:eastAsia="Calibri" w:hAnsi="Times New Roman" w:cs="Times New Roman"/>
          <w:sz w:val="24"/>
          <w:szCs w:val="24"/>
        </w:rPr>
        <w:t>„Иновации в публичния сектор“ (продължение на реализирания в края на 2021</w:t>
      </w:r>
      <w:r w:rsidR="00F06583" w:rsidRPr="007404FA">
        <w:rPr>
          <w:rFonts w:ascii="Times New Roman" w:eastAsia="Calibri" w:hAnsi="Times New Roman" w:cs="Times New Roman"/>
          <w:sz w:val="24"/>
          <w:szCs w:val="24"/>
        </w:rPr>
        <w:t> г.</w:t>
      </w:r>
      <w:r w:rsidRPr="007404FA">
        <w:rPr>
          <w:rFonts w:ascii="Times New Roman" w:eastAsia="Calibri" w:hAnsi="Times New Roman" w:cs="Times New Roman"/>
          <w:sz w:val="24"/>
          <w:szCs w:val="24"/>
        </w:rPr>
        <w:t xml:space="preserve"> форум „Генератор на идеи: </w:t>
      </w:r>
      <w:r w:rsidR="00584332">
        <w:rPr>
          <w:rFonts w:ascii="Times New Roman" w:eastAsia="Calibri" w:hAnsi="Times New Roman" w:cs="Times New Roman"/>
          <w:sz w:val="24"/>
          <w:szCs w:val="24"/>
        </w:rPr>
        <w:t>п</w:t>
      </w:r>
      <w:r w:rsidRPr="007404FA">
        <w:rPr>
          <w:rFonts w:ascii="Times New Roman" w:eastAsia="Calibri" w:hAnsi="Times New Roman" w:cs="Times New Roman"/>
          <w:sz w:val="24"/>
          <w:szCs w:val="24"/>
        </w:rPr>
        <w:t>олитики за развитие на публичната администрация“), чиято цел е структуриране на мрежа от служители в държавната администрация, които проактивно да търсят и внедряват иновативни практики в своите институции.</w:t>
      </w:r>
    </w:p>
    <w:p w:rsidR="007546DC" w:rsidRPr="007404FA" w:rsidRDefault="007546DC" w:rsidP="00DB6B05">
      <w:pPr>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 xml:space="preserve">В края на отчетния период представители на администрацията на КЗЛД участват в международна конференция на тема „Изкуствен интелект, политики и управление в публичната администрация“, организирана от Института по публична администрация. Събитието е насочено към държавни служители, като целта </w:t>
      </w:r>
      <w:r w:rsidR="00584332">
        <w:rPr>
          <w:rFonts w:ascii="Times New Roman" w:eastAsia="Calibri" w:hAnsi="Times New Roman" w:cs="Times New Roman"/>
          <w:sz w:val="24"/>
          <w:szCs w:val="24"/>
        </w:rPr>
        <w:t>са</w:t>
      </w:r>
      <w:r w:rsidRPr="007404FA">
        <w:rPr>
          <w:rFonts w:ascii="Times New Roman" w:eastAsia="Calibri" w:hAnsi="Times New Roman" w:cs="Times New Roman"/>
          <w:sz w:val="24"/>
          <w:szCs w:val="24"/>
        </w:rPr>
        <w:t xml:space="preserve"> по-широкото обсъждане и осмисляне на възможностите, рисковете и перспективите, свързани с развитието на изкуствения интелект. В рамките на форума са обсъдени етичните стандарти и потенциалното въздействие на изкуствения интелект в управлението на различни сектори на обществения живот, както и добри практики и възможности за приложение на тези алгоритми в публичния сектор. Разгледана е ролята на държавата в разумното и отговорно използване на изкуствения интелект.</w:t>
      </w:r>
    </w:p>
    <w:p w:rsidR="008F0F48" w:rsidRPr="007404FA" w:rsidRDefault="008F0F48" w:rsidP="00DB6B05">
      <w:pPr>
        <w:spacing w:line="360" w:lineRule="auto"/>
        <w:ind w:firstLine="709"/>
        <w:jc w:val="both"/>
        <w:rPr>
          <w:rFonts w:ascii="Times New Roman" w:hAnsi="Times New Roman" w:cs="Times New Roman"/>
          <w:b/>
          <w:sz w:val="24"/>
          <w:szCs w:val="24"/>
        </w:rPr>
      </w:pPr>
    </w:p>
    <w:p w:rsidR="001B4178" w:rsidRPr="007404FA" w:rsidRDefault="001B4178" w:rsidP="00DB6B05">
      <w:pPr>
        <w:spacing w:line="360" w:lineRule="auto"/>
        <w:ind w:firstLine="709"/>
        <w:jc w:val="both"/>
        <w:rPr>
          <w:rFonts w:ascii="Times New Roman" w:hAnsi="Times New Roman" w:cs="Times New Roman"/>
          <w:b/>
          <w:sz w:val="24"/>
          <w:szCs w:val="24"/>
        </w:rPr>
      </w:pPr>
      <w:r w:rsidRPr="007404FA">
        <w:rPr>
          <w:rFonts w:ascii="Times New Roman" w:hAnsi="Times New Roman" w:cs="Times New Roman"/>
          <w:b/>
          <w:sz w:val="24"/>
          <w:szCs w:val="24"/>
        </w:rPr>
        <w:t>2. Административно обслужване.</w:t>
      </w:r>
    </w:p>
    <w:p w:rsidR="001B4178" w:rsidRPr="007404FA" w:rsidRDefault="001B4178"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В изпълнение на изискванията на Наредбата за административното обслужване потребителите на административните услуги осъществяват контакт с КЗЛД чрез Звеното за административно обслужване. Дейността по административно обслужване се осъществява при пълно изпълнение на Вътрешните правила за административното обслужване и Хартата на клиента, които имат за цел повишаване качеството на административните услуги, насърчаване участието на гражданите и служителите при обсъждане на услугите, начина им на предоставяне, необходимото качество и стандартите за изпълнение. Дейността на Звеното за административно обслужване се осъществява от четирима служители в условия на непрекъсваем работен процес в рамките на работния ден. </w:t>
      </w:r>
    </w:p>
    <w:p w:rsidR="001B4178" w:rsidRPr="007404FA" w:rsidRDefault="001B4178"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lastRenderedPageBreak/>
        <w:t>През отчетния период служителите от Звеното за административно обслужване са обработили общо 20 181</w:t>
      </w:r>
      <w:r w:rsidR="00D1189D" w:rsidRPr="007404FA">
        <w:rPr>
          <w:rFonts w:ascii="Times New Roman" w:hAnsi="Times New Roman" w:cs="Times New Roman"/>
          <w:sz w:val="24"/>
          <w:szCs w:val="24"/>
        </w:rPr>
        <w:t> бр.</w:t>
      </w:r>
      <w:r w:rsidRPr="007404FA">
        <w:rPr>
          <w:rFonts w:ascii="Times New Roman" w:hAnsi="Times New Roman" w:cs="Times New Roman"/>
          <w:sz w:val="24"/>
          <w:szCs w:val="24"/>
        </w:rPr>
        <w:t xml:space="preserve"> документи</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писма, молби, заявления, жалби, вътрешни документи и др., от и към граждани, администратори и държавни институции. Системата за документооборот обработва всички документи, постъпили в Звеното за административно обслужване, като със създадените правила за сканиране на вход и изход прозрачността в работата на администрацията е абсолютно гарантирана.</w:t>
      </w:r>
    </w:p>
    <w:p w:rsidR="001B4178" w:rsidRPr="007404FA" w:rsidRDefault="001B4178"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За измерване удовлетвореността на потребителите през отчетния период са отчетени преобладаващата част от задължителните методи за обратна връзка съгласно изискванията на</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24,</w:t>
      </w:r>
      <w:r w:rsidR="00F06583" w:rsidRPr="007404FA">
        <w:rPr>
          <w:rFonts w:ascii="Times New Roman" w:hAnsi="Times New Roman" w:cs="Times New Roman"/>
          <w:sz w:val="24"/>
          <w:szCs w:val="24"/>
        </w:rPr>
        <w:t xml:space="preserve"> ал. </w:t>
      </w:r>
      <w:r w:rsidRPr="007404FA">
        <w:rPr>
          <w:rFonts w:ascii="Times New Roman" w:hAnsi="Times New Roman" w:cs="Times New Roman"/>
          <w:sz w:val="24"/>
          <w:szCs w:val="24"/>
        </w:rPr>
        <w:t>2 и</w:t>
      </w:r>
      <w:r w:rsidR="00F06583" w:rsidRPr="007404FA">
        <w:rPr>
          <w:rFonts w:ascii="Times New Roman" w:hAnsi="Times New Roman" w:cs="Times New Roman"/>
          <w:sz w:val="24"/>
          <w:szCs w:val="24"/>
        </w:rPr>
        <w:t xml:space="preserve"> ал. </w:t>
      </w:r>
      <w:r w:rsidRPr="007404FA">
        <w:rPr>
          <w:rFonts w:ascii="Times New Roman" w:hAnsi="Times New Roman" w:cs="Times New Roman"/>
          <w:sz w:val="24"/>
          <w:szCs w:val="24"/>
        </w:rPr>
        <w:t xml:space="preserve">3 от Наредбата за административното обслужване, а именно: извършване на анкетни проучвания; провеждане на консултации със служителите; анализ на сигнали, предложения, жалби и похвали; анализ на медийни публикации. </w:t>
      </w:r>
    </w:p>
    <w:p w:rsidR="001B4178" w:rsidRPr="007404FA" w:rsidRDefault="00A51CF9"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И през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продължава тенденцията и</w:t>
      </w:r>
      <w:r w:rsidR="001B4178" w:rsidRPr="007404FA">
        <w:rPr>
          <w:rFonts w:ascii="Times New Roman" w:hAnsi="Times New Roman" w:cs="Times New Roman"/>
          <w:sz w:val="24"/>
          <w:szCs w:val="24"/>
        </w:rPr>
        <w:t xml:space="preserve">зключително малка част от потребителите на административни услуги </w:t>
      </w:r>
      <w:r w:rsidRPr="007404FA">
        <w:rPr>
          <w:rFonts w:ascii="Times New Roman" w:hAnsi="Times New Roman" w:cs="Times New Roman"/>
          <w:sz w:val="24"/>
          <w:szCs w:val="24"/>
        </w:rPr>
        <w:t xml:space="preserve">да </w:t>
      </w:r>
      <w:r w:rsidR="001B4178" w:rsidRPr="007404FA">
        <w:rPr>
          <w:rFonts w:ascii="Times New Roman" w:hAnsi="Times New Roman" w:cs="Times New Roman"/>
          <w:sz w:val="24"/>
          <w:szCs w:val="24"/>
        </w:rPr>
        <w:t xml:space="preserve">проявяват активност да дават целенасочена оценка на предоставяното от КЗЛД административно обслужване въпреки обстоятелството, че достъпът до средствата за обратна връзка е свободен. Независимо от това въз основа на информацията от преките впечатления на служителите, ангажирани с административното обслужване, и от служителите, които на ротационен принцип обслужват телефона за устни експертни консултации по законодателството за защита на данните и за бързи справки по постъпили жалби, сигнали и въпроси, </w:t>
      </w:r>
      <w:r w:rsidR="009A5F48" w:rsidRPr="007404FA">
        <w:rPr>
          <w:rFonts w:ascii="Times New Roman" w:hAnsi="Times New Roman" w:cs="Times New Roman"/>
          <w:sz w:val="24"/>
          <w:szCs w:val="24"/>
        </w:rPr>
        <w:t xml:space="preserve">и през отчетната година </w:t>
      </w:r>
      <w:r w:rsidR="001B4178" w:rsidRPr="007404FA">
        <w:rPr>
          <w:rFonts w:ascii="Times New Roman" w:hAnsi="Times New Roman" w:cs="Times New Roman"/>
          <w:sz w:val="24"/>
          <w:szCs w:val="24"/>
        </w:rPr>
        <w:t xml:space="preserve">може да се направи извод, че КЗЛД спазва всички изисквания за законосъобразно, добросъвестно и безпристрастно административно обслужване. </w:t>
      </w:r>
    </w:p>
    <w:p w:rsidR="00E32BF9" w:rsidRPr="007404FA" w:rsidRDefault="000C3CA8"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Особено активни са гражданите и администраторите при търсенето на контакт с Комисията за получаване на неформална</w:t>
      </w:r>
      <w:r w:rsidR="00E32BF9" w:rsidRPr="007404FA">
        <w:rPr>
          <w:rFonts w:ascii="Times New Roman" w:hAnsi="Times New Roman" w:cs="Times New Roman"/>
          <w:sz w:val="24"/>
          <w:szCs w:val="24"/>
        </w:rPr>
        <w:t xml:space="preserve"> </w:t>
      </w:r>
      <w:r w:rsidRPr="007404FA">
        <w:rPr>
          <w:rFonts w:ascii="Times New Roman" w:hAnsi="Times New Roman" w:cs="Times New Roman"/>
          <w:sz w:val="24"/>
          <w:szCs w:val="24"/>
        </w:rPr>
        <w:t>консултация. Т</w:t>
      </w:r>
      <w:r w:rsidR="00A90634" w:rsidRPr="007404FA">
        <w:rPr>
          <w:rFonts w:ascii="Times New Roman" w:hAnsi="Times New Roman" w:cs="Times New Roman"/>
          <w:sz w:val="24"/>
          <w:szCs w:val="24"/>
        </w:rPr>
        <w:t>акав</w:t>
      </w:r>
      <w:r w:rsidRPr="007404FA">
        <w:rPr>
          <w:rFonts w:ascii="Times New Roman" w:hAnsi="Times New Roman" w:cs="Times New Roman"/>
          <w:sz w:val="24"/>
          <w:szCs w:val="24"/>
        </w:rPr>
        <w:t>а</w:t>
      </w:r>
      <w:r w:rsidR="00E32BF9" w:rsidRPr="007404FA">
        <w:rPr>
          <w:rFonts w:ascii="Times New Roman" w:hAnsi="Times New Roman" w:cs="Times New Roman"/>
          <w:sz w:val="24"/>
          <w:szCs w:val="24"/>
        </w:rPr>
        <w:t xml:space="preserve"> се предоставя по линия на обслужването на институционалния телефон за устни консултации по законодателството за защита на личните данни и по висящи административни производства пред КЗЛД.</w:t>
      </w:r>
      <w:r w:rsidR="00157B49">
        <w:rPr>
          <w:rFonts w:ascii="Times New Roman" w:hAnsi="Times New Roman" w:cs="Times New Roman"/>
          <w:sz w:val="24"/>
          <w:szCs w:val="24"/>
        </w:rPr>
        <w:t xml:space="preserve"> </w:t>
      </w:r>
      <w:r w:rsidR="00E32BF9" w:rsidRPr="007404FA">
        <w:rPr>
          <w:rFonts w:ascii="Times New Roman" w:hAnsi="Times New Roman" w:cs="Times New Roman"/>
          <w:sz w:val="24"/>
          <w:szCs w:val="24"/>
        </w:rPr>
        <w:t>По този ред през отчетната 2022</w:t>
      </w:r>
      <w:r w:rsidR="00F06583" w:rsidRPr="007404FA">
        <w:rPr>
          <w:rFonts w:ascii="Times New Roman" w:hAnsi="Times New Roman" w:cs="Times New Roman"/>
          <w:sz w:val="24"/>
          <w:szCs w:val="24"/>
        </w:rPr>
        <w:t> г.</w:t>
      </w:r>
      <w:r w:rsidR="00E32BF9" w:rsidRPr="007404FA">
        <w:rPr>
          <w:rFonts w:ascii="Times New Roman" w:hAnsi="Times New Roman" w:cs="Times New Roman"/>
          <w:sz w:val="24"/>
          <w:szCs w:val="24"/>
        </w:rPr>
        <w:t xml:space="preserve"> са предоставени 7837</w:t>
      </w:r>
      <w:r w:rsidR="00D1189D" w:rsidRPr="007404FA">
        <w:rPr>
          <w:rFonts w:ascii="Times New Roman" w:hAnsi="Times New Roman" w:cs="Times New Roman"/>
          <w:sz w:val="24"/>
          <w:szCs w:val="24"/>
        </w:rPr>
        <w:t> бр.</w:t>
      </w:r>
      <w:r w:rsidR="00E32BF9" w:rsidRPr="007404FA">
        <w:rPr>
          <w:rFonts w:ascii="Times New Roman" w:hAnsi="Times New Roman" w:cs="Times New Roman"/>
          <w:sz w:val="24"/>
          <w:szCs w:val="24"/>
        </w:rPr>
        <w:t xml:space="preserve"> консултации, както следва:</w:t>
      </w:r>
    </w:p>
    <w:p w:rsidR="00E32BF9" w:rsidRPr="007404FA" w:rsidRDefault="006E11A6" w:rsidP="00DB6B05">
      <w:pPr>
        <w:pStyle w:val="ListParagraph"/>
        <w:numPr>
          <w:ilvl w:val="0"/>
          <w:numId w:val="14"/>
        </w:numPr>
        <w:spacing w:after="0" w:line="360" w:lineRule="auto"/>
        <w:ind w:left="0" w:firstLine="709"/>
        <w:jc w:val="both"/>
        <w:rPr>
          <w:rFonts w:ascii="Times New Roman" w:hAnsi="Times New Roman"/>
          <w:sz w:val="24"/>
          <w:szCs w:val="24"/>
          <w:lang w:val="bg-BG"/>
        </w:rPr>
      </w:pPr>
      <w:r>
        <w:rPr>
          <w:rFonts w:ascii="Times New Roman" w:hAnsi="Times New Roman"/>
          <w:sz w:val="24"/>
          <w:szCs w:val="24"/>
          <w:lang w:val="bg-BG"/>
        </w:rPr>
        <w:t>е</w:t>
      </w:r>
      <w:r w:rsidR="00E32BF9" w:rsidRPr="007404FA">
        <w:rPr>
          <w:rFonts w:ascii="Times New Roman" w:hAnsi="Times New Roman"/>
          <w:sz w:val="24"/>
          <w:szCs w:val="24"/>
          <w:lang w:val="bg-BG"/>
        </w:rPr>
        <w:t>кспертни консултации по прилагането на Регламент (ЕС) 2016/679 и на националното законодателство за защита на личните данни</w:t>
      </w:r>
      <w:r w:rsidR="00553661" w:rsidRPr="007404FA">
        <w:rPr>
          <w:rFonts w:ascii="Times New Roman" w:hAnsi="Times New Roman"/>
          <w:sz w:val="24"/>
          <w:szCs w:val="24"/>
          <w:lang w:val="bg-BG"/>
        </w:rPr>
        <w:t xml:space="preserve"> – </w:t>
      </w:r>
      <w:r w:rsidR="00E32BF9" w:rsidRPr="007404FA">
        <w:rPr>
          <w:rFonts w:ascii="Times New Roman" w:hAnsi="Times New Roman"/>
          <w:sz w:val="24"/>
          <w:szCs w:val="24"/>
          <w:lang w:val="bg-BG"/>
        </w:rPr>
        <w:t>1432</w:t>
      </w:r>
      <w:r w:rsidR="00D1189D" w:rsidRPr="007404FA">
        <w:rPr>
          <w:rFonts w:ascii="Times New Roman" w:hAnsi="Times New Roman"/>
          <w:sz w:val="24"/>
          <w:szCs w:val="24"/>
          <w:lang w:val="bg-BG"/>
        </w:rPr>
        <w:t> бр.</w:t>
      </w:r>
      <w:r w:rsidR="00E32BF9" w:rsidRPr="007404FA">
        <w:rPr>
          <w:rFonts w:ascii="Times New Roman" w:hAnsi="Times New Roman"/>
          <w:sz w:val="24"/>
          <w:szCs w:val="24"/>
          <w:lang w:val="bg-BG"/>
        </w:rPr>
        <w:t>;</w:t>
      </w:r>
    </w:p>
    <w:p w:rsidR="00E32BF9" w:rsidRPr="007404FA" w:rsidRDefault="006E11A6" w:rsidP="00DB6B05">
      <w:pPr>
        <w:pStyle w:val="ListParagraph"/>
        <w:numPr>
          <w:ilvl w:val="0"/>
          <w:numId w:val="14"/>
        </w:numPr>
        <w:spacing w:after="0" w:line="360" w:lineRule="auto"/>
        <w:ind w:left="0" w:firstLine="709"/>
        <w:jc w:val="both"/>
        <w:rPr>
          <w:rFonts w:ascii="Times New Roman" w:hAnsi="Times New Roman"/>
          <w:sz w:val="24"/>
          <w:szCs w:val="24"/>
          <w:lang w:val="bg-BG"/>
        </w:rPr>
      </w:pPr>
      <w:r>
        <w:rPr>
          <w:rFonts w:ascii="Times New Roman" w:hAnsi="Times New Roman"/>
          <w:sz w:val="24"/>
          <w:szCs w:val="24"/>
          <w:lang w:val="bg-BG"/>
        </w:rPr>
        <w:t>с</w:t>
      </w:r>
      <w:r w:rsidR="00E32BF9" w:rsidRPr="007404FA">
        <w:rPr>
          <w:rFonts w:ascii="Times New Roman" w:hAnsi="Times New Roman"/>
          <w:sz w:val="24"/>
          <w:szCs w:val="24"/>
          <w:lang w:val="bg-BG"/>
        </w:rPr>
        <w:t>правки по хода на висящи административни производства пред КЗЛД (основно по линия на подадени жалби и сигнали)</w:t>
      </w:r>
      <w:r w:rsidR="00553661" w:rsidRPr="007404FA">
        <w:rPr>
          <w:rFonts w:ascii="Times New Roman" w:hAnsi="Times New Roman"/>
          <w:sz w:val="24"/>
          <w:szCs w:val="24"/>
          <w:lang w:val="bg-BG"/>
        </w:rPr>
        <w:t xml:space="preserve"> – </w:t>
      </w:r>
      <w:r w:rsidR="00E32BF9" w:rsidRPr="007404FA">
        <w:rPr>
          <w:rFonts w:ascii="Times New Roman" w:hAnsi="Times New Roman"/>
          <w:sz w:val="24"/>
          <w:szCs w:val="24"/>
          <w:lang w:val="bg-BG"/>
        </w:rPr>
        <w:t>3008</w:t>
      </w:r>
      <w:r w:rsidR="00D1189D" w:rsidRPr="007404FA">
        <w:rPr>
          <w:rFonts w:ascii="Times New Roman" w:hAnsi="Times New Roman"/>
          <w:sz w:val="24"/>
          <w:szCs w:val="24"/>
          <w:lang w:val="bg-BG"/>
        </w:rPr>
        <w:t> бр.</w:t>
      </w:r>
      <w:r w:rsidR="00E32BF9" w:rsidRPr="007404FA">
        <w:rPr>
          <w:rFonts w:ascii="Times New Roman" w:hAnsi="Times New Roman"/>
          <w:sz w:val="24"/>
          <w:szCs w:val="24"/>
          <w:lang w:val="bg-BG"/>
        </w:rPr>
        <w:t>;</w:t>
      </w:r>
    </w:p>
    <w:p w:rsidR="00E32BF9" w:rsidRPr="007404FA" w:rsidRDefault="006E11A6" w:rsidP="00DB6B05">
      <w:pPr>
        <w:pStyle w:val="ListParagraph"/>
        <w:numPr>
          <w:ilvl w:val="0"/>
          <w:numId w:val="14"/>
        </w:numPr>
        <w:spacing w:after="0" w:line="360" w:lineRule="auto"/>
        <w:ind w:left="0" w:firstLine="709"/>
        <w:jc w:val="both"/>
        <w:rPr>
          <w:rFonts w:ascii="Times New Roman" w:hAnsi="Times New Roman"/>
          <w:sz w:val="24"/>
          <w:szCs w:val="24"/>
          <w:lang w:val="bg-BG"/>
        </w:rPr>
      </w:pPr>
      <w:r>
        <w:rPr>
          <w:rFonts w:ascii="Times New Roman" w:hAnsi="Times New Roman"/>
          <w:sz w:val="24"/>
          <w:szCs w:val="24"/>
          <w:lang w:val="bg-BG"/>
        </w:rPr>
        <w:t>к</w:t>
      </w:r>
      <w:r w:rsidR="00E32BF9" w:rsidRPr="007404FA">
        <w:rPr>
          <w:rFonts w:ascii="Times New Roman" w:hAnsi="Times New Roman"/>
          <w:sz w:val="24"/>
          <w:szCs w:val="24"/>
          <w:lang w:val="bg-BG"/>
        </w:rPr>
        <w:t>онсултации по често задавани въпроси, за които предварително е записан автоматичен отговор</w:t>
      </w:r>
      <w:r w:rsidR="00157B49">
        <w:rPr>
          <w:rFonts w:ascii="Times New Roman" w:hAnsi="Times New Roman"/>
          <w:sz w:val="24"/>
          <w:szCs w:val="24"/>
          <w:lang w:val="bg-BG"/>
        </w:rPr>
        <w:t xml:space="preserve"> </w:t>
      </w:r>
      <w:r w:rsidR="00E32BF9" w:rsidRPr="007404FA">
        <w:rPr>
          <w:rFonts w:ascii="Times New Roman" w:hAnsi="Times New Roman"/>
          <w:sz w:val="24"/>
          <w:szCs w:val="24"/>
          <w:lang w:val="bg-BG"/>
        </w:rPr>
        <w:t>чрез телефонната централа на КЗЛД</w:t>
      </w:r>
      <w:r w:rsidR="00553661" w:rsidRPr="007404FA">
        <w:rPr>
          <w:rFonts w:ascii="Times New Roman" w:hAnsi="Times New Roman"/>
          <w:sz w:val="24"/>
          <w:szCs w:val="24"/>
          <w:lang w:val="bg-BG"/>
        </w:rPr>
        <w:t xml:space="preserve"> – </w:t>
      </w:r>
      <w:r w:rsidR="00E32BF9" w:rsidRPr="007404FA">
        <w:rPr>
          <w:rFonts w:ascii="Times New Roman" w:hAnsi="Times New Roman"/>
          <w:sz w:val="24"/>
          <w:szCs w:val="24"/>
          <w:lang w:val="bg-BG"/>
        </w:rPr>
        <w:t>3397</w:t>
      </w:r>
      <w:r w:rsidR="00D1189D" w:rsidRPr="007404FA">
        <w:rPr>
          <w:rFonts w:ascii="Times New Roman" w:hAnsi="Times New Roman"/>
          <w:sz w:val="24"/>
          <w:szCs w:val="24"/>
          <w:lang w:val="bg-BG"/>
        </w:rPr>
        <w:t> бр.</w:t>
      </w:r>
    </w:p>
    <w:p w:rsidR="001B4178" w:rsidRPr="007404FA" w:rsidRDefault="00B95252"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И тази година а</w:t>
      </w:r>
      <w:r w:rsidR="001B4178" w:rsidRPr="007404FA">
        <w:rPr>
          <w:rFonts w:ascii="Times New Roman" w:hAnsi="Times New Roman" w:cs="Times New Roman"/>
          <w:sz w:val="24"/>
          <w:szCs w:val="24"/>
        </w:rPr>
        <w:t>нализът на КЗЛД показва, че основен външен фактор, който оказва влияние върху завишения брой потърсени административни услуги през последните години, е развитието на информационните и комуникационни</w:t>
      </w:r>
      <w:r w:rsidR="006E11A6">
        <w:rPr>
          <w:rFonts w:ascii="Times New Roman" w:hAnsi="Times New Roman" w:cs="Times New Roman"/>
          <w:sz w:val="24"/>
          <w:szCs w:val="24"/>
        </w:rPr>
        <w:t>те</w:t>
      </w:r>
      <w:r w:rsidR="001B4178" w:rsidRPr="007404FA">
        <w:rPr>
          <w:rFonts w:ascii="Times New Roman" w:hAnsi="Times New Roman" w:cs="Times New Roman"/>
          <w:sz w:val="24"/>
          <w:szCs w:val="24"/>
        </w:rPr>
        <w:t xml:space="preserve"> технологии и </w:t>
      </w:r>
      <w:r w:rsidR="001B4178" w:rsidRPr="007404FA">
        <w:rPr>
          <w:rFonts w:ascii="Times New Roman" w:hAnsi="Times New Roman" w:cs="Times New Roman"/>
          <w:sz w:val="24"/>
          <w:szCs w:val="24"/>
        </w:rPr>
        <w:lastRenderedPageBreak/>
        <w:t>„възможностите“ за неправомерен достъп до лични данни, което генерира увеличение на дейностите и функциите, върху които КЗЛД трябва да осъществява надзор. Повишената в последните години обществена информираност по въпросите, свързани със защитата на личните данни, в т.ч. по-високата чувствителност на физическите лица</w:t>
      </w:r>
      <w:r w:rsidR="006E11A6">
        <w:rPr>
          <w:rFonts w:ascii="Times New Roman" w:hAnsi="Times New Roman" w:cs="Times New Roman"/>
          <w:sz w:val="24"/>
          <w:szCs w:val="24"/>
        </w:rPr>
        <w:t>,</w:t>
      </w:r>
      <w:r w:rsidR="001B4178" w:rsidRPr="007404FA">
        <w:rPr>
          <w:rFonts w:ascii="Times New Roman" w:hAnsi="Times New Roman" w:cs="Times New Roman"/>
          <w:sz w:val="24"/>
          <w:szCs w:val="24"/>
        </w:rPr>
        <w:t xml:space="preserve"> </w:t>
      </w:r>
      <w:r w:rsidR="00E758BA" w:rsidRPr="007404FA">
        <w:rPr>
          <w:rFonts w:ascii="Times New Roman" w:hAnsi="Times New Roman" w:cs="Times New Roman"/>
          <w:sz w:val="24"/>
          <w:szCs w:val="24"/>
        </w:rPr>
        <w:t>води</w:t>
      </w:r>
      <w:r w:rsidR="001B4178" w:rsidRPr="007404FA">
        <w:rPr>
          <w:rFonts w:ascii="Times New Roman" w:hAnsi="Times New Roman" w:cs="Times New Roman"/>
          <w:sz w:val="24"/>
          <w:szCs w:val="24"/>
        </w:rPr>
        <w:t xml:space="preserve"> до значително увеличаване на броя жалби, сигнали и запитвания на граждани и администратори на лични данни, които са пряко свързани с административното обслужване на КЗЛД. Затова през 2022</w:t>
      </w:r>
      <w:r w:rsidR="00F06583" w:rsidRPr="007404FA">
        <w:rPr>
          <w:rFonts w:ascii="Times New Roman" w:hAnsi="Times New Roman" w:cs="Times New Roman"/>
          <w:sz w:val="24"/>
          <w:szCs w:val="24"/>
        </w:rPr>
        <w:t> г.</w:t>
      </w:r>
      <w:r w:rsidR="001B4178" w:rsidRPr="007404FA">
        <w:rPr>
          <w:rFonts w:ascii="Times New Roman" w:hAnsi="Times New Roman" w:cs="Times New Roman"/>
          <w:sz w:val="24"/>
          <w:szCs w:val="24"/>
        </w:rPr>
        <w:t xml:space="preserve"> КЗЛД продължава актуализирането и усъвършенстването на интернет страницата си в посока предоставянето на актуална и изчерпателна информация за всички видове административни услуги, продължава да търси активно мнението на потребителите, като за целта популяризира и насърчава предоставянето на о</w:t>
      </w:r>
      <w:r w:rsidR="006E11A6">
        <w:rPr>
          <w:rFonts w:ascii="Times New Roman" w:hAnsi="Times New Roman" w:cs="Times New Roman"/>
          <w:sz w:val="24"/>
          <w:szCs w:val="24"/>
        </w:rPr>
        <w:t>братна връзка и по други канали</w:t>
      </w:r>
      <w:r w:rsidR="001B4178" w:rsidRPr="007404FA">
        <w:rPr>
          <w:rFonts w:ascii="Times New Roman" w:hAnsi="Times New Roman" w:cs="Times New Roman"/>
          <w:sz w:val="24"/>
          <w:szCs w:val="24"/>
        </w:rPr>
        <w:t xml:space="preserve"> освен задължителните методи за обратна връзка по см. на</w:t>
      </w:r>
      <w:r w:rsidR="00F06583" w:rsidRPr="007404FA">
        <w:rPr>
          <w:rFonts w:ascii="Times New Roman" w:hAnsi="Times New Roman" w:cs="Times New Roman"/>
          <w:sz w:val="24"/>
          <w:szCs w:val="24"/>
        </w:rPr>
        <w:t xml:space="preserve"> чл. </w:t>
      </w:r>
      <w:r w:rsidR="001B4178" w:rsidRPr="007404FA">
        <w:rPr>
          <w:rFonts w:ascii="Times New Roman" w:hAnsi="Times New Roman" w:cs="Times New Roman"/>
          <w:sz w:val="24"/>
          <w:szCs w:val="24"/>
        </w:rPr>
        <w:t>24,</w:t>
      </w:r>
      <w:r w:rsidR="00F06583" w:rsidRPr="007404FA">
        <w:rPr>
          <w:rFonts w:ascii="Times New Roman" w:hAnsi="Times New Roman" w:cs="Times New Roman"/>
          <w:sz w:val="24"/>
          <w:szCs w:val="24"/>
        </w:rPr>
        <w:t xml:space="preserve"> ал. </w:t>
      </w:r>
      <w:r w:rsidR="001B4178" w:rsidRPr="007404FA">
        <w:rPr>
          <w:rFonts w:ascii="Times New Roman" w:hAnsi="Times New Roman" w:cs="Times New Roman"/>
          <w:sz w:val="24"/>
          <w:szCs w:val="24"/>
        </w:rPr>
        <w:t>2 и</w:t>
      </w:r>
      <w:r w:rsidR="00F06583" w:rsidRPr="007404FA">
        <w:rPr>
          <w:rFonts w:ascii="Times New Roman" w:hAnsi="Times New Roman" w:cs="Times New Roman"/>
          <w:sz w:val="24"/>
          <w:szCs w:val="24"/>
        </w:rPr>
        <w:t xml:space="preserve"> ал. </w:t>
      </w:r>
      <w:r w:rsidR="001B4178" w:rsidRPr="007404FA">
        <w:rPr>
          <w:rFonts w:ascii="Times New Roman" w:hAnsi="Times New Roman" w:cs="Times New Roman"/>
          <w:sz w:val="24"/>
          <w:szCs w:val="24"/>
        </w:rPr>
        <w:t xml:space="preserve">3 от Наредбата за административното обслужване. </w:t>
      </w:r>
      <w:r w:rsidR="003E2981" w:rsidRPr="007404FA">
        <w:rPr>
          <w:rFonts w:ascii="Times New Roman" w:hAnsi="Times New Roman" w:cs="Times New Roman"/>
          <w:sz w:val="24"/>
          <w:szCs w:val="24"/>
        </w:rPr>
        <w:t>През отчетния период а</w:t>
      </w:r>
      <w:r w:rsidR="001B4178" w:rsidRPr="007404FA">
        <w:rPr>
          <w:rFonts w:ascii="Times New Roman" w:hAnsi="Times New Roman" w:cs="Times New Roman"/>
          <w:sz w:val="24"/>
          <w:szCs w:val="24"/>
        </w:rPr>
        <w:t xml:space="preserve">нкетната карта за обратна връзка от потребителите </w:t>
      </w:r>
      <w:r w:rsidR="009D0C2F" w:rsidRPr="007404FA">
        <w:rPr>
          <w:rFonts w:ascii="Times New Roman" w:hAnsi="Times New Roman" w:cs="Times New Roman"/>
          <w:sz w:val="24"/>
          <w:szCs w:val="24"/>
        </w:rPr>
        <w:t xml:space="preserve">е </w:t>
      </w:r>
      <w:r w:rsidR="001B4178" w:rsidRPr="007404FA">
        <w:rPr>
          <w:rFonts w:ascii="Times New Roman" w:hAnsi="Times New Roman" w:cs="Times New Roman"/>
          <w:sz w:val="24"/>
          <w:szCs w:val="24"/>
        </w:rPr>
        <w:t>публикувана на по-видимо и по-достъпно място на интернет страницата на Комисията.</w:t>
      </w:r>
    </w:p>
    <w:p w:rsidR="00895295" w:rsidRPr="007404FA" w:rsidRDefault="00A054E2"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Постъпващите оплаквания </w:t>
      </w:r>
      <w:r w:rsidR="00BB0504" w:rsidRPr="007404FA">
        <w:rPr>
          <w:rFonts w:ascii="Times New Roman" w:hAnsi="Times New Roman" w:cs="Times New Roman"/>
          <w:sz w:val="24"/>
          <w:szCs w:val="24"/>
        </w:rPr>
        <w:t>от граждани през 2022</w:t>
      </w:r>
      <w:r w:rsidR="00F06583" w:rsidRPr="007404FA">
        <w:rPr>
          <w:rFonts w:ascii="Times New Roman" w:hAnsi="Times New Roman" w:cs="Times New Roman"/>
          <w:sz w:val="24"/>
          <w:szCs w:val="24"/>
        </w:rPr>
        <w:t> г.</w:t>
      </w:r>
      <w:r w:rsidR="00BB0504" w:rsidRPr="007404FA">
        <w:rPr>
          <w:rFonts w:ascii="Times New Roman" w:hAnsi="Times New Roman" w:cs="Times New Roman"/>
          <w:sz w:val="24"/>
          <w:szCs w:val="24"/>
        </w:rPr>
        <w:t xml:space="preserve"> </w:t>
      </w:r>
      <w:r w:rsidR="0045203F" w:rsidRPr="007404FA">
        <w:rPr>
          <w:rFonts w:ascii="Times New Roman" w:hAnsi="Times New Roman" w:cs="Times New Roman"/>
          <w:sz w:val="24"/>
          <w:szCs w:val="24"/>
        </w:rPr>
        <w:t>се отнасят</w:t>
      </w:r>
      <w:r w:rsidRPr="007404FA">
        <w:rPr>
          <w:rFonts w:ascii="Times New Roman" w:hAnsi="Times New Roman" w:cs="Times New Roman"/>
          <w:sz w:val="24"/>
          <w:szCs w:val="24"/>
        </w:rPr>
        <w:t xml:space="preserve"> основно </w:t>
      </w:r>
      <w:r w:rsidR="0045203F" w:rsidRPr="007404FA">
        <w:rPr>
          <w:rFonts w:ascii="Times New Roman" w:hAnsi="Times New Roman" w:cs="Times New Roman"/>
          <w:sz w:val="24"/>
          <w:szCs w:val="24"/>
        </w:rPr>
        <w:t xml:space="preserve">до </w:t>
      </w:r>
      <w:r w:rsidRPr="007404FA">
        <w:rPr>
          <w:rFonts w:ascii="Times New Roman" w:hAnsi="Times New Roman" w:cs="Times New Roman"/>
          <w:sz w:val="24"/>
          <w:szCs w:val="24"/>
        </w:rPr>
        <w:t xml:space="preserve">забавянето в сроковете за произнасяне на Комисията. </w:t>
      </w:r>
      <w:r w:rsidR="006E11A6">
        <w:rPr>
          <w:rFonts w:ascii="Times New Roman" w:hAnsi="Times New Roman" w:cs="Times New Roman"/>
          <w:sz w:val="24"/>
          <w:szCs w:val="24"/>
        </w:rPr>
        <w:t>Традиционно</w:t>
      </w:r>
      <w:r w:rsidR="005833BD" w:rsidRPr="007404FA">
        <w:rPr>
          <w:rFonts w:ascii="Times New Roman" w:hAnsi="Times New Roman" w:cs="Times New Roman"/>
          <w:sz w:val="24"/>
          <w:szCs w:val="24"/>
        </w:rPr>
        <w:t xml:space="preserve"> в</w:t>
      </w:r>
      <w:r w:rsidR="00EA3459" w:rsidRPr="007404FA">
        <w:rPr>
          <w:rFonts w:ascii="Times New Roman" w:hAnsi="Times New Roman" w:cs="Times New Roman"/>
          <w:sz w:val="24"/>
          <w:szCs w:val="24"/>
        </w:rPr>
        <w:t>ърху срочността на изпълняваните дейности оказват влияние както увеличения</w:t>
      </w:r>
      <w:r w:rsidR="006E11A6">
        <w:rPr>
          <w:rFonts w:ascii="Times New Roman" w:hAnsi="Times New Roman" w:cs="Times New Roman"/>
          <w:sz w:val="24"/>
          <w:szCs w:val="24"/>
        </w:rPr>
        <w:t>т</w:t>
      </w:r>
      <w:r w:rsidR="00EA3459" w:rsidRPr="007404FA">
        <w:rPr>
          <w:rFonts w:ascii="Times New Roman" w:hAnsi="Times New Roman" w:cs="Times New Roman"/>
          <w:sz w:val="24"/>
          <w:szCs w:val="24"/>
        </w:rPr>
        <w:t xml:space="preserve"> обем от работа</w:t>
      </w:r>
      <w:r w:rsidR="00A0339E" w:rsidRPr="007404FA">
        <w:rPr>
          <w:rFonts w:ascii="Times New Roman" w:hAnsi="Times New Roman" w:cs="Times New Roman"/>
          <w:sz w:val="24"/>
          <w:szCs w:val="24"/>
        </w:rPr>
        <w:t xml:space="preserve"> на настоящит</w:t>
      </w:r>
      <w:r w:rsidR="00A668C3" w:rsidRPr="007404FA">
        <w:rPr>
          <w:rFonts w:ascii="Times New Roman" w:hAnsi="Times New Roman" w:cs="Times New Roman"/>
          <w:sz w:val="24"/>
          <w:szCs w:val="24"/>
        </w:rPr>
        <w:t>е</w:t>
      </w:r>
      <w:r w:rsidR="00A0339E" w:rsidRPr="007404FA">
        <w:rPr>
          <w:rFonts w:ascii="Times New Roman" w:hAnsi="Times New Roman" w:cs="Times New Roman"/>
          <w:sz w:val="24"/>
          <w:szCs w:val="24"/>
        </w:rPr>
        <w:t xml:space="preserve"> служители</w:t>
      </w:r>
      <w:r w:rsidR="00EA3459" w:rsidRPr="007404FA">
        <w:rPr>
          <w:rFonts w:ascii="Times New Roman" w:hAnsi="Times New Roman" w:cs="Times New Roman"/>
          <w:sz w:val="24"/>
          <w:szCs w:val="24"/>
        </w:rPr>
        <w:t xml:space="preserve"> (считано от 25 май 2018</w:t>
      </w:r>
      <w:r w:rsidR="00F06583" w:rsidRPr="007404FA">
        <w:rPr>
          <w:rFonts w:ascii="Times New Roman" w:hAnsi="Times New Roman" w:cs="Times New Roman"/>
          <w:sz w:val="24"/>
          <w:szCs w:val="24"/>
        </w:rPr>
        <w:t> г.</w:t>
      </w:r>
      <w:r w:rsidR="00EA3459" w:rsidRPr="007404FA">
        <w:rPr>
          <w:rFonts w:ascii="Times New Roman" w:hAnsi="Times New Roman" w:cs="Times New Roman"/>
          <w:sz w:val="24"/>
          <w:szCs w:val="24"/>
        </w:rPr>
        <w:t xml:space="preserve">, когато започва да се прилага новата правна рамка), така и невъзможността да бъдат привлечени </w:t>
      </w:r>
      <w:r w:rsidR="008A3CD4" w:rsidRPr="007404FA">
        <w:rPr>
          <w:rFonts w:ascii="Times New Roman" w:hAnsi="Times New Roman" w:cs="Times New Roman"/>
          <w:sz w:val="24"/>
          <w:szCs w:val="24"/>
        </w:rPr>
        <w:t xml:space="preserve">допълнителни </w:t>
      </w:r>
      <w:r w:rsidR="00EA3459" w:rsidRPr="007404FA">
        <w:rPr>
          <w:rFonts w:ascii="Times New Roman" w:hAnsi="Times New Roman" w:cs="Times New Roman"/>
          <w:sz w:val="24"/>
          <w:szCs w:val="24"/>
        </w:rPr>
        <w:t xml:space="preserve">високоспециализирани експерти в областта на правото и ИТ технологиите поради </w:t>
      </w:r>
      <w:r w:rsidR="006E1256" w:rsidRPr="007404FA">
        <w:rPr>
          <w:rFonts w:ascii="Times New Roman" w:hAnsi="Times New Roman" w:cs="Times New Roman"/>
          <w:sz w:val="24"/>
          <w:szCs w:val="24"/>
        </w:rPr>
        <w:t xml:space="preserve">традиционни </w:t>
      </w:r>
      <w:r w:rsidR="00EA3459" w:rsidRPr="007404FA">
        <w:rPr>
          <w:rFonts w:ascii="Times New Roman" w:hAnsi="Times New Roman" w:cs="Times New Roman"/>
          <w:sz w:val="24"/>
          <w:szCs w:val="24"/>
        </w:rPr>
        <w:t xml:space="preserve">ниските нива на възнаграждения в администрацията на КЗЛД. </w:t>
      </w:r>
      <w:r w:rsidR="00EE6EF3" w:rsidRPr="007404FA">
        <w:rPr>
          <w:rFonts w:ascii="Times New Roman" w:hAnsi="Times New Roman" w:cs="Times New Roman"/>
          <w:sz w:val="24"/>
          <w:szCs w:val="24"/>
        </w:rPr>
        <w:t>Това</w:t>
      </w:r>
      <w:r w:rsidR="007A6F14" w:rsidRPr="007404FA">
        <w:rPr>
          <w:rFonts w:ascii="Times New Roman" w:hAnsi="Times New Roman" w:cs="Times New Roman"/>
          <w:sz w:val="24"/>
          <w:szCs w:val="24"/>
        </w:rPr>
        <w:t>, съчетано с изключително сериозна</w:t>
      </w:r>
      <w:r w:rsidR="00923413" w:rsidRPr="007404FA">
        <w:rPr>
          <w:rFonts w:ascii="Times New Roman" w:hAnsi="Times New Roman" w:cs="Times New Roman"/>
          <w:sz w:val="24"/>
          <w:szCs w:val="24"/>
        </w:rPr>
        <w:t>та</w:t>
      </w:r>
      <w:r w:rsidR="007A6F14" w:rsidRPr="007404FA">
        <w:rPr>
          <w:rFonts w:ascii="Times New Roman" w:hAnsi="Times New Roman" w:cs="Times New Roman"/>
          <w:sz w:val="24"/>
          <w:szCs w:val="24"/>
        </w:rPr>
        <w:t xml:space="preserve"> натовареност</w:t>
      </w:r>
      <w:r w:rsidR="00E65AD1" w:rsidRPr="007404FA">
        <w:rPr>
          <w:rFonts w:ascii="Times New Roman" w:hAnsi="Times New Roman" w:cs="Times New Roman"/>
          <w:sz w:val="24"/>
          <w:szCs w:val="24"/>
        </w:rPr>
        <w:t xml:space="preserve"> на </w:t>
      </w:r>
      <w:r w:rsidR="008E3021" w:rsidRPr="007404FA">
        <w:rPr>
          <w:rFonts w:ascii="Times New Roman" w:hAnsi="Times New Roman" w:cs="Times New Roman"/>
          <w:sz w:val="24"/>
          <w:szCs w:val="24"/>
        </w:rPr>
        <w:t>настоящия личен</w:t>
      </w:r>
      <w:r w:rsidR="00E65AD1" w:rsidRPr="007404FA">
        <w:rPr>
          <w:rFonts w:ascii="Times New Roman" w:hAnsi="Times New Roman" w:cs="Times New Roman"/>
          <w:sz w:val="24"/>
          <w:szCs w:val="24"/>
        </w:rPr>
        <w:t xml:space="preserve"> състав на институцията</w:t>
      </w:r>
      <w:r w:rsidR="007A6F14" w:rsidRPr="007404FA">
        <w:rPr>
          <w:rFonts w:ascii="Times New Roman" w:hAnsi="Times New Roman" w:cs="Times New Roman"/>
          <w:sz w:val="24"/>
          <w:szCs w:val="24"/>
        </w:rPr>
        <w:t xml:space="preserve">, </w:t>
      </w:r>
      <w:r w:rsidR="00EE6EF3" w:rsidRPr="007404FA">
        <w:rPr>
          <w:rFonts w:ascii="Times New Roman" w:hAnsi="Times New Roman" w:cs="Times New Roman"/>
          <w:sz w:val="24"/>
          <w:szCs w:val="24"/>
        </w:rPr>
        <w:t>води до загуба</w:t>
      </w:r>
      <w:r w:rsidR="00EB4A49" w:rsidRPr="007404FA">
        <w:rPr>
          <w:rFonts w:ascii="Times New Roman" w:hAnsi="Times New Roman" w:cs="Times New Roman"/>
          <w:sz w:val="24"/>
          <w:szCs w:val="24"/>
        </w:rPr>
        <w:t xml:space="preserve"> на мотивация </w:t>
      </w:r>
      <w:r w:rsidR="005D2820" w:rsidRPr="007404FA">
        <w:rPr>
          <w:rFonts w:ascii="Times New Roman" w:hAnsi="Times New Roman" w:cs="Times New Roman"/>
          <w:sz w:val="24"/>
          <w:szCs w:val="24"/>
        </w:rPr>
        <w:t>на</w:t>
      </w:r>
      <w:r w:rsidR="0033393D" w:rsidRPr="007404FA">
        <w:rPr>
          <w:rFonts w:ascii="Times New Roman" w:hAnsi="Times New Roman" w:cs="Times New Roman"/>
          <w:sz w:val="24"/>
          <w:szCs w:val="24"/>
        </w:rPr>
        <w:t xml:space="preserve"> </w:t>
      </w:r>
      <w:r w:rsidR="005D2820" w:rsidRPr="007404FA">
        <w:rPr>
          <w:rFonts w:ascii="Times New Roman" w:hAnsi="Times New Roman" w:cs="Times New Roman"/>
          <w:sz w:val="24"/>
          <w:szCs w:val="24"/>
        </w:rPr>
        <w:t>служителите</w:t>
      </w:r>
      <w:r w:rsidR="0033393D" w:rsidRPr="007404FA">
        <w:rPr>
          <w:rFonts w:ascii="Times New Roman" w:hAnsi="Times New Roman" w:cs="Times New Roman"/>
          <w:sz w:val="24"/>
          <w:szCs w:val="24"/>
        </w:rPr>
        <w:t xml:space="preserve"> на Комисията</w:t>
      </w:r>
      <w:r w:rsidR="00923413" w:rsidRPr="007404FA">
        <w:rPr>
          <w:rFonts w:ascii="Times New Roman" w:hAnsi="Times New Roman" w:cs="Times New Roman"/>
          <w:sz w:val="24"/>
          <w:szCs w:val="24"/>
        </w:rPr>
        <w:t xml:space="preserve">, респ. до </w:t>
      </w:r>
      <w:r w:rsidRPr="007404FA">
        <w:rPr>
          <w:rFonts w:ascii="Times New Roman" w:hAnsi="Times New Roman" w:cs="Times New Roman"/>
          <w:sz w:val="24"/>
          <w:szCs w:val="24"/>
        </w:rPr>
        <w:t>забавяне в сроковете за разглеждане и приключване на отделните административни преписки</w:t>
      </w:r>
      <w:r w:rsidR="00DD58FE" w:rsidRPr="007404FA">
        <w:rPr>
          <w:rFonts w:ascii="Times New Roman" w:hAnsi="Times New Roman" w:cs="Times New Roman"/>
          <w:sz w:val="24"/>
          <w:szCs w:val="24"/>
        </w:rPr>
        <w:t>, вкл.</w:t>
      </w:r>
      <w:r w:rsidRPr="007404FA">
        <w:rPr>
          <w:rFonts w:ascii="Times New Roman" w:hAnsi="Times New Roman" w:cs="Times New Roman"/>
          <w:sz w:val="24"/>
          <w:szCs w:val="24"/>
        </w:rPr>
        <w:t xml:space="preserve"> поради физическа невъзможност за тяхното навременно отработване. </w:t>
      </w:r>
    </w:p>
    <w:p w:rsidR="00F352F3" w:rsidRPr="007404FA" w:rsidRDefault="00F352F3"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През отчетния период е обнародван Правилник за изменение на Правилника </w:t>
      </w:r>
      <w:r w:rsidR="00314093" w:rsidRPr="007404FA">
        <w:rPr>
          <w:rFonts w:ascii="Times New Roman" w:hAnsi="Times New Roman" w:cs="Times New Roman"/>
          <w:sz w:val="24"/>
          <w:szCs w:val="24"/>
        </w:rPr>
        <w:t xml:space="preserve">за дейността </w:t>
      </w:r>
      <w:r w:rsidRPr="007404FA">
        <w:rPr>
          <w:rFonts w:ascii="Times New Roman" w:hAnsi="Times New Roman" w:cs="Times New Roman"/>
          <w:sz w:val="24"/>
          <w:szCs w:val="24"/>
        </w:rPr>
        <w:t>на Комисията за защита на личните данни и на нейната администрация (обн. ДВ,</w:t>
      </w:r>
      <w:r w:rsidR="00D1189D" w:rsidRPr="007404FA">
        <w:rPr>
          <w:rFonts w:ascii="Times New Roman" w:hAnsi="Times New Roman" w:cs="Times New Roman"/>
          <w:sz w:val="24"/>
          <w:szCs w:val="24"/>
        </w:rPr>
        <w:t> бр.</w:t>
      </w:r>
      <w:r w:rsidRPr="007404FA">
        <w:rPr>
          <w:rFonts w:ascii="Times New Roman" w:hAnsi="Times New Roman" w:cs="Times New Roman"/>
          <w:sz w:val="24"/>
          <w:szCs w:val="24"/>
        </w:rPr>
        <w:t xml:space="preserve"> 32 от 26 април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С изменението</w:t>
      </w:r>
      <w:r w:rsidR="00157B49">
        <w:rPr>
          <w:rFonts w:ascii="Times New Roman" w:hAnsi="Times New Roman" w:cs="Times New Roman"/>
          <w:sz w:val="24"/>
          <w:szCs w:val="24"/>
        </w:rPr>
        <w:t xml:space="preserve"> </w:t>
      </w:r>
      <w:r w:rsidRPr="007404FA">
        <w:rPr>
          <w:rFonts w:ascii="Times New Roman" w:hAnsi="Times New Roman" w:cs="Times New Roman"/>
          <w:sz w:val="24"/>
          <w:szCs w:val="24"/>
        </w:rPr>
        <w:t>на Приложението към</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15,</w:t>
      </w:r>
      <w:r w:rsidR="00F06583" w:rsidRPr="007404FA">
        <w:rPr>
          <w:rFonts w:ascii="Times New Roman" w:hAnsi="Times New Roman" w:cs="Times New Roman"/>
          <w:sz w:val="24"/>
          <w:szCs w:val="24"/>
        </w:rPr>
        <w:t xml:space="preserve"> ал. </w:t>
      </w:r>
      <w:r w:rsidRPr="007404FA">
        <w:rPr>
          <w:rFonts w:ascii="Times New Roman" w:hAnsi="Times New Roman" w:cs="Times New Roman"/>
          <w:sz w:val="24"/>
          <w:szCs w:val="24"/>
        </w:rPr>
        <w:t>6 от Правилника е актуализирана числеността на персонала в организационната структура и административните звена на КЗЛД, като числеността на Комисията е увеличена с 6 щатни бройки, както следва: числеността на дирекция „Правни производства и надзор“ е увеличена с 5 щатни бройки, а на дирекция „Правноаналитична, информационна и контролна дейност“ с 1 бройка. Увеличението цели възстановяване на съкратените през 2019 и 2020</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6 щатни бройки в ключови направления на надзорната дейност на КЗЛД. Възстановените експертни позиции са необходими за привличане на висококвалифицирани </w:t>
      </w:r>
      <w:r w:rsidRPr="007404FA">
        <w:rPr>
          <w:rFonts w:ascii="Times New Roman" w:hAnsi="Times New Roman" w:cs="Times New Roman"/>
          <w:sz w:val="24"/>
          <w:szCs w:val="24"/>
        </w:rPr>
        <w:lastRenderedPageBreak/>
        <w:t>експерти в областта на правото и информационните технологии за целите на превенцията и контрола, които Комисията осъществява ежедневно. Следва да се отбележи обаче, че към края на отчетния период само 2 от тези допълнителни бройки са заети в резултат на проведени конкурсни процедури.</w:t>
      </w:r>
    </w:p>
    <w:p w:rsidR="00A054E2" w:rsidRPr="007404FA" w:rsidRDefault="00A054E2" w:rsidP="00DB6B05">
      <w:pPr>
        <w:spacing w:line="360" w:lineRule="auto"/>
        <w:ind w:firstLine="709"/>
        <w:jc w:val="both"/>
        <w:rPr>
          <w:rFonts w:ascii="Times New Roman" w:hAnsi="Times New Roman" w:cs="Times New Roman"/>
          <w:sz w:val="24"/>
          <w:szCs w:val="24"/>
        </w:rPr>
      </w:pPr>
    </w:p>
    <w:p w:rsidR="001B4178" w:rsidRPr="007404FA" w:rsidRDefault="00C61B27" w:rsidP="00DB6B05">
      <w:pPr>
        <w:spacing w:line="360" w:lineRule="auto"/>
        <w:ind w:firstLine="709"/>
        <w:jc w:val="both"/>
        <w:rPr>
          <w:rFonts w:ascii="Times New Roman" w:hAnsi="Times New Roman" w:cs="Times New Roman"/>
          <w:b/>
          <w:sz w:val="24"/>
          <w:szCs w:val="24"/>
        </w:rPr>
      </w:pPr>
      <w:r w:rsidRPr="007404FA">
        <w:rPr>
          <w:rFonts w:ascii="Times New Roman" w:hAnsi="Times New Roman" w:cs="Times New Roman"/>
          <w:b/>
          <w:sz w:val="24"/>
          <w:szCs w:val="24"/>
        </w:rPr>
        <w:t xml:space="preserve">3. </w:t>
      </w:r>
      <w:r w:rsidR="001B4178" w:rsidRPr="007404FA">
        <w:rPr>
          <w:rFonts w:ascii="Times New Roman" w:hAnsi="Times New Roman" w:cs="Times New Roman"/>
          <w:b/>
          <w:sz w:val="24"/>
          <w:szCs w:val="24"/>
        </w:rPr>
        <w:t xml:space="preserve">Анализ на постъпилите в КЗЛД заявления за достъп до обществена информация и искания за повторно използване на информация. </w:t>
      </w:r>
    </w:p>
    <w:p w:rsidR="001B4178" w:rsidRPr="007404FA" w:rsidRDefault="001B4178"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В качест</w:t>
      </w:r>
      <w:r w:rsidR="00DD740D">
        <w:rPr>
          <w:rFonts w:ascii="Times New Roman" w:hAnsi="Times New Roman" w:cs="Times New Roman"/>
          <w:sz w:val="24"/>
          <w:szCs w:val="24"/>
        </w:rPr>
        <w:t>вото на задължен субект по ЗДОИ</w:t>
      </w:r>
      <w:r w:rsidRPr="007404FA">
        <w:rPr>
          <w:rFonts w:ascii="Times New Roman" w:hAnsi="Times New Roman" w:cs="Times New Roman"/>
          <w:sz w:val="24"/>
          <w:szCs w:val="24"/>
        </w:rPr>
        <w:t xml:space="preserve"> на сайта на КЗЛД се поддържа раздел „Достъп до информация“</w:t>
      </w:r>
      <w:r w:rsidR="00DD740D">
        <w:rPr>
          <w:rFonts w:ascii="Times New Roman" w:hAnsi="Times New Roman" w:cs="Times New Roman"/>
          <w:sz w:val="24"/>
          <w:szCs w:val="24"/>
        </w:rPr>
        <w:t>, в който е включена нормативно</w:t>
      </w:r>
      <w:r w:rsidRPr="007404FA">
        <w:rPr>
          <w:rFonts w:ascii="Times New Roman" w:hAnsi="Times New Roman" w:cs="Times New Roman"/>
          <w:sz w:val="24"/>
          <w:szCs w:val="24"/>
        </w:rPr>
        <w:t>изиск</w:t>
      </w:r>
      <w:r w:rsidR="00D43E72" w:rsidRPr="007404FA">
        <w:rPr>
          <w:rFonts w:ascii="Times New Roman" w:hAnsi="Times New Roman" w:cs="Times New Roman"/>
          <w:sz w:val="24"/>
          <w:szCs w:val="24"/>
        </w:rPr>
        <w:t>уемата информация, както следва:</w:t>
      </w:r>
    </w:p>
    <w:p w:rsidR="001B4178" w:rsidRPr="007404FA" w:rsidRDefault="00DD740D" w:rsidP="00DB6B05">
      <w:pPr>
        <w:numPr>
          <w:ilvl w:val="0"/>
          <w:numId w:val="9"/>
        </w:numPr>
        <w:spacing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w:t>
      </w:r>
      <w:r w:rsidR="001B4178" w:rsidRPr="007404FA">
        <w:rPr>
          <w:rFonts w:ascii="Times New Roman" w:hAnsi="Times New Roman" w:cs="Times New Roman"/>
          <w:sz w:val="24"/>
          <w:szCs w:val="24"/>
        </w:rPr>
        <w:t>роцедура по разглеждане на заявленията за достъп до обществена информация и предоставяне на информация за повторно използване;</w:t>
      </w:r>
    </w:p>
    <w:p w:rsidR="001B4178" w:rsidRPr="007404FA" w:rsidRDefault="00DD740D" w:rsidP="00DB6B05">
      <w:pPr>
        <w:numPr>
          <w:ilvl w:val="0"/>
          <w:numId w:val="9"/>
        </w:numPr>
        <w:spacing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w:t>
      </w:r>
      <w:r w:rsidR="001B4178" w:rsidRPr="007404FA">
        <w:rPr>
          <w:rFonts w:ascii="Times New Roman" w:hAnsi="Times New Roman" w:cs="Times New Roman"/>
          <w:sz w:val="24"/>
          <w:szCs w:val="24"/>
        </w:rPr>
        <w:t>писание на звеното за приемане на заявления за предоставяне на достъп до обществена информация и информация за повторно ползване;</w:t>
      </w:r>
    </w:p>
    <w:p w:rsidR="001B4178" w:rsidRPr="007404FA" w:rsidRDefault="00DD740D" w:rsidP="00DB6B05">
      <w:pPr>
        <w:numPr>
          <w:ilvl w:val="0"/>
          <w:numId w:val="9"/>
        </w:numPr>
        <w:spacing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w:t>
      </w:r>
      <w:r w:rsidR="001B4178" w:rsidRPr="007404FA">
        <w:rPr>
          <w:rFonts w:ascii="Times New Roman" w:hAnsi="Times New Roman" w:cs="Times New Roman"/>
          <w:sz w:val="24"/>
          <w:szCs w:val="24"/>
        </w:rPr>
        <w:t>азходи за предоставяне на достъп до обществена информация и информация за повторно ползване;</w:t>
      </w:r>
    </w:p>
    <w:p w:rsidR="001B4178" w:rsidRPr="007404FA" w:rsidRDefault="00DD740D" w:rsidP="00DB6B05">
      <w:pPr>
        <w:numPr>
          <w:ilvl w:val="0"/>
          <w:numId w:val="9"/>
        </w:numPr>
        <w:spacing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w:t>
      </w:r>
      <w:r w:rsidR="001B4178" w:rsidRPr="007404FA">
        <w:rPr>
          <w:rFonts w:ascii="Times New Roman" w:hAnsi="Times New Roman" w:cs="Times New Roman"/>
          <w:sz w:val="24"/>
          <w:szCs w:val="24"/>
        </w:rPr>
        <w:t>ед за достъп до публичните регистри на КЗЛД;</w:t>
      </w:r>
    </w:p>
    <w:p w:rsidR="001B4178" w:rsidRPr="007404FA" w:rsidRDefault="00DD740D" w:rsidP="00DB6B05">
      <w:pPr>
        <w:numPr>
          <w:ilvl w:val="0"/>
          <w:numId w:val="9"/>
        </w:numPr>
        <w:spacing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w:t>
      </w:r>
      <w:r w:rsidR="001B4178" w:rsidRPr="007404FA">
        <w:rPr>
          <w:rFonts w:ascii="Times New Roman" w:hAnsi="Times New Roman" w:cs="Times New Roman"/>
          <w:sz w:val="24"/>
          <w:szCs w:val="24"/>
        </w:rPr>
        <w:t>писание на информационните масиви и ресурси, използвани в администрацията на КЗЛД;</w:t>
      </w:r>
    </w:p>
    <w:p w:rsidR="001B4178" w:rsidRPr="007404FA" w:rsidRDefault="00DD740D" w:rsidP="00DB6B05">
      <w:pPr>
        <w:numPr>
          <w:ilvl w:val="0"/>
          <w:numId w:val="9"/>
        </w:numPr>
        <w:spacing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w:t>
      </w:r>
      <w:r w:rsidR="001B4178" w:rsidRPr="007404FA">
        <w:rPr>
          <w:rFonts w:ascii="Times New Roman" w:hAnsi="Times New Roman" w:cs="Times New Roman"/>
          <w:sz w:val="24"/>
          <w:szCs w:val="24"/>
        </w:rPr>
        <w:t>писък на издадените актове и текстове на издадените нормативни и общи административни актове;</w:t>
      </w:r>
    </w:p>
    <w:p w:rsidR="001B4178" w:rsidRPr="007404FA" w:rsidRDefault="00DD740D" w:rsidP="00DB6B05">
      <w:pPr>
        <w:numPr>
          <w:ilvl w:val="0"/>
          <w:numId w:val="9"/>
        </w:numPr>
        <w:spacing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w:t>
      </w:r>
      <w:r w:rsidR="001B4178" w:rsidRPr="007404FA">
        <w:rPr>
          <w:rFonts w:ascii="Times New Roman" w:hAnsi="Times New Roman" w:cs="Times New Roman"/>
          <w:sz w:val="24"/>
          <w:szCs w:val="24"/>
        </w:rPr>
        <w:t>писък на категориите информация, подлежаща на публикуване в интернет, както и форматите, в които е достъпна;</w:t>
      </w:r>
    </w:p>
    <w:p w:rsidR="001B4178" w:rsidRPr="007404FA" w:rsidRDefault="00DD740D" w:rsidP="00DB6B05">
      <w:pPr>
        <w:numPr>
          <w:ilvl w:val="0"/>
          <w:numId w:val="9"/>
        </w:numPr>
        <w:spacing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г</w:t>
      </w:r>
      <w:r w:rsidR="001B4178" w:rsidRPr="007404FA">
        <w:rPr>
          <w:rFonts w:ascii="Times New Roman" w:hAnsi="Times New Roman" w:cs="Times New Roman"/>
          <w:sz w:val="24"/>
          <w:szCs w:val="24"/>
        </w:rPr>
        <w:t xml:space="preserve">одишен отчет за постъпилите заявления за достъп до обществена информация и за повторно ползване на информация от обществения сектор, който включва и данни за направените откази и причините за това. </w:t>
      </w:r>
    </w:p>
    <w:p w:rsidR="001B4178" w:rsidRPr="007404FA" w:rsidRDefault="001B4178"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В таблицата по-долу е представена обобщена информация относно постъпили и разгледани заявления за достъп до обществена информация през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w:t>
      </w:r>
    </w:p>
    <w:tbl>
      <w:tblPr>
        <w:tblW w:w="9346" w:type="dxa"/>
        <w:tblCellMar>
          <w:left w:w="0" w:type="dxa"/>
          <w:right w:w="0" w:type="dxa"/>
        </w:tblCellMar>
        <w:tblLook w:val="04A0" w:firstRow="1" w:lastRow="0" w:firstColumn="1" w:lastColumn="0" w:noHBand="0" w:noVBand="1"/>
      </w:tblPr>
      <w:tblGrid>
        <w:gridCol w:w="8181"/>
        <w:gridCol w:w="1165"/>
      </w:tblGrid>
      <w:tr w:rsidR="001B4178" w:rsidRPr="007404FA" w:rsidTr="0061415E">
        <w:tc>
          <w:tcPr>
            <w:tcW w:w="8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4178" w:rsidRPr="007404FA" w:rsidRDefault="001B4178" w:rsidP="00DB6B05">
            <w:pPr>
              <w:spacing w:line="360" w:lineRule="auto"/>
              <w:ind w:firstLine="22"/>
              <w:jc w:val="both"/>
              <w:rPr>
                <w:rFonts w:ascii="Times New Roman" w:hAnsi="Times New Roman" w:cs="Times New Roman"/>
                <w:b/>
                <w:sz w:val="24"/>
                <w:szCs w:val="24"/>
              </w:rPr>
            </w:pPr>
            <w:r w:rsidRPr="007404FA">
              <w:rPr>
                <w:rFonts w:ascii="Times New Roman" w:hAnsi="Times New Roman" w:cs="Times New Roman"/>
                <w:b/>
                <w:sz w:val="24"/>
                <w:szCs w:val="24"/>
              </w:rPr>
              <w:t>Общ брой постъпили заявления за достъп до обществена информация:</w:t>
            </w:r>
          </w:p>
        </w:tc>
        <w:tc>
          <w:tcPr>
            <w:tcW w:w="10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4178" w:rsidRPr="007404FA" w:rsidRDefault="001B4178" w:rsidP="00DB6B05">
            <w:pPr>
              <w:spacing w:line="360" w:lineRule="auto"/>
              <w:ind w:firstLine="709"/>
              <w:jc w:val="both"/>
              <w:rPr>
                <w:rFonts w:ascii="Times New Roman" w:hAnsi="Times New Roman" w:cs="Times New Roman"/>
                <w:b/>
                <w:sz w:val="24"/>
                <w:szCs w:val="24"/>
              </w:rPr>
            </w:pPr>
            <w:r w:rsidRPr="007404FA">
              <w:rPr>
                <w:rFonts w:ascii="Times New Roman" w:hAnsi="Times New Roman" w:cs="Times New Roman"/>
                <w:b/>
                <w:sz w:val="24"/>
                <w:szCs w:val="24"/>
              </w:rPr>
              <w:t>22</w:t>
            </w:r>
          </w:p>
        </w:tc>
      </w:tr>
      <w:tr w:rsidR="001B4178" w:rsidRPr="007404FA" w:rsidTr="0061415E">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4178" w:rsidRPr="007404FA" w:rsidRDefault="001B4178" w:rsidP="00DB6B05">
            <w:pPr>
              <w:numPr>
                <w:ilvl w:val="0"/>
                <w:numId w:val="6"/>
              </w:numPr>
              <w:spacing w:line="360" w:lineRule="auto"/>
              <w:ind w:left="0" w:firstLine="709"/>
              <w:contextualSpacing/>
              <w:jc w:val="both"/>
              <w:rPr>
                <w:rFonts w:ascii="Times New Roman" w:hAnsi="Times New Roman" w:cs="Times New Roman"/>
                <w:sz w:val="24"/>
                <w:szCs w:val="24"/>
              </w:rPr>
            </w:pPr>
            <w:r w:rsidRPr="007404FA">
              <w:rPr>
                <w:rFonts w:ascii="Times New Roman" w:hAnsi="Times New Roman" w:cs="Times New Roman"/>
                <w:sz w:val="24"/>
                <w:szCs w:val="24"/>
              </w:rPr>
              <w:t>От граждани на Република България</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1B4178" w:rsidRPr="007404FA" w:rsidRDefault="00BF6D75"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1</w:t>
            </w:r>
            <w:r w:rsidR="005455B0" w:rsidRPr="007404FA">
              <w:rPr>
                <w:rFonts w:ascii="Times New Roman" w:hAnsi="Times New Roman" w:cs="Times New Roman"/>
                <w:sz w:val="24"/>
                <w:szCs w:val="24"/>
              </w:rPr>
              <w:t>4</w:t>
            </w:r>
          </w:p>
        </w:tc>
      </w:tr>
      <w:tr w:rsidR="001B4178" w:rsidRPr="007404FA" w:rsidTr="0061415E">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4178" w:rsidRPr="007404FA" w:rsidRDefault="001B4178" w:rsidP="00DB6B05">
            <w:pPr>
              <w:numPr>
                <w:ilvl w:val="0"/>
                <w:numId w:val="6"/>
              </w:numPr>
              <w:spacing w:line="360" w:lineRule="auto"/>
              <w:ind w:left="0" w:firstLine="709"/>
              <w:contextualSpacing/>
              <w:jc w:val="both"/>
              <w:rPr>
                <w:rFonts w:ascii="Times New Roman" w:hAnsi="Times New Roman" w:cs="Times New Roman"/>
                <w:sz w:val="24"/>
                <w:szCs w:val="24"/>
              </w:rPr>
            </w:pPr>
            <w:r w:rsidRPr="007404FA">
              <w:rPr>
                <w:rFonts w:ascii="Times New Roman" w:hAnsi="Times New Roman" w:cs="Times New Roman"/>
                <w:sz w:val="24"/>
                <w:szCs w:val="24"/>
              </w:rPr>
              <w:t>От чужденци</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1B4178" w:rsidRPr="007404FA" w:rsidRDefault="00CE7AA8"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2</w:t>
            </w:r>
          </w:p>
        </w:tc>
      </w:tr>
      <w:tr w:rsidR="001B4178" w:rsidRPr="007404FA" w:rsidTr="0061415E">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4178" w:rsidRPr="007404FA" w:rsidRDefault="001B4178" w:rsidP="00DB6B05">
            <w:pPr>
              <w:numPr>
                <w:ilvl w:val="0"/>
                <w:numId w:val="6"/>
              </w:numPr>
              <w:spacing w:line="360" w:lineRule="auto"/>
              <w:ind w:left="0" w:firstLine="709"/>
              <w:contextualSpacing/>
              <w:jc w:val="both"/>
              <w:rPr>
                <w:rFonts w:ascii="Times New Roman" w:hAnsi="Times New Roman" w:cs="Times New Roman"/>
                <w:sz w:val="24"/>
                <w:szCs w:val="24"/>
              </w:rPr>
            </w:pPr>
            <w:r w:rsidRPr="007404FA">
              <w:rPr>
                <w:rFonts w:ascii="Times New Roman" w:hAnsi="Times New Roman" w:cs="Times New Roman"/>
                <w:sz w:val="24"/>
                <w:szCs w:val="24"/>
              </w:rPr>
              <w:t>От медии</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1B4178" w:rsidRPr="007404FA" w:rsidRDefault="00CE7AA8"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0</w:t>
            </w:r>
          </w:p>
        </w:tc>
      </w:tr>
      <w:tr w:rsidR="001B4178" w:rsidRPr="007404FA" w:rsidTr="0061415E">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4178" w:rsidRPr="007404FA" w:rsidRDefault="001B4178" w:rsidP="00DB6B05">
            <w:pPr>
              <w:numPr>
                <w:ilvl w:val="0"/>
                <w:numId w:val="6"/>
              </w:numPr>
              <w:spacing w:line="360" w:lineRule="auto"/>
              <w:ind w:left="0" w:firstLine="709"/>
              <w:contextualSpacing/>
              <w:jc w:val="both"/>
              <w:rPr>
                <w:rFonts w:ascii="Times New Roman" w:hAnsi="Times New Roman" w:cs="Times New Roman"/>
                <w:sz w:val="24"/>
                <w:szCs w:val="24"/>
              </w:rPr>
            </w:pPr>
            <w:r w:rsidRPr="007404FA">
              <w:rPr>
                <w:rFonts w:ascii="Times New Roman" w:hAnsi="Times New Roman" w:cs="Times New Roman"/>
                <w:sz w:val="24"/>
                <w:szCs w:val="24"/>
              </w:rPr>
              <w:t>От НПО</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1B4178" w:rsidRPr="007404FA" w:rsidRDefault="00DB08A5"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3</w:t>
            </w:r>
          </w:p>
        </w:tc>
      </w:tr>
      <w:tr w:rsidR="001B4178" w:rsidRPr="007404FA" w:rsidTr="00774CCA">
        <w:tc>
          <w:tcPr>
            <w:tcW w:w="83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B4178" w:rsidRPr="007404FA" w:rsidRDefault="001B4178" w:rsidP="00DB6B05">
            <w:pPr>
              <w:numPr>
                <w:ilvl w:val="0"/>
                <w:numId w:val="6"/>
              </w:numPr>
              <w:spacing w:line="360" w:lineRule="auto"/>
              <w:ind w:left="0" w:firstLine="709"/>
              <w:contextualSpacing/>
              <w:jc w:val="both"/>
              <w:rPr>
                <w:rFonts w:ascii="Times New Roman" w:hAnsi="Times New Roman" w:cs="Times New Roman"/>
                <w:sz w:val="24"/>
                <w:szCs w:val="24"/>
              </w:rPr>
            </w:pPr>
            <w:r w:rsidRPr="007404FA">
              <w:rPr>
                <w:rFonts w:ascii="Times New Roman" w:hAnsi="Times New Roman" w:cs="Times New Roman"/>
                <w:sz w:val="24"/>
                <w:szCs w:val="24"/>
              </w:rPr>
              <w:t>От частноправни субекти</w:t>
            </w:r>
          </w:p>
        </w:tc>
        <w:tc>
          <w:tcPr>
            <w:tcW w:w="1016" w:type="dxa"/>
            <w:tcBorders>
              <w:top w:val="nil"/>
              <w:left w:val="nil"/>
              <w:bottom w:val="single" w:sz="4" w:space="0" w:color="auto"/>
              <w:right w:val="single" w:sz="8" w:space="0" w:color="auto"/>
            </w:tcBorders>
            <w:tcMar>
              <w:top w:w="0" w:type="dxa"/>
              <w:left w:w="108" w:type="dxa"/>
              <w:bottom w:w="0" w:type="dxa"/>
              <w:right w:w="108" w:type="dxa"/>
            </w:tcMar>
            <w:hideMark/>
          </w:tcPr>
          <w:p w:rsidR="001B4178" w:rsidRPr="007404FA" w:rsidRDefault="00C01D92"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3</w:t>
            </w:r>
          </w:p>
        </w:tc>
      </w:tr>
      <w:tr w:rsidR="001B4178" w:rsidRPr="007404FA" w:rsidTr="00774CCA">
        <w:tc>
          <w:tcPr>
            <w:tcW w:w="833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4178" w:rsidRPr="007404FA" w:rsidRDefault="001B4178" w:rsidP="00DB6B05">
            <w:pPr>
              <w:spacing w:line="360" w:lineRule="auto"/>
              <w:jc w:val="both"/>
              <w:rPr>
                <w:rFonts w:ascii="Times New Roman" w:hAnsi="Times New Roman" w:cs="Times New Roman"/>
                <w:b/>
                <w:sz w:val="24"/>
                <w:szCs w:val="24"/>
              </w:rPr>
            </w:pPr>
            <w:r w:rsidRPr="007404FA">
              <w:rPr>
                <w:rFonts w:ascii="Times New Roman" w:hAnsi="Times New Roman" w:cs="Times New Roman"/>
                <w:b/>
                <w:sz w:val="24"/>
                <w:szCs w:val="24"/>
              </w:rPr>
              <w:lastRenderedPageBreak/>
              <w:t xml:space="preserve">Общ брой решения по заявления за предоставяне на достъп до обществена информация: </w:t>
            </w:r>
          </w:p>
        </w:tc>
        <w:tc>
          <w:tcPr>
            <w:tcW w:w="101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B4178" w:rsidRPr="007404FA" w:rsidRDefault="00E45CB7" w:rsidP="00DB6B05">
            <w:pPr>
              <w:spacing w:line="360" w:lineRule="auto"/>
              <w:ind w:firstLine="709"/>
              <w:jc w:val="both"/>
              <w:rPr>
                <w:rFonts w:ascii="Times New Roman" w:hAnsi="Times New Roman" w:cs="Times New Roman"/>
                <w:b/>
                <w:sz w:val="24"/>
                <w:szCs w:val="24"/>
              </w:rPr>
            </w:pPr>
            <w:r w:rsidRPr="007404FA">
              <w:rPr>
                <w:rFonts w:ascii="Times New Roman" w:hAnsi="Times New Roman" w:cs="Times New Roman"/>
                <w:b/>
                <w:sz w:val="24"/>
                <w:szCs w:val="24"/>
              </w:rPr>
              <w:t>18</w:t>
            </w:r>
          </w:p>
        </w:tc>
      </w:tr>
      <w:tr w:rsidR="001B4178" w:rsidRPr="007404FA" w:rsidTr="0061415E">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4178" w:rsidRPr="007404FA" w:rsidRDefault="001B4178" w:rsidP="00DB6B05">
            <w:pPr>
              <w:numPr>
                <w:ilvl w:val="0"/>
                <w:numId w:val="6"/>
              </w:numPr>
              <w:spacing w:line="360" w:lineRule="auto"/>
              <w:ind w:left="0" w:firstLine="709"/>
              <w:contextualSpacing/>
              <w:jc w:val="both"/>
              <w:rPr>
                <w:rFonts w:ascii="Times New Roman" w:hAnsi="Times New Roman" w:cs="Times New Roman"/>
                <w:sz w:val="24"/>
                <w:szCs w:val="24"/>
              </w:rPr>
            </w:pPr>
            <w:r w:rsidRPr="007404FA">
              <w:rPr>
                <w:rFonts w:ascii="Times New Roman" w:hAnsi="Times New Roman" w:cs="Times New Roman"/>
                <w:sz w:val="24"/>
                <w:szCs w:val="24"/>
              </w:rPr>
              <w:t>Предоставяне на пълен достъп до обществена информация</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1B4178" w:rsidRPr="007404FA" w:rsidRDefault="001B4178"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18</w:t>
            </w:r>
          </w:p>
        </w:tc>
      </w:tr>
      <w:tr w:rsidR="001B4178" w:rsidRPr="007404FA" w:rsidTr="0061415E">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4178" w:rsidRPr="007404FA" w:rsidRDefault="001B4178" w:rsidP="00DB6B05">
            <w:pPr>
              <w:numPr>
                <w:ilvl w:val="0"/>
                <w:numId w:val="6"/>
              </w:numPr>
              <w:spacing w:line="360" w:lineRule="auto"/>
              <w:ind w:left="0" w:firstLine="709"/>
              <w:contextualSpacing/>
              <w:jc w:val="both"/>
              <w:rPr>
                <w:rFonts w:ascii="Times New Roman" w:hAnsi="Times New Roman" w:cs="Times New Roman"/>
                <w:sz w:val="24"/>
                <w:szCs w:val="24"/>
              </w:rPr>
            </w:pPr>
            <w:r w:rsidRPr="007404FA">
              <w:rPr>
                <w:rFonts w:ascii="Times New Roman" w:hAnsi="Times New Roman" w:cs="Times New Roman"/>
                <w:sz w:val="24"/>
                <w:szCs w:val="24"/>
              </w:rPr>
              <w:t>Предоставяне на частичен достъп до обществена информация</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1B4178" w:rsidRPr="007404FA" w:rsidRDefault="001B4178"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0</w:t>
            </w:r>
          </w:p>
        </w:tc>
      </w:tr>
      <w:tr w:rsidR="001B4178" w:rsidRPr="007404FA" w:rsidTr="0061415E">
        <w:tc>
          <w:tcPr>
            <w:tcW w:w="83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B4178" w:rsidRPr="007404FA" w:rsidRDefault="001B4178" w:rsidP="00DB6B05">
            <w:pPr>
              <w:numPr>
                <w:ilvl w:val="0"/>
                <w:numId w:val="6"/>
              </w:numPr>
              <w:spacing w:line="360" w:lineRule="auto"/>
              <w:ind w:left="0" w:firstLine="709"/>
              <w:contextualSpacing/>
              <w:jc w:val="both"/>
              <w:rPr>
                <w:rFonts w:ascii="Times New Roman" w:hAnsi="Times New Roman" w:cs="Times New Roman"/>
                <w:sz w:val="24"/>
                <w:szCs w:val="24"/>
              </w:rPr>
            </w:pPr>
            <w:r w:rsidRPr="007404FA">
              <w:rPr>
                <w:rFonts w:ascii="Times New Roman" w:hAnsi="Times New Roman" w:cs="Times New Roman"/>
                <w:sz w:val="24"/>
                <w:szCs w:val="24"/>
              </w:rPr>
              <w:t>Предоставяне на достъп при надделяващ обществен интерес</w:t>
            </w:r>
          </w:p>
        </w:tc>
        <w:tc>
          <w:tcPr>
            <w:tcW w:w="1016" w:type="dxa"/>
            <w:tcBorders>
              <w:top w:val="nil"/>
              <w:left w:val="nil"/>
              <w:bottom w:val="single" w:sz="4" w:space="0" w:color="auto"/>
              <w:right w:val="single" w:sz="8" w:space="0" w:color="auto"/>
            </w:tcBorders>
            <w:tcMar>
              <w:top w:w="0" w:type="dxa"/>
              <w:left w:w="108" w:type="dxa"/>
              <w:bottom w:w="0" w:type="dxa"/>
              <w:right w:w="108" w:type="dxa"/>
            </w:tcMar>
            <w:hideMark/>
          </w:tcPr>
          <w:p w:rsidR="001B4178" w:rsidRPr="007404FA" w:rsidRDefault="001B4178"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0</w:t>
            </w:r>
          </w:p>
        </w:tc>
      </w:tr>
      <w:tr w:rsidR="001B4178" w:rsidRPr="007404FA" w:rsidTr="0061415E">
        <w:tc>
          <w:tcPr>
            <w:tcW w:w="833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4178" w:rsidRPr="007404FA" w:rsidRDefault="001B4178" w:rsidP="00DB6B05">
            <w:pPr>
              <w:numPr>
                <w:ilvl w:val="0"/>
                <w:numId w:val="6"/>
              </w:numPr>
              <w:spacing w:line="360" w:lineRule="auto"/>
              <w:ind w:left="0" w:firstLine="709"/>
              <w:contextualSpacing/>
              <w:jc w:val="both"/>
              <w:rPr>
                <w:rFonts w:ascii="Times New Roman" w:hAnsi="Times New Roman" w:cs="Times New Roman"/>
                <w:sz w:val="24"/>
                <w:szCs w:val="24"/>
              </w:rPr>
            </w:pPr>
            <w:r w:rsidRPr="007404FA">
              <w:rPr>
                <w:rFonts w:ascii="Times New Roman" w:hAnsi="Times New Roman" w:cs="Times New Roman"/>
                <w:sz w:val="24"/>
                <w:szCs w:val="24"/>
              </w:rPr>
              <w:t>Отказ за предоставяне на достъп до обществена информация</w:t>
            </w:r>
          </w:p>
        </w:tc>
        <w:tc>
          <w:tcPr>
            <w:tcW w:w="101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B4178" w:rsidRPr="007404FA" w:rsidRDefault="001B4178"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0</w:t>
            </w:r>
          </w:p>
        </w:tc>
      </w:tr>
      <w:tr w:rsidR="001B4178" w:rsidRPr="007404FA" w:rsidTr="0061415E">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4178" w:rsidRPr="007404FA" w:rsidRDefault="001B4178" w:rsidP="00DB6B05">
            <w:pPr>
              <w:spacing w:line="360" w:lineRule="auto"/>
              <w:ind w:firstLine="22"/>
              <w:jc w:val="both"/>
              <w:rPr>
                <w:rFonts w:ascii="Times New Roman" w:hAnsi="Times New Roman" w:cs="Times New Roman"/>
                <w:b/>
                <w:sz w:val="24"/>
                <w:szCs w:val="24"/>
              </w:rPr>
            </w:pPr>
            <w:r w:rsidRPr="007404FA">
              <w:rPr>
                <w:rFonts w:ascii="Times New Roman" w:hAnsi="Times New Roman" w:cs="Times New Roman"/>
                <w:b/>
                <w:sz w:val="24"/>
                <w:szCs w:val="24"/>
              </w:rPr>
              <w:t>Уведомление за липса на исканата обществена информация</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1B4178" w:rsidRPr="007404FA" w:rsidRDefault="001B4178" w:rsidP="00DB6B05">
            <w:pPr>
              <w:spacing w:line="360" w:lineRule="auto"/>
              <w:ind w:firstLine="709"/>
              <w:jc w:val="both"/>
              <w:rPr>
                <w:rFonts w:ascii="Times New Roman" w:hAnsi="Times New Roman" w:cs="Times New Roman"/>
                <w:b/>
                <w:sz w:val="24"/>
                <w:szCs w:val="24"/>
              </w:rPr>
            </w:pPr>
            <w:r w:rsidRPr="007404FA">
              <w:rPr>
                <w:rFonts w:ascii="Times New Roman" w:hAnsi="Times New Roman" w:cs="Times New Roman"/>
                <w:b/>
                <w:sz w:val="24"/>
                <w:szCs w:val="24"/>
              </w:rPr>
              <w:t>1</w:t>
            </w:r>
          </w:p>
        </w:tc>
      </w:tr>
      <w:tr w:rsidR="001B4178" w:rsidRPr="007404FA" w:rsidTr="0061415E">
        <w:tc>
          <w:tcPr>
            <w:tcW w:w="83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B4178" w:rsidRPr="007404FA" w:rsidRDefault="001B4178" w:rsidP="00DB6B05">
            <w:pPr>
              <w:spacing w:line="360" w:lineRule="auto"/>
              <w:ind w:firstLine="22"/>
              <w:jc w:val="both"/>
              <w:rPr>
                <w:rFonts w:ascii="Times New Roman" w:hAnsi="Times New Roman" w:cs="Times New Roman"/>
                <w:b/>
                <w:sz w:val="24"/>
                <w:szCs w:val="24"/>
              </w:rPr>
            </w:pPr>
            <w:r w:rsidRPr="007404FA">
              <w:rPr>
                <w:rFonts w:ascii="Times New Roman" w:hAnsi="Times New Roman" w:cs="Times New Roman"/>
                <w:b/>
                <w:sz w:val="24"/>
                <w:szCs w:val="24"/>
              </w:rPr>
              <w:t>Препращане на заявлението, когато КЗЛД не разполага с исканата информация, но знае за нейното местонахождение</w:t>
            </w:r>
          </w:p>
        </w:tc>
        <w:tc>
          <w:tcPr>
            <w:tcW w:w="1016" w:type="dxa"/>
            <w:tcBorders>
              <w:top w:val="nil"/>
              <w:left w:val="nil"/>
              <w:bottom w:val="single" w:sz="4" w:space="0" w:color="auto"/>
              <w:right w:val="single" w:sz="8" w:space="0" w:color="auto"/>
            </w:tcBorders>
            <w:tcMar>
              <w:top w:w="0" w:type="dxa"/>
              <w:left w:w="108" w:type="dxa"/>
              <w:bottom w:w="0" w:type="dxa"/>
              <w:right w:w="108" w:type="dxa"/>
            </w:tcMar>
            <w:hideMark/>
          </w:tcPr>
          <w:p w:rsidR="001B4178" w:rsidRPr="007404FA" w:rsidRDefault="001B4178" w:rsidP="00DB6B05">
            <w:pPr>
              <w:spacing w:line="360" w:lineRule="auto"/>
              <w:ind w:firstLine="709"/>
              <w:jc w:val="both"/>
              <w:rPr>
                <w:rFonts w:ascii="Times New Roman" w:hAnsi="Times New Roman" w:cs="Times New Roman"/>
                <w:b/>
                <w:sz w:val="24"/>
                <w:szCs w:val="24"/>
              </w:rPr>
            </w:pPr>
            <w:r w:rsidRPr="007404FA">
              <w:rPr>
                <w:rFonts w:ascii="Times New Roman" w:hAnsi="Times New Roman" w:cs="Times New Roman"/>
                <w:b/>
                <w:sz w:val="24"/>
                <w:szCs w:val="24"/>
              </w:rPr>
              <w:t>2</w:t>
            </w:r>
          </w:p>
        </w:tc>
      </w:tr>
      <w:tr w:rsidR="001B4178" w:rsidRPr="007404FA" w:rsidTr="0061415E">
        <w:tc>
          <w:tcPr>
            <w:tcW w:w="8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4178" w:rsidRPr="007404FA" w:rsidRDefault="001B4178" w:rsidP="00DB6B05">
            <w:pPr>
              <w:spacing w:line="360" w:lineRule="auto"/>
              <w:ind w:firstLine="22"/>
              <w:jc w:val="both"/>
              <w:rPr>
                <w:rFonts w:ascii="Times New Roman" w:hAnsi="Times New Roman" w:cs="Times New Roman"/>
                <w:b/>
                <w:sz w:val="24"/>
                <w:szCs w:val="24"/>
              </w:rPr>
            </w:pPr>
            <w:r w:rsidRPr="007404FA">
              <w:rPr>
                <w:rFonts w:ascii="Times New Roman" w:hAnsi="Times New Roman" w:cs="Times New Roman"/>
                <w:b/>
                <w:sz w:val="24"/>
                <w:szCs w:val="24"/>
              </w:rPr>
              <w:t>Предоставяне на информация по реда на административното обслужване или по реда на АПК</w:t>
            </w:r>
          </w:p>
        </w:tc>
        <w:tc>
          <w:tcPr>
            <w:tcW w:w="1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178" w:rsidRPr="007404FA" w:rsidRDefault="001B4178" w:rsidP="00DB6B05">
            <w:pPr>
              <w:spacing w:line="360" w:lineRule="auto"/>
              <w:ind w:firstLine="709"/>
              <w:jc w:val="both"/>
              <w:rPr>
                <w:rFonts w:ascii="Times New Roman" w:hAnsi="Times New Roman" w:cs="Times New Roman"/>
                <w:b/>
                <w:sz w:val="24"/>
                <w:szCs w:val="24"/>
              </w:rPr>
            </w:pPr>
            <w:r w:rsidRPr="007404FA">
              <w:rPr>
                <w:rFonts w:ascii="Times New Roman" w:hAnsi="Times New Roman" w:cs="Times New Roman"/>
                <w:b/>
                <w:sz w:val="24"/>
                <w:szCs w:val="24"/>
              </w:rPr>
              <w:t>0</w:t>
            </w:r>
          </w:p>
        </w:tc>
      </w:tr>
      <w:tr w:rsidR="001B4178" w:rsidRPr="007404FA" w:rsidTr="0061415E">
        <w:tc>
          <w:tcPr>
            <w:tcW w:w="833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4178" w:rsidRPr="007404FA" w:rsidRDefault="001B4178" w:rsidP="00DB6B05">
            <w:pPr>
              <w:spacing w:line="360" w:lineRule="auto"/>
              <w:ind w:firstLine="22"/>
              <w:jc w:val="both"/>
              <w:rPr>
                <w:rFonts w:ascii="Times New Roman" w:hAnsi="Times New Roman" w:cs="Times New Roman"/>
                <w:b/>
                <w:sz w:val="24"/>
                <w:szCs w:val="24"/>
              </w:rPr>
            </w:pPr>
            <w:r w:rsidRPr="007404FA">
              <w:rPr>
                <w:rFonts w:ascii="Times New Roman" w:hAnsi="Times New Roman" w:cs="Times New Roman"/>
                <w:b/>
                <w:sz w:val="24"/>
                <w:szCs w:val="24"/>
              </w:rPr>
              <w:t>Заявления, които не отговарят на</w:t>
            </w:r>
            <w:r w:rsidR="00F06583" w:rsidRPr="007404FA">
              <w:rPr>
                <w:rFonts w:ascii="Times New Roman" w:hAnsi="Times New Roman" w:cs="Times New Roman"/>
                <w:b/>
                <w:sz w:val="24"/>
                <w:szCs w:val="24"/>
              </w:rPr>
              <w:t xml:space="preserve"> чл. </w:t>
            </w:r>
            <w:r w:rsidRPr="007404FA">
              <w:rPr>
                <w:rFonts w:ascii="Times New Roman" w:hAnsi="Times New Roman" w:cs="Times New Roman"/>
                <w:b/>
                <w:sz w:val="24"/>
                <w:szCs w:val="24"/>
              </w:rPr>
              <w:t>25 във вр. с</w:t>
            </w:r>
            <w:r w:rsidR="00F06583" w:rsidRPr="007404FA">
              <w:rPr>
                <w:rFonts w:ascii="Times New Roman" w:hAnsi="Times New Roman" w:cs="Times New Roman"/>
                <w:b/>
                <w:sz w:val="24"/>
                <w:szCs w:val="24"/>
              </w:rPr>
              <w:t xml:space="preserve"> чл. </w:t>
            </w:r>
            <w:r w:rsidRPr="007404FA">
              <w:rPr>
                <w:rFonts w:ascii="Times New Roman" w:hAnsi="Times New Roman" w:cs="Times New Roman"/>
                <w:b/>
                <w:sz w:val="24"/>
                <w:szCs w:val="24"/>
              </w:rPr>
              <w:t>2,</w:t>
            </w:r>
            <w:r w:rsidR="00F06583" w:rsidRPr="007404FA">
              <w:rPr>
                <w:rFonts w:ascii="Times New Roman" w:hAnsi="Times New Roman" w:cs="Times New Roman"/>
                <w:b/>
                <w:sz w:val="24"/>
                <w:szCs w:val="24"/>
              </w:rPr>
              <w:t xml:space="preserve"> ал. </w:t>
            </w:r>
            <w:r w:rsidRPr="007404FA">
              <w:rPr>
                <w:rFonts w:ascii="Times New Roman" w:hAnsi="Times New Roman" w:cs="Times New Roman"/>
                <w:b/>
                <w:sz w:val="24"/>
                <w:szCs w:val="24"/>
              </w:rPr>
              <w:t>1 от ЗДОИ</w:t>
            </w:r>
          </w:p>
        </w:tc>
        <w:tc>
          <w:tcPr>
            <w:tcW w:w="101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B4178" w:rsidRPr="007404FA" w:rsidRDefault="001B4178" w:rsidP="00DB6B05">
            <w:pPr>
              <w:spacing w:line="360" w:lineRule="auto"/>
              <w:ind w:firstLine="709"/>
              <w:jc w:val="both"/>
              <w:rPr>
                <w:rFonts w:ascii="Times New Roman" w:hAnsi="Times New Roman" w:cs="Times New Roman"/>
                <w:b/>
                <w:sz w:val="24"/>
                <w:szCs w:val="24"/>
              </w:rPr>
            </w:pPr>
            <w:r w:rsidRPr="007404FA">
              <w:rPr>
                <w:rFonts w:ascii="Times New Roman" w:hAnsi="Times New Roman" w:cs="Times New Roman"/>
                <w:b/>
                <w:sz w:val="24"/>
                <w:szCs w:val="24"/>
              </w:rPr>
              <w:t>1</w:t>
            </w:r>
          </w:p>
        </w:tc>
      </w:tr>
      <w:tr w:rsidR="001B4178" w:rsidRPr="007404FA" w:rsidTr="0061415E">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4178" w:rsidRPr="007404FA" w:rsidRDefault="001B4178" w:rsidP="00DB6B05">
            <w:pPr>
              <w:spacing w:line="360" w:lineRule="auto"/>
              <w:ind w:firstLine="22"/>
              <w:jc w:val="both"/>
              <w:rPr>
                <w:rFonts w:ascii="Times New Roman" w:hAnsi="Times New Roman" w:cs="Times New Roman"/>
                <w:b/>
                <w:sz w:val="24"/>
                <w:szCs w:val="24"/>
              </w:rPr>
            </w:pPr>
            <w:r w:rsidRPr="007404FA">
              <w:rPr>
                <w:rFonts w:ascii="Times New Roman" w:hAnsi="Times New Roman" w:cs="Times New Roman"/>
                <w:b/>
                <w:sz w:val="24"/>
                <w:szCs w:val="24"/>
              </w:rPr>
              <w:t>Общ брой на постъпили искания за предоставяне на информация за повторно ползване</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1B4178" w:rsidRPr="007404FA" w:rsidRDefault="001B4178" w:rsidP="00DB6B05">
            <w:pPr>
              <w:spacing w:line="360" w:lineRule="auto"/>
              <w:ind w:firstLine="709"/>
              <w:jc w:val="both"/>
              <w:rPr>
                <w:rFonts w:ascii="Times New Roman" w:hAnsi="Times New Roman" w:cs="Times New Roman"/>
                <w:b/>
                <w:sz w:val="24"/>
                <w:szCs w:val="24"/>
              </w:rPr>
            </w:pPr>
            <w:r w:rsidRPr="007404FA">
              <w:rPr>
                <w:rFonts w:ascii="Times New Roman" w:hAnsi="Times New Roman" w:cs="Times New Roman"/>
                <w:b/>
                <w:sz w:val="24"/>
                <w:szCs w:val="24"/>
              </w:rPr>
              <w:t>0</w:t>
            </w:r>
          </w:p>
        </w:tc>
      </w:tr>
    </w:tbl>
    <w:p w:rsidR="001B4178" w:rsidRPr="007404FA" w:rsidRDefault="001B4178" w:rsidP="00DB6B05">
      <w:pPr>
        <w:spacing w:line="360" w:lineRule="auto"/>
        <w:ind w:firstLine="709"/>
        <w:jc w:val="both"/>
        <w:rPr>
          <w:rFonts w:ascii="Times New Roman" w:hAnsi="Times New Roman" w:cs="Times New Roman"/>
          <w:sz w:val="24"/>
          <w:szCs w:val="24"/>
        </w:rPr>
      </w:pPr>
    </w:p>
    <w:p w:rsidR="003915F2" w:rsidRPr="007404FA" w:rsidRDefault="001B4178"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На всички граждани и организации, заявили достъп до обществена информация, е предоставена такава през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в законовия срок. С оглед предмета на заявленията за достъп до обществена информация същите се отнасят до: достъп до изготвените и приети правила, уреждащи достъп до материали по преписките, съответно реда за получаване на копие от документи, съгласно</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87,</w:t>
      </w:r>
      <w:r w:rsidR="00F06583" w:rsidRPr="007404FA">
        <w:rPr>
          <w:rFonts w:ascii="Times New Roman" w:hAnsi="Times New Roman" w:cs="Times New Roman"/>
          <w:sz w:val="24"/>
          <w:szCs w:val="24"/>
        </w:rPr>
        <w:t xml:space="preserve"> ал. </w:t>
      </w:r>
      <w:r w:rsidRPr="007404FA">
        <w:rPr>
          <w:rFonts w:ascii="Times New Roman" w:hAnsi="Times New Roman" w:cs="Times New Roman"/>
          <w:sz w:val="24"/>
          <w:szCs w:val="24"/>
        </w:rPr>
        <w:t xml:space="preserve">4 от </w:t>
      </w:r>
      <w:r w:rsidR="00D43E72" w:rsidRPr="007404FA">
        <w:rPr>
          <w:rFonts w:ascii="Times New Roman" w:hAnsi="Times New Roman" w:cs="Times New Roman"/>
          <w:sz w:val="24"/>
          <w:szCs w:val="24"/>
        </w:rPr>
        <w:t>ПДКЗЛДНА</w:t>
      </w:r>
      <w:r w:rsidRPr="007404FA">
        <w:rPr>
          <w:rFonts w:ascii="Times New Roman" w:hAnsi="Times New Roman" w:cs="Times New Roman"/>
          <w:sz w:val="24"/>
          <w:szCs w:val="24"/>
        </w:rPr>
        <w:t>; достъп до регистъра на администраторите и обработващите лични данни, които са определили лица за защита на данните, който се поддържа от КЗЛД на основание</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15,</w:t>
      </w:r>
      <w:r w:rsidR="00F06583" w:rsidRPr="007404FA">
        <w:rPr>
          <w:rFonts w:ascii="Times New Roman" w:hAnsi="Times New Roman" w:cs="Times New Roman"/>
          <w:sz w:val="24"/>
          <w:szCs w:val="24"/>
        </w:rPr>
        <w:t xml:space="preserve"> ал. </w:t>
      </w:r>
      <w:r w:rsidRPr="007404FA">
        <w:rPr>
          <w:rFonts w:ascii="Times New Roman" w:hAnsi="Times New Roman" w:cs="Times New Roman"/>
          <w:sz w:val="24"/>
          <w:szCs w:val="24"/>
        </w:rPr>
        <w:t xml:space="preserve">1 от ЗЗЛД; броя на служебни автомобили; размер на допълнителното материално стимулиране на служителите; численост на персонала; брой постъпили жалба, сигнали относно злоупотреба с данни за политическа реклама или кампания; списък на категориите информация, подлежаща на публикуване в интернет, както и форматите, в които тази информация е достъпна. </w:t>
      </w:r>
    </w:p>
    <w:p w:rsidR="00496A2B" w:rsidRPr="007404FA" w:rsidRDefault="003915F2" w:rsidP="00DB6B05">
      <w:pPr>
        <w:spacing w:line="360" w:lineRule="auto"/>
        <w:ind w:firstLine="709"/>
        <w:jc w:val="both"/>
      </w:pPr>
      <w:r w:rsidRPr="007404FA">
        <w:rPr>
          <w:rFonts w:ascii="Times New Roman" w:hAnsi="Times New Roman" w:cs="Times New Roman"/>
          <w:sz w:val="24"/>
          <w:szCs w:val="24"/>
        </w:rPr>
        <w:t xml:space="preserve">Независимо от горното анализът на </w:t>
      </w:r>
      <w:r w:rsidR="00D43E72" w:rsidRPr="007404FA">
        <w:rPr>
          <w:rFonts w:ascii="Times New Roman" w:hAnsi="Times New Roman" w:cs="Times New Roman"/>
          <w:sz w:val="24"/>
          <w:szCs w:val="24"/>
        </w:rPr>
        <w:t>КЗЛД</w:t>
      </w:r>
      <w:r w:rsidRPr="007404FA">
        <w:rPr>
          <w:rFonts w:ascii="Times New Roman" w:hAnsi="Times New Roman" w:cs="Times New Roman"/>
          <w:sz w:val="24"/>
          <w:szCs w:val="24"/>
        </w:rPr>
        <w:t xml:space="preserve"> сочи, че част от подадените заявления за достъп</w:t>
      </w:r>
      <w:r w:rsidR="001F1369" w:rsidRPr="007404FA">
        <w:rPr>
          <w:rFonts w:ascii="Times New Roman" w:hAnsi="Times New Roman" w:cs="Times New Roman"/>
          <w:sz w:val="24"/>
          <w:szCs w:val="24"/>
        </w:rPr>
        <w:t xml:space="preserve"> </w:t>
      </w:r>
      <w:r w:rsidR="0001344C" w:rsidRPr="007404FA">
        <w:rPr>
          <w:rFonts w:ascii="Times New Roman" w:hAnsi="Times New Roman" w:cs="Times New Roman"/>
          <w:sz w:val="24"/>
          <w:szCs w:val="24"/>
        </w:rPr>
        <w:t xml:space="preserve">през годината </w:t>
      </w:r>
      <w:r w:rsidR="001F1369" w:rsidRPr="007404FA">
        <w:rPr>
          <w:rFonts w:ascii="Times New Roman" w:hAnsi="Times New Roman" w:cs="Times New Roman"/>
          <w:sz w:val="24"/>
          <w:szCs w:val="24"/>
        </w:rPr>
        <w:t>изобщо</w:t>
      </w:r>
      <w:r w:rsidR="00B10238" w:rsidRPr="007404FA">
        <w:rPr>
          <w:rFonts w:ascii="Times New Roman" w:hAnsi="Times New Roman" w:cs="Times New Roman"/>
          <w:sz w:val="24"/>
          <w:szCs w:val="24"/>
        </w:rPr>
        <w:t xml:space="preserve"> не се отнасят до въпроси, съставляващи</w:t>
      </w:r>
      <w:r w:rsidRPr="007404FA">
        <w:rPr>
          <w:rFonts w:ascii="Times New Roman" w:hAnsi="Times New Roman" w:cs="Times New Roman"/>
          <w:sz w:val="24"/>
          <w:szCs w:val="24"/>
        </w:rPr>
        <w:t xml:space="preserve"> обществена информация, а до такива, които са извън приложното поле на ЗДОИ. Това</w:t>
      </w:r>
      <w:r w:rsidR="00157B49">
        <w:rPr>
          <w:rFonts w:ascii="Times New Roman" w:hAnsi="Times New Roman" w:cs="Times New Roman"/>
          <w:sz w:val="24"/>
          <w:szCs w:val="24"/>
        </w:rPr>
        <w:t xml:space="preserve"> </w:t>
      </w:r>
      <w:r w:rsidRPr="007404FA">
        <w:rPr>
          <w:rFonts w:ascii="Times New Roman" w:hAnsi="Times New Roman" w:cs="Times New Roman"/>
          <w:sz w:val="24"/>
          <w:szCs w:val="24"/>
        </w:rPr>
        <w:t xml:space="preserve">навежда на мисълта или за сериозно непознаване на материалния обхват на </w:t>
      </w:r>
      <w:r w:rsidR="000F0916" w:rsidRPr="007404FA">
        <w:rPr>
          <w:rFonts w:ascii="Times New Roman" w:hAnsi="Times New Roman" w:cs="Times New Roman"/>
          <w:sz w:val="24"/>
          <w:szCs w:val="24"/>
        </w:rPr>
        <w:t>ЗДОИ</w:t>
      </w:r>
      <w:r w:rsidRPr="007404FA">
        <w:rPr>
          <w:rFonts w:ascii="Times New Roman" w:hAnsi="Times New Roman" w:cs="Times New Roman"/>
          <w:sz w:val="24"/>
          <w:szCs w:val="24"/>
        </w:rPr>
        <w:t xml:space="preserve">, или за наличие на </w:t>
      </w:r>
      <w:r w:rsidR="007C33E9" w:rsidRPr="007404FA">
        <w:rPr>
          <w:rFonts w:ascii="Times New Roman" w:hAnsi="Times New Roman" w:cs="Times New Roman"/>
          <w:sz w:val="24"/>
          <w:szCs w:val="24"/>
        </w:rPr>
        <w:t xml:space="preserve">отделни </w:t>
      </w:r>
      <w:r w:rsidR="00EC26D3" w:rsidRPr="007404FA">
        <w:rPr>
          <w:rFonts w:ascii="Times New Roman" w:hAnsi="Times New Roman" w:cs="Times New Roman"/>
          <w:sz w:val="24"/>
          <w:szCs w:val="24"/>
        </w:rPr>
        <w:t xml:space="preserve">случаи, респ. </w:t>
      </w:r>
      <w:r w:rsidRPr="007404FA">
        <w:rPr>
          <w:rFonts w:ascii="Times New Roman" w:hAnsi="Times New Roman" w:cs="Times New Roman"/>
          <w:sz w:val="24"/>
          <w:szCs w:val="24"/>
        </w:rPr>
        <w:t>тенденция</w:t>
      </w:r>
      <w:r w:rsidR="00DD740D">
        <w:rPr>
          <w:rFonts w:ascii="Times New Roman" w:hAnsi="Times New Roman" w:cs="Times New Roman"/>
          <w:sz w:val="24"/>
          <w:szCs w:val="24"/>
        </w:rPr>
        <w:t>,</w:t>
      </w:r>
      <w:r w:rsidR="00EC26D3" w:rsidRPr="007404FA">
        <w:rPr>
          <w:rFonts w:ascii="Times New Roman" w:hAnsi="Times New Roman" w:cs="Times New Roman"/>
          <w:sz w:val="24"/>
          <w:szCs w:val="24"/>
        </w:rPr>
        <w:t xml:space="preserve"> </w:t>
      </w:r>
      <w:r w:rsidRPr="007404FA">
        <w:rPr>
          <w:rFonts w:ascii="Times New Roman" w:hAnsi="Times New Roman" w:cs="Times New Roman"/>
          <w:sz w:val="24"/>
          <w:szCs w:val="24"/>
        </w:rPr>
        <w:t>за злоупотреба с права</w:t>
      </w:r>
      <w:r w:rsidR="00A71BC6" w:rsidRPr="007404FA">
        <w:rPr>
          <w:rFonts w:ascii="Times New Roman" w:hAnsi="Times New Roman" w:cs="Times New Roman"/>
          <w:sz w:val="24"/>
          <w:szCs w:val="24"/>
        </w:rPr>
        <w:t xml:space="preserve"> от страна на заявителите на информация</w:t>
      </w:r>
      <w:r w:rsidRPr="007404FA">
        <w:rPr>
          <w:rFonts w:ascii="Times New Roman" w:hAnsi="Times New Roman" w:cs="Times New Roman"/>
          <w:sz w:val="24"/>
          <w:szCs w:val="24"/>
        </w:rPr>
        <w:t>. Най-често става въпро</w:t>
      </w:r>
      <w:r w:rsidR="00DD740D">
        <w:rPr>
          <w:rFonts w:ascii="Times New Roman" w:hAnsi="Times New Roman" w:cs="Times New Roman"/>
          <w:sz w:val="24"/>
          <w:szCs w:val="24"/>
        </w:rPr>
        <w:t>с за заявления, чий</w:t>
      </w:r>
      <w:r w:rsidRPr="007404FA">
        <w:rPr>
          <w:rFonts w:ascii="Times New Roman" w:hAnsi="Times New Roman" w:cs="Times New Roman"/>
          <w:sz w:val="24"/>
          <w:szCs w:val="24"/>
        </w:rPr>
        <w:t>то предмет е искане</w:t>
      </w:r>
      <w:r w:rsidR="003A1667" w:rsidRPr="007404FA">
        <w:rPr>
          <w:rFonts w:ascii="Times New Roman" w:hAnsi="Times New Roman" w:cs="Times New Roman"/>
          <w:sz w:val="24"/>
          <w:szCs w:val="24"/>
        </w:rPr>
        <w:t xml:space="preserve"> за достъп до информация,</w:t>
      </w:r>
      <w:r w:rsidR="00DD740D">
        <w:rPr>
          <w:rFonts w:ascii="Times New Roman" w:hAnsi="Times New Roman" w:cs="Times New Roman"/>
          <w:sz w:val="24"/>
          <w:szCs w:val="24"/>
        </w:rPr>
        <w:t xml:space="preserve"> касаеща надзорната дейност на К</w:t>
      </w:r>
      <w:r w:rsidR="003A1667" w:rsidRPr="007404FA">
        <w:rPr>
          <w:rFonts w:ascii="Times New Roman" w:hAnsi="Times New Roman" w:cs="Times New Roman"/>
          <w:sz w:val="24"/>
          <w:szCs w:val="24"/>
        </w:rPr>
        <w:t>омисията (констативни актове, доклади</w:t>
      </w:r>
      <w:r w:rsidR="006B6907" w:rsidRPr="007404FA">
        <w:rPr>
          <w:rFonts w:ascii="Times New Roman" w:hAnsi="Times New Roman" w:cs="Times New Roman"/>
          <w:sz w:val="24"/>
          <w:szCs w:val="24"/>
        </w:rPr>
        <w:t xml:space="preserve"> от проверки</w:t>
      </w:r>
      <w:r w:rsidR="003A1667" w:rsidRPr="007404FA">
        <w:rPr>
          <w:rFonts w:ascii="Times New Roman" w:hAnsi="Times New Roman" w:cs="Times New Roman"/>
          <w:sz w:val="24"/>
          <w:szCs w:val="24"/>
        </w:rPr>
        <w:t xml:space="preserve">, </w:t>
      </w:r>
      <w:r w:rsidR="00C86D46" w:rsidRPr="007404FA">
        <w:rPr>
          <w:rFonts w:ascii="Times New Roman" w:hAnsi="Times New Roman" w:cs="Times New Roman"/>
          <w:sz w:val="24"/>
          <w:szCs w:val="24"/>
        </w:rPr>
        <w:t xml:space="preserve">санкционни </w:t>
      </w:r>
      <w:r w:rsidR="003A1667" w:rsidRPr="007404FA">
        <w:rPr>
          <w:rFonts w:ascii="Times New Roman" w:hAnsi="Times New Roman" w:cs="Times New Roman"/>
          <w:sz w:val="24"/>
          <w:szCs w:val="24"/>
        </w:rPr>
        <w:t>решения)</w:t>
      </w:r>
      <w:r w:rsidR="00496A2B" w:rsidRPr="007404FA">
        <w:rPr>
          <w:rFonts w:ascii="Times New Roman" w:hAnsi="Times New Roman" w:cs="Times New Roman"/>
          <w:sz w:val="24"/>
          <w:szCs w:val="24"/>
        </w:rPr>
        <w:t xml:space="preserve">. </w:t>
      </w:r>
      <w:r w:rsidR="00262C62" w:rsidRPr="007404FA">
        <w:rPr>
          <w:rFonts w:ascii="Times New Roman" w:hAnsi="Times New Roman" w:cs="Times New Roman"/>
          <w:sz w:val="24"/>
          <w:szCs w:val="24"/>
        </w:rPr>
        <w:t xml:space="preserve">В тази връзка </w:t>
      </w:r>
      <w:r w:rsidR="00C9699B" w:rsidRPr="007404FA">
        <w:rPr>
          <w:rFonts w:ascii="Times New Roman" w:hAnsi="Times New Roman" w:cs="Times New Roman"/>
          <w:sz w:val="24"/>
          <w:szCs w:val="24"/>
        </w:rPr>
        <w:t>следва да се отбележи</w:t>
      </w:r>
      <w:r w:rsidR="00262C62" w:rsidRPr="007404FA">
        <w:rPr>
          <w:rFonts w:ascii="Times New Roman" w:hAnsi="Times New Roman" w:cs="Times New Roman"/>
          <w:sz w:val="24"/>
          <w:szCs w:val="24"/>
        </w:rPr>
        <w:t>, че к</w:t>
      </w:r>
      <w:r w:rsidR="00496A2B" w:rsidRPr="007404FA">
        <w:rPr>
          <w:rFonts w:ascii="Times New Roman" w:hAnsi="Times New Roman" w:cs="Times New Roman"/>
          <w:sz w:val="24"/>
          <w:szCs w:val="24"/>
        </w:rPr>
        <w:t xml:space="preserve">огато предметът на дадено решение, доклад, писмо, позиция или др. документ на КЗЛД засяга принципни </w:t>
      </w:r>
      <w:r w:rsidR="00496A2B" w:rsidRPr="007404FA">
        <w:rPr>
          <w:rFonts w:ascii="Times New Roman" w:hAnsi="Times New Roman" w:cs="Times New Roman"/>
          <w:sz w:val="24"/>
          <w:szCs w:val="24"/>
        </w:rPr>
        <w:lastRenderedPageBreak/>
        <w:t>въпроси в областта на защитата на личните данни, които имат отношение към дейността на всички или множество администратори и/или обработващи лични данни, респ. физическите лица, чиито лични данни те обработват, решението</w:t>
      </w:r>
      <w:r w:rsidR="003B3EFB" w:rsidRPr="007404FA">
        <w:rPr>
          <w:rFonts w:ascii="Times New Roman" w:hAnsi="Times New Roman" w:cs="Times New Roman"/>
          <w:sz w:val="24"/>
          <w:szCs w:val="24"/>
        </w:rPr>
        <w:t xml:space="preserve"> или </w:t>
      </w:r>
      <w:r w:rsidR="00B36A81" w:rsidRPr="007404FA">
        <w:rPr>
          <w:rFonts w:ascii="Times New Roman" w:hAnsi="Times New Roman" w:cs="Times New Roman"/>
          <w:sz w:val="24"/>
          <w:szCs w:val="24"/>
        </w:rPr>
        <w:t>съответният документ (доклад/писмо</w:t>
      </w:r>
      <w:r w:rsidR="00496A2B" w:rsidRPr="007404FA">
        <w:rPr>
          <w:rFonts w:ascii="Times New Roman" w:hAnsi="Times New Roman" w:cs="Times New Roman"/>
          <w:sz w:val="24"/>
          <w:szCs w:val="24"/>
        </w:rPr>
        <w:t>-отговор</w:t>
      </w:r>
      <w:r w:rsidR="00B36A81" w:rsidRPr="007404FA">
        <w:rPr>
          <w:rFonts w:ascii="Times New Roman" w:hAnsi="Times New Roman" w:cs="Times New Roman"/>
          <w:sz w:val="24"/>
          <w:szCs w:val="24"/>
        </w:rPr>
        <w:t>)</w:t>
      </w:r>
      <w:r w:rsidR="00496A2B" w:rsidRPr="007404FA">
        <w:rPr>
          <w:rFonts w:ascii="Times New Roman" w:hAnsi="Times New Roman" w:cs="Times New Roman"/>
          <w:sz w:val="24"/>
          <w:szCs w:val="24"/>
        </w:rPr>
        <w:t xml:space="preserve"> е свързано с обществения живот в Република България и дава възможност на гражданите да си съставят собствено мнение относно дейността на КЗЛД като надзорен орган (напр. как Комисията се произнася по сходни или аналогични случаи). При такъв тип актове се релевира връзката с обществения живот (актовете са свързани с живота на обществото като група хора) и Комисията приема, че</w:t>
      </w:r>
      <w:r w:rsidR="00157B49">
        <w:rPr>
          <w:rFonts w:ascii="Times New Roman" w:hAnsi="Times New Roman" w:cs="Times New Roman"/>
          <w:sz w:val="24"/>
          <w:szCs w:val="24"/>
        </w:rPr>
        <w:t xml:space="preserve"> </w:t>
      </w:r>
      <w:r w:rsidR="00496A2B" w:rsidRPr="007404FA">
        <w:rPr>
          <w:rFonts w:ascii="Times New Roman" w:hAnsi="Times New Roman" w:cs="Times New Roman"/>
          <w:sz w:val="24"/>
          <w:szCs w:val="24"/>
        </w:rPr>
        <w:t>те съставляват обществена информация.</w:t>
      </w:r>
      <w:r w:rsidR="00496A2B" w:rsidRPr="007404FA">
        <w:t xml:space="preserve"> </w:t>
      </w:r>
    </w:p>
    <w:p w:rsidR="00496A2B" w:rsidRPr="007404FA" w:rsidRDefault="00496A2B" w:rsidP="00DB6B05">
      <w:pPr>
        <w:pStyle w:val="NormalWeb"/>
        <w:tabs>
          <w:tab w:val="left" w:pos="567"/>
        </w:tabs>
        <w:spacing w:before="0" w:beforeAutospacing="0" w:after="0" w:afterAutospacing="0" w:line="360" w:lineRule="auto"/>
        <w:ind w:firstLine="709"/>
        <w:jc w:val="both"/>
        <w:rPr>
          <w:color w:val="000000"/>
        </w:rPr>
      </w:pPr>
      <w:r w:rsidRPr="007404FA">
        <w:t>Що се отнася</w:t>
      </w:r>
      <w:r w:rsidR="00827B1E" w:rsidRPr="007404FA">
        <w:t xml:space="preserve"> обаче </w:t>
      </w:r>
      <w:r w:rsidRPr="007404FA">
        <w:t xml:space="preserve">до </w:t>
      </w:r>
      <w:r w:rsidR="008C2120" w:rsidRPr="007404FA">
        <w:t>искания</w:t>
      </w:r>
      <w:r w:rsidRPr="007404FA">
        <w:t xml:space="preserve"> за </w:t>
      </w:r>
      <w:r w:rsidR="008C0D72" w:rsidRPr="007404FA">
        <w:t>документи (д</w:t>
      </w:r>
      <w:r w:rsidR="001D2776" w:rsidRPr="007404FA">
        <w:t>оклади</w:t>
      </w:r>
      <w:r w:rsidR="008C0D72" w:rsidRPr="007404FA">
        <w:t>, решения, констативни актове</w:t>
      </w:r>
      <w:r w:rsidRPr="007404FA">
        <w:t>) на КЗЛД, свързани с надзорните ѝ дейности, вкл. информация относно резултатите и предприетите действия от одитирания администратор на лични данни</w:t>
      </w:r>
      <w:r w:rsidR="00553661" w:rsidRPr="007404FA">
        <w:t xml:space="preserve"> – </w:t>
      </w:r>
      <w:r w:rsidRPr="007404FA">
        <w:t xml:space="preserve">каквото по същество </w:t>
      </w:r>
      <w:r w:rsidR="00B36DCA" w:rsidRPr="007404FA">
        <w:t xml:space="preserve">най-често </w:t>
      </w:r>
      <w:r w:rsidRPr="007404FA">
        <w:t>представляват въпросите</w:t>
      </w:r>
      <w:r w:rsidR="00553661" w:rsidRPr="007404FA">
        <w:t xml:space="preserve"> – </w:t>
      </w:r>
      <w:r w:rsidRPr="007404FA">
        <w:t xml:space="preserve">предмет на </w:t>
      </w:r>
      <w:r w:rsidR="00B36DCA" w:rsidRPr="007404FA">
        <w:t xml:space="preserve">подадени </w:t>
      </w:r>
      <w:r w:rsidRPr="007404FA">
        <w:t>заявлени</w:t>
      </w:r>
      <w:r w:rsidR="00B36DCA" w:rsidRPr="007404FA">
        <w:t>я</w:t>
      </w:r>
      <w:r w:rsidRPr="007404FA">
        <w:t xml:space="preserve"> за достъп до информация, то това са въпроси, които не са свързани с обществения живот, а с дейността на конкретно одитираните организации. Актовете от надзорната дейност на КЗЛД не се отнасят до принципни въпроси с обща приложимост към дейността на всички или множество администратори и обработващи лични данни, не са от значение за повишаване на обществената информираност по ключови въпроси в областта на защитата на личните данни и не съставляват </w:t>
      </w:r>
      <w:r w:rsidRPr="007404FA">
        <w:rPr>
          <w:color w:val="000000"/>
        </w:rPr>
        <w:t xml:space="preserve">информация, свързана с обществения живот в Република България. </w:t>
      </w:r>
      <w:r w:rsidRPr="007404FA">
        <w:t>Този тип актове, с които приключват конкретни проверки, са пряко свързани с надзорните правомощия на КЗЛД, които се упражняват не принципно и общо, а спрямо конкретно индивидуализиран администратор, поради което не представляват обществена информация по смисъла на</w:t>
      </w:r>
      <w:r w:rsidR="00F06583" w:rsidRPr="007404FA">
        <w:t xml:space="preserve"> чл. </w:t>
      </w:r>
      <w:r w:rsidRPr="007404FA">
        <w:t>2,</w:t>
      </w:r>
      <w:r w:rsidR="00F06583" w:rsidRPr="007404FA">
        <w:t xml:space="preserve"> ал. </w:t>
      </w:r>
      <w:r w:rsidRPr="007404FA">
        <w:t xml:space="preserve">1 от ЗДОИ. Чрез този тип актове </w:t>
      </w:r>
      <w:r w:rsidR="00BB1511">
        <w:t>на КЗЛД от надзорната ѝ дейност</w:t>
      </w:r>
      <w:r w:rsidRPr="007404FA">
        <w:t xml:space="preserve"> не само че не може да се състави собствено мнение относно дейността на Комисията, но се разкриват и конкретни действия и решения по обработването на данните, предприети от конкретния одитиран администратор на лични данни</w:t>
      </w:r>
      <w:r w:rsidRPr="007404FA">
        <w:rPr>
          <w:i/>
        </w:rPr>
        <w:t xml:space="preserve"> </w:t>
      </w:r>
      <w:r w:rsidRPr="007404FA">
        <w:t xml:space="preserve">(дори със заличени данни и информация) и произтичащата от него отговорност за сигурност на данните и за защита на физическите лица. </w:t>
      </w:r>
      <w:r w:rsidRPr="007404FA">
        <w:rPr>
          <w:color w:val="000000"/>
        </w:rPr>
        <w:t>Напротив, незаконосъобразното разкриване на такива актов</w:t>
      </w:r>
      <w:r w:rsidR="00BB1511">
        <w:rPr>
          <w:color w:val="000000"/>
        </w:rPr>
        <w:t xml:space="preserve">е от надзорната дейност до лица извън администратора – </w:t>
      </w:r>
      <w:r w:rsidRPr="007404FA">
        <w:rPr>
          <w:color w:val="000000"/>
        </w:rPr>
        <w:t xml:space="preserve">обект на конкретния надзор, може да доведе до нерегламентиран достъп до информация относно технически и/или организационни мерки за сигурност на личните данни, предприети от него </w:t>
      </w:r>
      <w:r w:rsidR="00F22EF4" w:rsidRPr="007404FA">
        <w:rPr>
          <w:color w:val="000000"/>
        </w:rPr>
        <w:t>(</w:t>
      </w:r>
      <w:r w:rsidRPr="007404FA">
        <w:rPr>
          <w:color w:val="000000"/>
        </w:rPr>
        <w:t>напр.</w:t>
      </w:r>
      <w:r w:rsidR="00F06583" w:rsidRPr="007404FA">
        <w:rPr>
          <w:color w:val="000000"/>
        </w:rPr>
        <w:t xml:space="preserve"> чл. </w:t>
      </w:r>
      <w:r w:rsidRPr="007404FA">
        <w:rPr>
          <w:color w:val="000000"/>
        </w:rPr>
        <w:t>32 и</w:t>
      </w:r>
      <w:r w:rsidR="00F06583" w:rsidRPr="007404FA">
        <w:rPr>
          <w:color w:val="000000"/>
        </w:rPr>
        <w:t xml:space="preserve"> чл. </w:t>
      </w:r>
      <w:r w:rsidRPr="007404FA">
        <w:rPr>
          <w:color w:val="000000"/>
        </w:rPr>
        <w:t xml:space="preserve">28 от Регламент (ЕС) 2016/679), респ. може да създаде риск за правата и свободите на физическите лица, спрямо които тези мерки се прилагат. Изложените и анализирани в </w:t>
      </w:r>
      <w:r w:rsidR="00F22EF4" w:rsidRPr="007404FA">
        <w:rPr>
          <w:color w:val="000000"/>
        </w:rPr>
        <w:t xml:space="preserve">такива </w:t>
      </w:r>
      <w:r w:rsidRPr="007404FA">
        <w:rPr>
          <w:color w:val="000000"/>
        </w:rPr>
        <w:t xml:space="preserve">актове на КЗЛД факти, обстоятелства и информация са свързани единствено и само със задълженията на одитираните администратори и обработващи лични </w:t>
      </w:r>
      <w:r w:rsidRPr="007404FA">
        <w:rPr>
          <w:color w:val="000000"/>
        </w:rPr>
        <w:lastRenderedPageBreak/>
        <w:t xml:space="preserve">данни в това им качество, респ. свързаните с обработването на личните данни рискове за физическите лица, а не в качеството им на задължени субекти по ЗДОИ. От актовете на КЗЛД, свързани с осъществявания от нея надзор, може да се извлекат изводи и информация за конкретните технологични решения и мерки за защита, прилагани от даден администратор/обработващ. Тази информация, както и анализираните в документите факти и обстоятелства, не са свързани и нямат отношение към </w:t>
      </w:r>
      <w:r w:rsidRPr="007404FA">
        <w:t>„живота на обществото като група хора“</w:t>
      </w:r>
      <w:r w:rsidRPr="007404FA">
        <w:rPr>
          <w:color w:val="000000"/>
        </w:rPr>
        <w:t>, поради което не предоставят „</w:t>
      </w:r>
      <w:r w:rsidRPr="007404FA">
        <w:t>сведения, знание или описание на нещо</w:t>
      </w:r>
      <w:r w:rsidR="00BB1511">
        <w:t>,</w:t>
      </w:r>
      <w:r w:rsidRPr="007404FA">
        <w:t xml:space="preserve"> свързано с обществения живот в страната, въз основа на което да получи възможността да си състави собствено мнение относно дейността на задължения субект по</w:t>
      </w:r>
      <w:r w:rsidR="00F06583" w:rsidRPr="007404FA">
        <w:t xml:space="preserve"> чл. </w:t>
      </w:r>
      <w:r w:rsidRPr="007404FA">
        <w:t>3</w:t>
      </w:r>
      <w:r w:rsidR="00F06583" w:rsidRPr="007404FA">
        <w:t xml:space="preserve"> ал. </w:t>
      </w:r>
      <w:r w:rsidRPr="007404FA">
        <w:t>1 от ЗДОИ“ (решение № 9517 от 07.07.2014</w:t>
      </w:r>
      <w:r w:rsidR="00F06583" w:rsidRPr="007404FA">
        <w:t> г.</w:t>
      </w:r>
      <w:r w:rsidR="00BB1511">
        <w:t xml:space="preserve"> по адм. д. №</w:t>
      </w:r>
      <w:r w:rsidRPr="007404FA">
        <w:t>1174/2014</w:t>
      </w:r>
      <w:r w:rsidR="00F06583" w:rsidRPr="007404FA">
        <w:t> г.</w:t>
      </w:r>
      <w:r w:rsidRPr="007404FA">
        <w:t xml:space="preserve"> на VII отд. на ВАС). </w:t>
      </w:r>
    </w:p>
    <w:p w:rsidR="00496A2B" w:rsidRPr="007404FA" w:rsidRDefault="00496A2B" w:rsidP="00DB6B05">
      <w:pPr>
        <w:pStyle w:val="NormalWeb"/>
        <w:tabs>
          <w:tab w:val="left" w:pos="567"/>
        </w:tabs>
        <w:spacing w:before="0" w:beforeAutospacing="0" w:after="0" w:afterAutospacing="0" w:line="360" w:lineRule="auto"/>
        <w:ind w:firstLine="709"/>
        <w:jc w:val="both"/>
      </w:pPr>
      <w:r w:rsidRPr="007404FA">
        <w:t>Не на последно място трябва да се отчитат и разпоредбите на</w:t>
      </w:r>
      <w:r w:rsidR="00F06583" w:rsidRPr="007404FA">
        <w:t xml:space="preserve"> чл. </w:t>
      </w:r>
      <w:r w:rsidRPr="007404FA">
        <w:t>15,</w:t>
      </w:r>
      <w:r w:rsidR="00F06583" w:rsidRPr="007404FA">
        <w:t xml:space="preserve"> ал. </w:t>
      </w:r>
      <w:r w:rsidRPr="007404FA">
        <w:t>2,</w:t>
      </w:r>
      <w:r w:rsidR="00F06583" w:rsidRPr="007404FA">
        <w:t xml:space="preserve"> т. </w:t>
      </w:r>
      <w:r w:rsidRPr="007404FA">
        <w:t>1 от ЗЗЛД (водените от КЗЛД непублични регистри за нарушения на Регламент (ЕС) 2016/679 и ЗЗЛД, както и предприетите от Комисията мерки във връзка с това), както и задълженията на председателя и членовете на КЗЛД и служителите от нейната администрация по</w:t>
      </w:r>
      <w:r w:rsidR="00F06583" w:rsidRPr="007404FA">
        <w:t xml:space="preserve"> чл. </w:t>
      </w:r>
      <w:r w:rsidRPr="007404FA">
        <w:t>13,</w:t>
      </w:r>
      <w:r w:rsidR="00F06583" w:rsidRPr="007404FA">
        <w:t xml:space="preserve"> ал. </w:t>
      </w:r>
      <w:r w:rsidRPr="007404FA">
        <w:t xml:space="preserve">1 от ЗЗЛД да не разгласяват информацията, станала им известна при осъществяване на тяхната дейност. Затова </w:t>
      </w:r>
      <w:r w:rsidR="00B76658" w:rsidRPr="007404FA">
        <w:t>в такива случаи (заявления с искане за достъп до конкретна информация, свързана с надзорната дейност на Комисията) КЗЛД</w:t>
      </w:r>
      <w:r w:rsidR="00157B49">
        <w:t xml:space="preserve"> </w:t>
      </w:r>
      <w:r w:rsidRPr="007404FA">
        <w:t>п</w:t>
      </w:r>
      <w:r w:rsidR="00B76658" w:rsidRPr="007404FA">
        <w:t xml:space="preserve">редоставя </w:t>
      </w:r>
      <w:r w:rsidRPr="007404FA">
        <w:t xml:space="preserve">информация по </w:t>
      </w:r>
      <w:r w:rsidR="00B76658" w:rsidRPr="007404FA">
        <w:t>поставени</w:t>
      </w:r>
      <w:r w:rsidR="00670F9A" w:rsidRPr="007404FA">
        <w:t>те</w:t>
      </w:r>
      <w:r w:rsidR="00B76658" w:rsidRPr="007404FA">
        <w:t xml:space="preserve"> </w:t>
      </w:r>
      <w:r w:rsidRPr="007404FA">
        <w:t xml:space="preserve">въпроси </w:t>
      </w:r>
      <w:r w:rsidR="00074CCD" w:rsidRPr="007404FA">
        <w:t xml:space="preserve">под формата на обобщена справка. </w:t>
      </w:r>
      <w:r w:rsidRPr="007404FA">
        <w:t>Комисията счита, че</w:t>
      </w:r>
      <w:r w:rsidR="00074CCD" w:rsidRPr="007404FA">
        <w:t xml:space="preserve"> по този начин</w:t>
      </w:r>
      <w:r w:rsidRPr="007404FA">
        <w:t xml:space="preserve"> се задоволява обществения</w:t>
      </w:r>
      <w:r w:rsidR="00BB1511">
        <w:t>т</w:t>
      </w:r>
      <w:r w:rsidRPr="007404FA">
        <w:t xml:space="preserve"> интерес от достъп до информация, съставляваща обществена информация в степента и обхвата, попадащи в предмета на ЗДОИ. </w:t>
      </w:r>
    </w:p>
    <w:p w:rsidR="00496A2B" w:rsidRPr="007404FA" w:rsidRDefault="00496A2B" w:rsidP="00DB6B05">
      <w:pPr>
        <w:spacing w:line="360" w:lineRule="auto"/>
        <w:ind w:firstLine="709"/>
        <w:jc w:val="both"/>
        <w:rPr>
          <w:rFonts w:ascii="Times New Roman" w:hAnsi="Times New Roman" w:cs="Times New Roman"/>
          <w:sz w:val="24"/>
          <w:szCs w:val="24"/>
        </w:rPr>
      </w:pPr>
    </w:p>
    <w:p w:rsidR="001B4178" w:rsidRPr="007404FA" w:rsidRDefault="00227FBA" w:rsidP="00DB6B05">
      <w:pPr>
        <w:spacing w:line="360" w:lineRule="auto"/>
        <w:ind w:firstLine="709"/>
        <w:jc w:val="both"/>
        <w:rPr>
          <w:rFonts w:ascii="Times New Roman" w:hAnsi="Times New Roman" w:cs="Times New Roman"/>
          <w:b/>
          <w:bCs/>
          <w:sz w:val="24"/>
          <w:szCs w:val="24"/>
        </w:rPr>
      </w:pPr>
      <w:r w:rsidRPr="007404FA">
        <w:rPr>
          <w:rFonts w:ascii="Times New Roman" w:hAnsi="Times New Roman" w:cs="Times New Roman"/>
          <w:b/>
          <w:bCs/>
          <w:sz w:val="24"/>
          <w:szCs w:val="24"/>
        </w:rPr>
        <w:t>4</w:t>
      </w:r>
      <w:r w:rsidR="001B4178" w:rsidRPr="007404FA">
        <w:rPr>
          <w:rFonts w:ascii="Times New Roman" w:hAnsi="Times New Roman" w:cs="Times New Roman"/>
          <w:b/>
          <w:bCs/>
          <w:sz w:val="24"/>
          <w:szCs w:val="24"/>
        </w:rPr>
        <w:t>. Информационна структура и комуникационни системи</w:t>
      </w:r>
      <w:r w:rsidR="00BB1511">
        <w:rPr>
          <w:rFonts w:ascii="Times New Roman" w:hAnsi="Times New Roman" w:cs="Times New Roman"/>
          <w:b/>
          <w:bCs/>
          <w:sz w:val="24"/>
          <w:szCs w:val="24"/>
        </w:rPr>
        <w:t>.</w:t>
      </w:r>
    </w:p>
    <w:p w:rsidR="001B4178" w:rsidRPr="007404FA" w:rsidRDefault="001B4178" w:rsidP="00DB6B05">
      <w:pPr>
        <w:widowControl w:val="0"/>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През отчетния период се доусъвършенстват информационната и комуникационната инфраструктура на КЗЛД, благодарение на което към настоящия момент КЗЛД разполага със съвременни средства за комуникации и обмен. </w:t>
      </w:r>
    </w:p>
    <w:p w:rsidR="001B4178" w:rsidRPr="007404FA" w:rsidRDefault="001B4178"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Чрез Системата за управление на документи и работни потоци в КЗЛД и контрол на решенията в синхрон със Системата за електронен документооборот и Системата за сигурно електронно връчване е осигурена бърза и надеждна кореспонденция както между държавните органи, така и между всички участници в нея (физически и юридически лица). Това води както до по-качествено обслужване на гражданите, така и до значително намаляване на документите на хартиен носител и ускоряване на информационните потоци. </w:t>
      </w:r>
    </w:p>
    <w:p w:rsidR="001B4178" w:rsidRPr="007404FA" w:rsidRDefault="001B4178"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През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са извършени редица дейности за подобряване информационната и комуникационната инфраструктура на КЗЛД, както следва:</w:t>
      </w:r>
    </w:p>
    <w:p w:rsidR="001B4178" w:rsidRPr="007404FA" w:rsidRDefault="001B4178" w:rsidP="00DB6B05">
      <w:pPr>
        <w:numPr>
          <w:ilvl w:val="0"/>
          <w:numId w:val="5"/>
        </w:numPr>
        <w:autoSpaceDN w:val="0"/>
        <w:spacing w:line="360" w:lineRule="auto"/>
        <w:ind w:left="0" w:firstLine="709"/>
        <w:contextualSpacing/>
        <w:jc w:val="both"/>
        <w:textAlignment w:val="baseline"/>
        <w:rPr>
          <w:rFonts w:ascii="Times New Roman" w:hAnsi="Times New Roman" w:cs="Times New Roman"/>
          <w:sz w:val="24"/>
          <w:szCs w:val="24"/>
        </w:rPr>
      </w:pPr>
      <w:r w:rsidRPr="007404FA">
        <w:rPr>
          <w:rFonts w:ascii="Times New Roman" w:hAnsi="Times New Roman" w:cs="Times New Roman"/>
          <w:sz w:val="24"/>
          <w:szCs w:val="24"/>
        </w:rPr>
        <w:t>закупени са 7 броя нови преносими компютри;</w:t>
      </w:r>
    </w:p>
    <w:p w:rsidR="001B4178" w:rsidRPr="007404FA" w:rsidRDefault="001B4178" w:rsidP="00DB6B05">
      <w:pPr>
        <w:numPr>
          <w:ilvl w:val="0"/>
          <w:numId w:val="5"/>
        </w:numPr>
        <w:autoSpaceDN w:val="0"/>
        <w:spacing w:line="360" w:lineRule="auto"/>
        <w:ind w:left="0" w:firstLine="709"/>
        <w:contextualSpacing/>
        <w:jc w:val="both"/>
        <w:textAlignment w:val="baseline"/>
        <w:rPr>
          <w:rFonts w:ascii="Times New Roman" w:hAnsi="Times New Roman" w:cs="Times New Roman"/>
          <w:sz w:val="24"/>
          <w:szCs w:val="24"/>
        </w:rPr>
      </w:pPr>
      <w:r w:rsidRPr="007404FA">
        <w:rPr>
          <w:rFonts w:ascii="Times New Roman" w:hAnsi="Times New Roman" w:cs="Times New Roman"/>
          <w:sz w:val="24"/>
          <w:szCs w:val="24"/>
        </w:rPr>
        <w:t>закупени са десет броя UPS устройства;</w:t>
      </w:r>
    </w:p>
    <w:p w:rsidR="001B4178" w:rsidRPr="007404FA" w:rsidRDefault="001B4178" w:rsidP="00DB6B05">
      <w:pPr>
        <w:numPr>
          <w:ilvl w:val="0"/>
          <w:numId w:val="5"/>
        </w:numPr>
        <w:autoSpaceDN w:val="0"/>
        <w:spacing w:line="360" w:lineRule="auto"/>
        <w:ind w:left="0" w:firstLine="709"/>
        <w:contextualSpacing/>
        <w:jc w:val="both"/>
        <w:textAlignment w:val="baseline"/>
        <w:rPr>
          <w:rFonts w:ascii="Times New Roman" w:hAnsi="Times New Roman" w:cs="Times New Roman"/>
          <w:sz w:val="24"/>
          <w:szCs w:val="24"/>
        </w:rPr>
      </w:pPr>
      <w:r w:rsidRPr="007404FA">
        <w:rPr>
          <w:rFonts w:ascii="Times New Roman" w:hAnsi="Times New Roman" w:cs="Times New Roman"/>
          <w:sz w:val="24"/>
          <w:szCs w:val="24"/>
        </w:rPr>
        <w:lastRenderedPageBreak/>
        <w:t>закупено е 1 брой многофункционално устройство</w:t>
      </w:r>
      <w:r w:rsidR="00553661" w:rsidRPr="007404FA">
        <w:rPr>
          <w:rFonts w:ascii="Times New Roman" w:hAnsi="Times New Roman" w:cs="Times New Roman"/>
          <w:sz w:val="24"/>
          <w:szCs w:val="24"/>
        </w:rPr>
        <w:t xml:space="preserve"> – </w:t>
      </w:r>
      <w:r w:rsidRPr="007404FA">
        <w:rPr>
          <w:rFonts w:ascii="Times New Roman" w:hAnsi="Times New Roman" w:cs="Times New Roman"/>
          <w:sz w:val="24"/>
          <w:szCs w:val="24"/>
        </w:rPr>
        <w:t>принтер/скенер;</w:t>
      </w:r>
    </w:p>
    <w:p w:rsidR="001B4178" w:rsidRPr="007404FA" w:rsidRDefault="001B4178" w:rsidP="00DB6B05">
      <w:pPr>
        <w:numPr>
          <w:ilvl w:val="0"/>
          <w:numId w:val="5"/>
        </w:numPr>
        <w:autoSpaceDN w:val="0"/>
        <w:spacing w:line="360" w:lineRule="auto"/>
        <w:ind w:left="0" w:firstLine="709"/>
        <w:contextualSpacing/>
        <w:jc w:val="both"/>
        <w:textAlignment w:val="baseline"/>
        <w:rPr>
          <w:rFonts w:ascii="Times New Roman" w:hAnsi="Times New Roman" w:cs="Times New Roman"/>
          <w:sz w:val="24"/>
          <w:szCs w:val="24"/>
        </w:rPr>
      </w:pPr>
      <w:r w:rsidRPr="007404FA">
        <w:rPr>
          <w:rFonts w:ascii="Times New Roman" w:hAnsi="Times New Roman" w:cs="Times New Roman"/>
          <w:sz w:val="24"/>
          <w:szCs w:val="24"/>
        </w:rPr>
        <w:t>въведена е в експлоатация нова телефонна централа с функционалности, които облекчават работата на служителите в КЗЛД и подаването на сигнали по телефона от граждани.</w:t>
      </w:r>
    </w:p>
    <w:p w:rsidR="001B4178" w:rsidRPr="007404FA" w:rsidRDefault="001B4178"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Своевременно са подновени договорите за поддръжка на информационните системи, критични за дейностите и процесите в КЗЛД. Доставка и инсталиране на сървърни и персонални сертификати се извършват регулярно съгласно сроковете им за подновяване.</w:t>
      </w:r>
    </w:p>
    <w:p w:rsidR="001B4178" w:rsidRPr="007404FA" w:rsidRDefault="001B4178"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Профилактиката и ремонтът на техническите средства се извършват в максимално къси срокове съгласно утвърдените процедури.</w:t>
      </w:r>
    </w:p>
    <w:p w:rsidR="001B4178" w:rsidRPr="007404FA" w:rsidRDefault="001B4178"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През отчетния период КЗЛД е продължила сътрудничеството си с Изпълнителна агенция „Електронни съобщителни мрежи и информационни системи“, която отговаря за </w:t>
      </w:r>
      <w:r w:rsidRPr="00BB1511">
        <w:rPr>
          <w:rFonts w:ascii="Times New Roman" w:hAnsi="Times New Roman" w:cs="Times New Roman"/>
          <w:sz w:val="24"/>
          <w:szCs w:val="24"/>
        </w:rPr>
        <w:t>GovCERT Bulgaria</w:t>
      </w:r>
      <w:r w:rsidRPr="007404FA">
        <w:rPr>
          <w:rFonts w:ascii="Times New Roman" w:hAnsi="Times New Roman" w:cs="Times New Roman"/>
          <w:sz w:val="24"/>
          <w:szCs w:val="24"/>
        </w:rPr>
        <w:t xml:space="preserve"> (Национален център за действия при инциденти по отношение на информационната сигурност). </w:t>
      </w:r>
    </w:p>
    <w:p w:rsidR="001B4178" w:rsidRPr="007404FA" w:rsidRDefault="001B4178" w:rsidP="00DB6B05">
      <w:pPr>
        <w:spacing w:line="360" w:lineRule="auto"/>
        <w:ind w:firstLine="709"/>
        <w:jc w:val="both"/>
      </w:pPr>
    </w:p>
    <w:p w:rsidR="001B4178" w:rsidRPr="007404FA" w:rsidRDefault="00694816" w:rsidP="00DB6B05">
      <w:pPr>
        <w:spacing w:line="360" w:lineRule="auto"/>
        <w:ind w:firstLine="709"/>
        <w:jc w:val="both"/>
        <w:rPr>
          <w:rFonts w:ascii="Times New Roman" w:hAnsi="Times New Roman" w:cs="Times New Roman"/>
          <w:b/>
          <w:bCs/>
          <w:sz w:val="24"/>
          <w:szCs w:val="24"/>
        </w:rPr>
      </w:pPr>
      <w:r w:rsidRPr="007404FA">
        <w:rPr>
          <w:rFonts w:ascii="Times New Roman" w:hAnsi="Times New Roman" w:cs="Times New Roman"/>
          <w:b/>
          <w:bCs/>
          <w:sz w:val="24"/>
          <w:szCs w:val="24"/>
        </w:rPr>
        <w:t>5</w:t>
      </w:r>
      <w:r w:rsidR="001B4178" w:rsidRPr="007404FA">
        <w:rPr>
          <w:rFonts w:ascii="Times New Roman" w:hAnsi="Times New Roman" w:cs="Times New Roman"/>
          <w:b/>
          <w:bCs/>
          <w:sz w:val="24"/>
          <w:szCs w:val="24"/>
        </w:rPr>
        <w:t>. Обществени поръчки.</w:t>
      </w:r>
    </w:p>
    <w:p w:rsidR="001B4178" w:rsidRPr="007404FA" w:rsidRDefault="001B4178"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sz w:val="24"/>
          <w:szCs w:val="24"/>
        </w:rPr>
        <w:t>За обезпечаване на дейността на КЗЛД през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са възложени обществени поръчки, както следва:</w:t>
      </w:r>
    </w:p>
    <w:p w:rsidR="001B4178" w:rsidRPr="007404FA" w:rsidRDefault="001B4178"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b/>
          <w:sz w:val="24"/>
          <w:szCs w:val="24"/>
        </w:rPr>
        <w:t>5.1.</w:t>
      </w:r>
      <w:r w:rsidRPr="007404FA">
        <w:rPr>
          <w:rFonts w:ascii="Times New Roman" w:hAnsi="Times New Roman" w:cs="Times New Roman"/>
          <w:sz w:val="24"/>
          <w:szCs w:val="24"/>
        </w:rPr>
        <w:t xml:space="preserve"> Публично състезание: </w:t>
      </w:r>
    </w:p>
    <w:p w:rsidR="001B4178" w:rsidRPr="007404FA" w:rsidRDefault="001B4178" w:rsidP="00DB6B05">
      <w:pPr>
        <w:numPr>
          <w:ilvl w:val="0"/>
          <w:numId w:val="7"/>
        </w:numPr>
        <w:suppressAutoHyphens/>
        <w:autoSpaceDN w:val="0"/>
        <w:spacing w:line="360" w:lineRule="auto"/>
        <w:ind w:left="0" w:firstLine="709"/>
        <w:contextualSpacing/>
        <w:jc w:val="both"/>
        <w:textAlignment w:val="baseline"/>
        <w:rPr>
          <w:rFonts w:ascii="Times New Roman" w:hAnsi="Times New Roman" w:cs="Times New Roman"/>
          <w:sz w:val="24"/>
          <w:szCs w:val="24"/>
        </w:rPr>
      </w:pPr>
      <w:r w:rsidRPr="007404FA">
        <w:rPr>
          <w:rFonts w:ascii="Times New Roman" w:hAnsi="Times New Roman" w:cs="Times New Roman"/>
          <w:sz w:val="24"/>
          <w:szCs w:val="24"/>
        </w:rPr>
        <w:t>„Доставка, инсталация, въвеждане в експлоатация и гаранционна поддръжка на телекомуникационна система“;</w:t>
      </w:r>
    </w:p>
    <w:p w:rsidR="001B4178" w:rsidRPr="007404FA" w:rsidRDefault="001B4178" w:rsidP="00DB6B05">
      <w:pPr>
        <w:pStyle w:val="BodyText"/>
        <w:numPr>
          <w:ilvl w:val="0"/>
          <w:numId w:val="13"/>
        </w:numPr>
        <w:tabs>
          <w:tab w:val="left" w:pos="90"/>
        </w:tabs>
        <w:spacing w:before="0" w:after="0" w:line="360" w:lineRule="auto"/>
        <w:ind w:left="0" w:firstLine="709"/>
        <w:rPr>
          <w:rFonts w:eastAsia="Times New Roman"/>
          <w:bCs/>
          <w:sz w:val="24"/>
          <w:szCs w:val="24"/>
          <w:lang w:eastAsia="x-none"/>
        </w:rPr>
      </w:pPr>
      <w:r w:rsidRPr="007404FA">
        <w:rPr>
          <w:rFonts w:eastAsia="Times New Roman"/>
          <w:sz w:val="24"/>
          <w:lang w:eastAsia="x-none"/>
        </w:rPr>
        <w:t xml:space="preserve"> „Доставка на два броя леки автомобили тип „</w:t>
      </w:r>
      <w:r w:rsidR="00BB1511">
        <w:rPr>
          <w:rFonts w:eastAsia="Times New Roman"/>
          <w:sz w:val="24"/>
          <w:lang w:eastAsia="x-none"/>
        </w:rPr>
        <w:t>с</w:t>
      </w:r>
      <w:r w:rsidRPr="007404FA">
        <w:rPr>
          <w:rFonts w:eastAsia="Times New Roman"/>
          <w:sz w:val="24"/>
          <w:lang w:eastAsia="x-none"/>
        </w:rPr>
        <w:t>едан“ с четири врати</w:t>
      </w:r>
      <w:r w:rsidR="00BB1511">
        <w:rPr>
          <w:rFonts w:eastAsia="Times New Roman"/>
          <w:sz w:val="24"/>
          <w:lang w:eastAsia="x-none"/>
        </w:rPr>
        <w:t>, втора</w:t>
      </w:r>
      <w:r w:rsidRPr="007404FA">
        <w:rPr>
          <w:rFonts w:eastAsia="Times New Roman"/>
          <w:sz w:val="24"/>
          <w:lang w:eastAsia="x-none"/>
        </w:rPr>
        <w:t xml:space="preserve"> употреба</w:t>
      </w:r>
      <w:r w:rsidR="00BB1511">
        <w:rPr>
          <w:rFonts w:eastAsia="Times New Roman"/>
          <w:sz w:val="24"/>
          <w:lang w:eastAsia="x-none"/>
        </w:rPr>
        <w:t>,</w:t>
      </w:r>
      <w:r w:rsidRPr="007404FA">
        <w:rPr>
          <w:rFonts w:eastAsia="Times New Roman"/>
          <w:sz w:val="24"/>
          <w:lang w:eastAsia="x-none"/>
        </w:rPr>
        <w:t xml:space="preserve"> за нуждите на Комисия</w:t>
      </w:r>
      <w:r w:rsidR="00BB1511">
        <w:rPr>
          <w:rFonts w:eastAsia="Times New Roman"/>
          <w:sz w:val="24"/>
          <w:lang w:eastAsia="x-none"/>
        </w:rPr>
        <w:t>та</w:t>
      </w:r>
      <w:r w:rsidRPr="007404FA">
        <w:rPr>
          <w:rFonts w:eastAsia="Times New Roman"/>
          <w:sz w:val="24"/>
          <w:lang w:eastAsia="x-none"/>
        </w:rPr>
        <w:t xml:space="preserve"> за защита на личните данни</w:t>
      </w:r>
      <w:r w:rsidRPr="007404FA">
        <w:rPr>
          <w:rFonts w:eastAsia="Times New Roman"/>
          <w:bCs/>
          <w:sz w:val="24"/>
          <w:lang w:eastAsia="x-none"/>
        </w:rPr>
        <w:t>“.</w:t>
      </w:r>
    </w:p>
    <w:p w:rsidR="001B4178" w:rsidRPr="007404FA" w:rsidRDefault="001B4178" w:rsidP="00DB6B05">
      <w:pPr>
        <w:spacing w:line="360" w:lineRule="auto"/>
        <w:ind w:firstLine="709"/>
        <w:jc w:val="both"/>
        <w:rPr>
          <w:rFonts w:ascii="Times New Roman" w:hAnsi="Times New Roman" w:cs="Times New Roman"/>
          <w:sz w:val="24"/>
          <w:szCs w:val="24"/>
        </w:rPr>
      </w:pPr>
      <w:r w:rsidRPr="007404FA">
        <w:rPr>
          <w:rFonts w:ascii="Times New Roman" w:hAnsi="Times New Roman" w:cs="Times New Roman"/>
          <w:b/>
          <w:sz w:val="24"/>
          <w:szCs w:val="24"/>
        </w:rPr>
        <w:t>5.2.</w:t>
      </w:r>
      <w:r w:rsidRPr="007404FA">
        <w:rPr>
          <w:rFonts w:ascii="Times New Roman" w:hAnsi="Times New Roman" w:cs="Times New Roman"/>
          <w:sz w:val="24"/>
          <w:szCs w:val="24"/>
        </w:rPr>
        <w:t xml:space="preserve"> Пряко договаряне на основание на</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182,</w:t>
      </w:r>
      <w:r w:rsidR="00F06583" w:rsidRPr="007404FA">
        <w:rPr>
          <w:rFonts w:ascii="Times New Roman" w:hAnsi="Times New Roman" w:cs="Times New Roman"/>
          <w:sz w:val="24"/>
          <w:szCs w:val="24"/>
        </w:rPr>
        <w:t xml:space="preserve"> ал. </w:t>
      </w:r>
      <w:r w:rsidRPr="007404FA">
        <w:rPr>
          <w:rFonts w:ascii="Times New Roman" w:hAnsi="Times New Roman" w:cs="Times New Roman"/>
          <w:sz w:val="24"/>
          <w:szCs w:val="24"/>
        </w:rPr>
        <w:t>1,</w:t>
      </w:r>
      <w:r w:rsidR="00F06583" w:rsidRPr="007404FA">
        <w:rPr>
          <w:rFonts w:ascii="Times New Roman" w:hAnsi="Times New Roman" w:cs="Times New Roman"/>
          <w:sz w:val="24"/>
          <w:szCs w:val="24"/>
        </w:rPr>
        <w:t xml:space="preserve"> т. </w:t>
      </w:r>
      <w:r w:rsidRPr="007404FA">
        <w:rPr>
          <w:rFonts w:ascii="Times New Roman" w:hAnsi="Times New Roman" w:cs="Times New Roman"/>
          <w:sz w:val="24"/>
          <w:szCs w:val="24"/>
        </w:rPr>
        <w:t>5 от ЗОП:</w:t>
      </w:r>
    </w:p>
    <w:p w:rsidR="001B4178" w:rsidRPr="007404FA" w:rsidRDefault="001B4178" w:rsidP="00DB6B05">
      <w:pPr>
        <w:numPr>
          <w:ilvl w:val="0"/>
          <w:numId w:val="8"/>
        </w:numPr>
        <w:spacing w:line="360" w:lineRule="auto"/>
        <w:ind w:left="0" w:firstLine="709"/>
        <w:contextualSpacing/>
        <w:jc w:val="both"/>
        <w:rPr>
          <w:rFonts w:ascii="Times New Roman" w:hAnsi="Times New Roman" w:cs="Times New Roman"/>
          <w:sz w:val="24"/>
          <w:szCs w:val="24"/>
        </w:rPr>
      </w:pPr>
      <w:r w:rsidRPr="007404FA">
        <w:rPr>
          <w:rFonts w:ascii="Times New Roman" w:hAnsi="Times New Roman" w:cs="Times New Roman"/>
          <w:sz w:val="24"/>
          <w:szCs w:val="24"/>
        </w:rPr>
        <w:t>„Осигуряване на денонощна физическа охрана на сградата, в която се помещават администрациите на Комисията за защита на личните данни и Института по</w:t>
      </w:r>
      <w:r w:rsidR="00BB1511">
        <w:rPr>
          <w:rFonts w:ascii="Times New Roman" w:hAnsi="Times New Roman" w:cs="Times New Roman"/>
          <w:sz w:val="24"/>
          <w:szCs w:val="24"/>
        </w:rPr>
        <w:t xml:space="preserve"> отбрана „Проф. Цветан Лазаров“</w:t>
      </w:r>
      <w:r w:rsidRPr="007404FA">
        <w:rPr>
          <w:rFonts w:ascii="Times New Roman" w:hAnsi="Times New Roman" w:cs="Times New Roman"/>
          <w:sz w:val="24"/>
          <w:szCs w:val="24"/>
        </w:rPr>
        <w:t xml:space="preserve"> и на паркинга пред нея“.</w:t>
      </w:r>
    </w:p>
    <w:p w:rsidR="001B4178" w:rsidRPr="007404FA" w:rsidRDefault="001B4178" w:rsidP="00DB6B05">
      <w:pPr>
        <w:spacing w:line="360" w:lineRule="auto"/>
        <w:ind w:firstLine="709"/>
        <w:contextualSpacing/>
        <w:jc w:val="both"/>
        <w:rPr>
          <w:rFonts w:ascii="Times New Roman" w:hAnsi="Times New Roman" w:cs="Times New Roman"/>
          <w:sz w:val="24"/>
          <w:szCs w:val="24"/>
        </w:rPr>
      </w:pPr>
      <w:r w:rsidRPr="007404FA">
        <w:rPr>
          <w:rFonts w:ascii="Times New Roman" w:hAnsi="Times New Roman" w:cs="Times New Roman"/>
          <w:b/>
          <w:sz w:val="24"/>
          <w:szCs w:val="24"/>
        </w:rPr>
        <w:t xml:space="preserve">5.3. </w:t>
      </w:r>
      <w:r w:rsidRPr="007404FA">
        <w:rPr>
          <w:rFonts w:ascii="Times New Roman" w:hAnsi="Times New Roman" w:cs="Times New Roman"/>
          <w:sz w:val="24"/>
          <w:szCs w:val="24"/>
        </w:rPr>
        <w:t>Договаряне без обявление на основание</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79,</w:t>
      </w:r>
      <w:r w:rsidR="00F06583" w:rsidRPr="007404FA">
        <w:rPr>
          <w:rFonts w:ascii="Times New Roman" w:hAnsi="Times New Roman" w:cs="Times New Roman"/>
          <w:sz w:val="24"/>
          <w:szCs w:val="24"/>
        </w:rPr>
        <w:t xml:space="preserve"> ал. </w:t>
      </w:r>
      <w:r w:rsidRPr="007404FA">
        <w:rPr>
          <w:rFonts w:ascii="Times New Roman" w:hAnsi="Times New Roman" w:cs="Times New Roman"/>
          <w:sz w:val="24"/>
          <w:szCs w:val="24"/>
        </w:rPr>
        <w:t>1,</w:t>
      </w:r>
      <w:r w:rsidR="00F06583" w:rsidRPr="007404FA">
        <w:rPr>
          <w:rFonts w:ascii="Times New Roman" w:hAnsi="Times New Roman" w:cs="Times New Roman"/>
          <w:sz w:val="24"/>
          <w:szCs w:val="24"/>
        </w:rPr>
        <w:t xml:space="preserve"> т. </w:t>
      </w:r>
      <w:r w:rsidRPr="007404FA">
        <w:rPr>
          <w:rFonts w:ascii="Times New Roman" w:hAnsi="Times New Roman" w:cs="Times New Roman"/>
          <w:sz w:val="24"/>
          <w:szCs w:val="24"/>
        </w:rPr>
        <w:t>7 от ЗОП.</w:t>
      </w:r>
    </w:p>
    <w:p w:rsidR="001B4178" w:rsidRPr="007404FA" w:rsidRDefault="001B4178" w:rsidP="00DB6B05">
      <w:pPr>
        <w:numPr>
          <w:ilvl w:val="0"/>
          <w:numId w:val="8"/>
        </w:numPr>
        <w:spacing w:line="360" w:lineRule="auto"/>
        <w:ind w:left="0" w:firstLine="709"/>
        <w:contextualSpacing/>
        <w:jc w:val="both"/>
        <w:rPr>
          <w:rFonts w:ascii="Times New Roman" w:hAnsi="Times New Roman" w:cs="Times New Roman"/>
          <w:sz w:val="24"/>
          <w:szCs w:val="24"/>
        </w:rPr>
      </w:pPr>
      <w:r w:rsidRPr="007404FA">
        <w:rPr>
          <w:rFonts w:ascii="Times New Roman" w:hAnsi="Times New Roman" w:cs="Times New Roman"/>
          <w:sz w:val="24"/>
          <w:szCs w:val="24"/>
        </w:rPr>
        <w:t>„Доставка на горива и аксесоари за автомобилите, собственост на Комисията за защита на личните данни, чрез зареждане с карти за безналично плащане“.</w:t>
      </w:r>
    </w:p>
    <w:p w:rsidR="00694816" w:rsidRPr="007404FA" w:rsidRDefault="00694816" w:rsidP="00DB6B05">
      <w:pPr>
        <w:spacing w:line="360" w:lineRule="auto"/>
        <w:ind w:firstLine="709"/>
        <w:jc w:val="both"/>
        <w:rPr>
          <w:rFonts w:ascii="Times New Roman" w:hAnsi="Times New Roman" w:cs="Times New Roman"/>
          <w:b/>
          <w:sz w:val="24"/>
          <w:szCs w:val="24"/>
        </w:rPr>
      </w:pPr>
    </w:p>
    <w:p w:rsidR="001B4178" w:rsidRPr="007404FA" w:rsidRDefault="00694816" w:rsidP="00DB6B05">
      <w:pPr>
        <w:spacing w:line="360" w:lineRule="auto"/>
        <w:ind w:firstLine="709"/>
        <w:jc w:val="both"/>
        <w:rPr>
          <w:rFonts w:ascii="Times New Roman" w:hAnsi="Times New Roman" w:cs="Times New Roman"/>
          <w:b/>
          <w:sz w:val="24"/>
          <w:szCs w:val="24"/>
        </w:rPr>
      </w:pPr>
      <w:r w:rsidRPr="007404FA">
        <w:rPr>
          <w:rFonts w:ascii="Times New Roman" w:hAnsi="Times New Roman" w:cs="Times New Roman"/>
          <w:b/>
          <w:sz w:val="24"/>
          <w:szCs w:val="24"/>
        </w:rPr>
        <w:t>6</w:t>
      </w:r>
      <w:r w:rsidR="001B4178" w:rsidRPr="007404FA">
        <w:rPr>
          <w:rFonts w:ascii="Times New Roman" w:hAnsi="Times New Roman" w:cs="Times New Roman"/>
          <w:b/>
          <w:sz w:val="24"/>
          <w:szCs w:val="24"/>
        </w:rPr>
        <w:t>. Финансови ресурси</w:t>
      </w:r>
      <w:r w:rsidR="00553661" w:rsidRPr="007404FA">
        <w:rPr>
          <w:rFonts w:ascii="Times New Roman" w:hAnsi="Times New Roman" w:cs="Times New Roman"/>
          <w:b/>
          <w:sz w:val="24"/>
          <w:szCs w:val="24"/>
        </w:rPr>
        <w:t xml:space="preserve"> – </w:t>
      </w:r>
      <w:r w:rsidR="001B4178" w:rsidRPr="007404FA">
        <w:rPr>
          <w:rFonts w:ascii="Times New Roman" w:hAnsi="Times New Roman" w:cs="Times New Roman"/>
          <w:b/>
          <w:sz w:val="24"/>
          <w:szCs w:val="24"/>
        </w:rPr>
        <w:t>обща информация относно разходването на бюджета на КЗЛД през 2022</w:t>
      </w:r>
      <w:r w:rsidR="00F06583" w:rsidRPr="007404FA">
        <w:rPr>
          <w:rFonts w:ascii="Times New Roman" w:hAnsi="Times New Roman" w:cs="Times New Roman"/>
          <w:b/>
          <w:sz w:val="24"/>
          <w:szCs w:val="24"/>
        </w:rPr>
        <w:t> г.</w:t>
      </w:r>
    </w:p>
    <w:p w:rsidR="001B4178" w:rsidRPr="007404FA" w:rsidRDefault="001B4178" w:rsidP="00DB6B05">
      <w:pPr>
        <w:tabs>
          <w:tab w:val="left" w:pos="993"/>
        </w:tabs>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Със Закона за държавния бюджет на Република България (ЗДБРБ) за 2022</w:t>
      </w:r>
      <w:r w:rsidR="00F06583" w:rsidRPr="007404FA">
        <w:rPr>
          <w:rFonts w:ascii="Times New Roman" w:eastAsia="Calibri" w:hAnsi="Times New Roman" w:cs="Times New Roman"/>
          <w:sz w:val="24"/>
          <w:szCs w:val="24"/>
        </w:rPr>
        <w:t> г.</w:t>
      </w:r>
      <w:r w:rsidR="00BB1511">
        <w:rPr>
          <w:rFonts w:ascii="Times New Roman" w:eastAsia="Calibri" w:hAnsi="Times New Roman" w:cs="Times New Roman"/>
          <w:sz w:val="24"/>
          <w:szCs w:val="24"/>
        </w:rPr>
        <w:t xml:space="preserve"> е утвърден бюджетът</w:t>
      </w:r>
      <w:r w:rsidRPr="007404FA">
        <w:rPr>
          <w:rFonts w:ascii="Times New Roman" w:eastAsia="Calibri" w:hAnsi="Times New Roman" w:cs="Times New Roman"/>
          <w:sz w:val="24"/>
          <w:szCs w:val="24"/>
        </w:rPr>
        <w:t xml:space="preserve"> за дейността на КЗЛД в размер на </w:t>
      </w:r>
      <w:r w:rsidRPr="007404FA">
        <w:rPr>
          <w:rFonts w:ascii="Times New Roman" w:eastAsia="Calibri" w:hAnsi="Times New Roman" w:cs="Times New Roman"/>
          <w:b/>
          <w:sz w:val="24"/>
          <w:szCs w:val="24"/>
        </w:rPr>
        <w:t>3 732</w:t>
      </w:r>
      <w:r w:rsidR="002B2E4F" w:rsidRPr="007404FA">
        <w:rPr>
          <w:rFonts w:ascii="Times New Roman" w:eastAsia="Calibri" w:hAnsi="Times New Roman" w:cs="Times New Roman"/>
          <w:b/>
          <w:sz w:val="24"/>
          <w:szCs w:val="24"/>
        </w:rPr>
        <w:t xml:space="preserve"> </w:t>
      </w:r>
      <w:r w:rsidRPr="007404FA">
        <w:rPr>
          <w:rFonts w:ascii="Times New Roman" w:eastAsia="Calibri" w:hAnsi="Times New Roman" w:cs="Times New Roman"/>
          <w:b/>
          <w:sz w:val="24"/>
          <w:szCs w:val="24"/>
        </w:rPr>
        <w:t>700</w:t>
      </w:r>
      <w:r w:rsidR="003742EB" w:rsidRPr="007404FA">
        <w:rPr>
          <w:rFonts w:ascii="Times New Roman" w:eastAsia="Calibri" w:hAnsi="Times New Roman" w:cs="Times New Roman"/>
          <w:b/>
          <w:sz w:val="24"/>
          <w:szCs w:val="24"/>
        </w:rPr>
        <w:t> лв.</w:t>
      </w:r>
      <w:r w:rsidRPr="007404FA">
        <w:rPr>
          <w:rFonts w:ascii="Times New Roman" w:eastAsia="Calibri" w:hAnsi="Times New Roman" w:cs="Times New Roman"/>
          <w:sz w:val="24"/>
          <w:szCs w:val="24"/>
        </w:rPr>
        <w:t xml:space="preserve"> През годината по него не са извършвани промени.</w:t>
      </w:r>
    </w:p>
    <w:p w:rsidR="001B4178" w:rsidRPr="007404FA" w:rsidRDefault="001B4178" w:rsidP="00DB6B05">
      <w:pPr>
        <w:tabs>
          <w:tab w:val="left" w:pos="993"/>
        </w:tabs>
        <w:spacing w:line="360" w:lineRule="auto"/>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lastRenderedPageBreak/>
        <w:t xml:space="preserve">За обезпечаване на дейността на Комисията за защита на личните данни и нейната администрация са извършени разходи общо в размер на </w:t>
      </w:r>
      <w:r w:rsidRPr="007404FA">
        <w:rPr>
          <w:rFonts w:ascii="Times New Roman" w:eastAsia="Calibri" w:hAnsi="Times New Roman" w:cs="Times New Roman"/>
          <w:b/>
          <w:sz w:val="24"/>
          <w:szCs w:val="24"/>
        </w:rPr>
        <w:t>3</w:t>
      </w:r>
      <w:r w:rsidR="002B2E4F" w:rsidRPr="007404FA">
        <w:rPr>
          <w:rFonts w:ascii="Times New Roman" w:eastAsia="Calibri" w:hAnsi="Times New Roman" w:cs="Times New Roman"/>
          <w:b/>
          <w:sz w:val="24"/>
          <w:szCs w:val="24"/>
        </w:rPr>
        <w:t xml:space="preserve"> </w:t>
      </w:r>
      <w:r w:rsidRPr="007404FA">
        <w:rPr>
          <w:rFonts w:ascii="Times New Roman" w:eastAsia="Calibri" w:hAnsi="Times New Roman" w:cs="Times New Roman"/>
          <w:b/>
          <w:sz w:val="24"/>
          <w:szCs w:val="24"/>
        </w:rPr>
        <w:t>621 225</w:t>
      </w:r>
      <w:r w:rsidR="003742EB" w:rsidRPr="007404FA">
        <w:rPr>
          <w:rFonts w:ascii="Times New Roman" w:eastAsia="Calibri" w:hAnsi="Times New Roman" w:cs="Times New Roman"/>
          <w:b/>
          <w:sz w:val="24"/>
          <w:szCs w:val="24"/>
        </w:rPr>
        <w:t> лв.</w:t>
      </w:r>
      <w:r w:rsidR="00BB1511">
        <w:rPr>
          <w:rFonts w:ascii="Times New Roman" w:eastAsia="Calibri" w:hAnsi="Times New Roman" w:cs="Times New Roman"/>
          <w:sz w:val="24"/>
          <w:szCs w:val="24"/>
        </w:rPr>
        <w:t>,</w:t>
      </w:r>
      <w:r w:rsidRPr="007404FA">
        <w:rPr>
          <w:rFonts w:ascii="Times New Roman" w:eastAsia="Calibri" w:hAnsi="Times New Roman" w:cs="Times New Roman"/>
          <w:sz w:val="24"/>
          <w:szCs w:val="24"/>
        </w:rPr>
        <w:t xml:space="preserve"> или </w:t>
      </w:r>
      <w:r w:rsidRPr="007404FA">
        <w:rPr>
          <w:rFonts w:ascii="Times New Roman" w:eastAsia="Calibri" w:hAnsi="Times New Roman" w:cs="Times New Roman"/>
          <w:b/>
          <w:sz w:val="24"/>
          <w:szCs w:val="24"/>
        </w:rPr>
        <w:t>97,01%</w:t>
      </w:r>
      <w:r w:rsidRPr="007404FA">
        <w:rPr>
          <w:rFonts w:ascii="Times New Roman" w:eastAsia="Calibri" w:hAnsi="Times New Roman" w:cs="Times New Roman"/>
          <w:sz w:val="24"/>
          <w:szCs w:val="24"/>
        </w:rPr>
        <w:t xml:space="preserve"> от утвърдените разчети за годината. Видовете разходи, отразени по параграфи от ЕБК</w:t>
      </w:r>
      <w:r w:rsidR="00BB1511">
        <w:rPr>
          <w:rFonts w:ascii="Times New Roman" w:eastAsia="Calibri" w:hAnsi="Times New Roman" w:cs="Times New Roman"/>
          <w:sz w:val="24"/>
          <w:szCs w:val="24"/>
        </w:rPr>
        <w:t>,</w:t>
      </w:r>
      <w:r w:rsidRPr="007404FA">
        <w:rPr>
          <w:rFonts w:ascii="Times New Roman" w:eastAsia="Calibri" w:hAnsi="Times New Roman" w:cs="Times New Roman"/>
          <w:sz w:val="24"/>
          <w:szCs w:val="24"/>
        </w:rPr>
        <w:t xml:space="preserve"> са представени в таблица, както следва: </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5917"/>
        <w:gridCol w:w="1533"/>
      </w:tblGrid>
      <w:tr w:rsidR="001B4178" w:rsidRPr="007404FA" w:rsidTr="00774CCA">
        <w:trPr>
          <w:trHeight w:val="741"/>
          <w:jc w:val="center"/>
        </w:trPr>
        <w:tc>
          <w:tcPr>
            <w:tcW w:w="2016" w:type="dxa"/>
            <w:tcBorders>
              <w:top w:val="single" w:sz="4" w:space="0" w:color="auto"/>
              <w:left w:val="single" w:sz="4" w:space="0" w:color="auto"/>
              <w:bottom w:val="single" w:sz="4" w:space="0" w:color="auto"/>
              <w:right w:val="single" w:sz="4" w:space="0" w:color="auto"/>
            </w:tcBorders>
            <w:vAlign w:val="center"/>
          </w:tcPr>
          <w:p w:rsidR="001B4178" w:rsidRPr="007404FA" w:rsidRDefault="001B4178" w:rsidP="00DB6B05">
            <w:pPr>
              <w:tabs>
                <w:tab w:val="left" w:pos="993"/>
              </w:tabs>
              <w:spacing w:line="360" w:lineRule="auto"/>
              <w:ind w:firstLine="306"/>
              <w:jc w:val="both"/>
              <w:rPr>
                <w:rFonts w:ascii="Times New Roman" w:eastAsia="Calibri" w:hAnsi="Times New Roman" w:cs="Times New Roman"/>
                <w:b/>
                <w:bCs/>
                <w:sz w:val="24"/>
                <w:szCs w:val="24"/>
              </w:rPr>
            </w:pPr>
            <w:r w:rsidRPr="007404FA">
              <w:rPr>
                <w:rFonts w:ascii="Times New Roman" w:eastAsia="Calibri" w:hAnsi="Times New Roman" w:cs="Times New Roman"/>
                <w:b/>
                <w:bCs/>
                <w:sz w:val="24"/>
                <w:szCs w:val="24"/>
              </w:rPr>
              <w:t>Параграф</w:t>
            </w:r>
          </w:p>
        </w:tc>
        <w:tc>
          <w:tcPr>
            <w:tcW w:w="5917" w:type="dxa"/>
            <w:tcBorders>
              <w:top w:val="single" w:sz="4" w:space="0" w:color="auto"/>
              <w:left w:val="single" w:sz="4" w:space="0" w:color="auto"/>
              <w:bottom w:val="single" w:sz="4" w:space="0" w:color="auto"/>
              <w:right w:val="single" w:sz="4" w:space="0" w:color="auto"/>
            </w:tcBorders>
            <w:vAlign w:val="center"/>
          </w:tcPr>
          <w:p w:rsidR="001B4178" w:rsidRPr="007404FA" w:rsidRDefault="001B4178" w:rsidP="00DB6B05">
            <w:pPr>
              <w:tabs>
                <w:tab w:val="left" w:pos="993"/>
              </w:tabs>
              <w:spacing w:line="360" w:lineRule="auto"/>
              <w:ind w:firstLine="1132"/>
              <w:jc w:val="both"/>
              <w:rPr>
                <w:rFonts w:ascii="Times New Roman" w:eastAsia="Calibri" w:hAnsi="Times New Roman" w:cs="Times New Roman"/>
                <w:b/>
                <w:bCs/>
                <w:sz w:val="24"/>
                <w:szCs w:val="24"/>
              </w:rPr>
            </w:pPr>
            <w:r w:rsidRPr="007404FA">
              <w:rPr>
                <w:rFonts w:ascii="Times New Roman" w:eastAsia="Calibri" w:hAnsi="Times New Roman" w:cs="Times New Roman"/>
                <w:b/>
                <w:bCs/>
                <w:sz w:val="24"/>
                <w:szCs w:val="24"/>
              </w:rPr>
              <w:t>Наименование на разходите</w:t>
            </w:r>
          </w:p>
        </w:tc>
        <w:tc>
          <w:tcPr>
            <w:tcW w:w="1533" w:type="dxa"/>
            <w:tcBorders>
              <w:top w:val="single" w:sz="4" w:space="0" w:color="auto"/>
              <w:left w:val="single" w:sz="4" w:space="0" w:color="auto"/>
              <w:bottom w:val="single" w:sz="4" w:space="0" w:color="auto"/>
              <w:right w:val="single" w:sz="4" w:space="0" w:color="auto"/>
            </w:tcBorders>
            <w:vAlign w:val="center"/>
          </w:tcPr>
          <w:p w:rsidR="001B4178" w:rsidRPr="007404FA" w:rsidRDefault="001B4178" w:rsidP="00DB6B05">
            <w:pPr>
              <w:tabs>
                <w:tab w:val="left" w:pos="993"/>
              </w:tabs>
              <w:spacing w:line="360" w:lineRule="auto"/>
              <w:jc w:val="both"/>
              <w:rPr>
                <w:rFonts w:ascii="Times New Roman" w:eastAsia="Calibri" w:hAnsi="Times New Roman" w:cs="Times New Roman"/>
                <w:b/>
                <w:bCs/>
                <w:sz w:val="24"/>
                <w:szCs w:val="24"/>
              </w:rPr>
            </w:pPr>
            <w:r w:rsidRPr="007404FA">
              <w:rPr>
                <w:rFonts w:ascii="Times New Roman" w:eastAsia="Calibri" w:hAnsi="Times New Roman" w:cs="Times New Roman"/>
                <w:b/>
                <w:bCs/>
                <w:sz w:val="24"/>
                <w:szCs w:val="24"/>
              </w:rPr>
              <w:t>Сума (лева)</w:t>
            </w:r>
          </w:p>
        </w:tc>
      </w:tr>
      <w:tr w:rsidR="001B4178" w:rsidRPr="007404FA" w:rsidTr="00671629">
        <w:trPr>
          <w:trHeight w:val="993"/>
          <w:jc w:val="center"/>
        </w:trPr>
        <w:tc>
          <w:tcPr>
            <w:tcW w:w="2016" w:type="dxa"/>
            <w:tcBorders>
              <w:top w:val="single" w:sz="4" w:space="0" w:color="auto"/>
              <w:left w:val="single" w:sz="4" w:space="0" w:color="auto"/>
              <w:bottom w:val="single" w:sz="4" w:space="0" w:color="auto"/>
              <w:right w:val="single" w:sz="4" w:space="0" w:color="auto"/>
            </w:tcBorders>
          </w:tcPr>
          <w:p w:rsidR="001B4178" w:rsidRPr="007404FA" w:rsidRDefault="001B4178" w:rsidP="00DB6B05">
            <w:pPr>
              <w:tabs>
                <w:tab w:val="left" w:pos="993"/>
              </w:tabs>
              <w:spacing w:line="360" w:lineRule="auto"/>
              <w:ind w:firstLine="447"/>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01-00</w:t>
            </w:r>
          </w:p>
        </w:tc>
        <w:tc>
          <w:tcPr>
            <w:tcW w:w="5917" w:type="dxa"/>
            <w:tcBorders>
              <w:top w:val="single" w:sz="4" w:space="0" w:color="auto"/>
              <w:left w:val="single" w:sz="4" w:space="0" w:color="auto"/>
              <w:bottom w:val="single" w:sz="4" w:space="0" w:color="auto"/>
              <w:right w:val="single" w:sz="4" w:space="0" w:color="auto"/>
            </w:tcBorders>
          </w:tcPr>
          <w:p w:rsidR="001B4178" w:rsidRPr="007404FA" w:rsidRDefault="001B4178" w:rsidP="00DB6B05">
            <w:pPr>
              <w:tabs>
                <w:tab w:val="left" w:pos="993"/>
              </w:tabs>
              <w:spacing w:line="360" w:lineRule="auto"/>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Заплати и възнаграждения за персонала, нает по трудови и служебни правоотношения</w:t>
            </w:r>
          </w:p>
        </w:tc>
        <w:tc>
          <w:tcPr>
            <w:tcW w:w="1533" w:type="dxa"/>
            <w:tcBorders>
              <w:top w:val="single" w:sz="4" w:space="0" w:color="auto"/>
              <w:left w:val="single" w:sz="4" w:space="0" w:color="auto"/>
              <w:bottom w:val="single" w:sz="4" w:space="0" w:color="auto"/>
              <w:right w:val="single" w:sz="4" w:space="0" w:color="auto"/>
            </w:tcBorders>
          </w:tcPr>
          <w:p w:rsidR="00671629" w:rsidRPr="007404FA" w:rsidRDefault="00671629" w:rsidP="00DB6B05">
            <w:pPr>
              <w:tabs>
                <w:tab w:val="left" w:pos="993"/>
              </w:tabs>
              <w:spacing w:line="360" w:lineRule="auto"/>
              <w:ind w:firstLine="71"/>
              <w:jc w:val="both"/>
              <w:rPr>
                <w:rFonts w:ascii="Times New Roman" w:eastAsia="Calibri" w:hAnsi="Times New Roman" w:cs="Times New Roman"/>
                <w:sz w:val="24"/>
                <w:szCs w:val="24"/>
              </w:rPr>
            </w:pPr>
          </w:p>
          <w:p w:rsidR="001B4178" w:rsidRPr="007404FA" w:rsidRDefault="001B4178" w:rsidP="00DB6B05">
            <w:pPr>
              <w:tabs>
                <w:tab w:val="left" w:pos="993"/>
              </w:tabs>
              <w:spacing w:line="360" w:lineRule="auto"/>
              <w:ind w:firstLine="71"/>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2</w:t>
            </w:r>
            <w:r w:rsidR="002B2E4F" w:rsidRPr="007404FA">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002 692</w:t>
            </w:r>
          </w:p>
        </w:tc>
      </w:tr>
      <w:tr w:rsidR="001B4178" w:rsidRPr="007404FA" w:rsidTr="00671629">
        <w:trPr>
          <w:jc w:val="center"/>
        </w:trPr>
        <w:tc>
          <w:tcPr>
            <w:tcW w:w="2016" w:type="dxa"/>
            <w:tcBorders>
              <w:top w:val="single" w:sz="4" w:space="0" w:color="auto"/>
              <w:left w:val="single" w:sz="4" w:space="0" w:color="auto"/>
              <w:bottom w:val="single" w:sz="4" w:space="0" w:color="auto"/>
              <w:right w:val="single" w:sz="4" w:space="0" w:color="auto"/>
            </w:tcBorders>
          </w:tcPr>
          <w:p w:rsidR="001B4178" w:rsidRPr="007404FA" w:rsidRDefault="001B4178" w:rsidP="00DB6B05">
            <w:pPr>
              <w:tabs>
                <w:tab w:val="left" w:pos="993"/>
              </w:tabs>
              <w:spacing w:line="360" w:lineRule="auto"/>
              <w:ind w:firstLine="447"/>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02-00</w:t>
            </w:r>
          </w:p>
        </w:tc>
        <w:tc>
          <w:tcPr>
            <w:tcW w:w="5917" w:type="dxa"/>
            <w:tcBorders>
              <w:top w:val="single" w:sz="4" w:space="0" w:color="auto"/>
              <w:left w:val="single" w:sz="4" w:space="0" w:color="auto"/>
              <w:bottom w:val="single" w:sz="4" w:space="0" w:color="auto"/>
              <w:right w:val="single" w:sz="4" w:space="0" w:color="auto"/>
            </w:tcBorders>
          </w:tcPr>
          <w:p w:rsidR="001B4178" w:rsidRPr="007404FA" w:rsidRDefault="001B4178" w:rsidP="00DB6B05">
            <w:pPr>
              <w:tabs>
                <w:tab w:val="left" w:pos="993"/>
              </w:tabs>
              <w:spacing w:line="360" w:lineRule="auto"/>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Други възнаграждения и плащания за персонала</w:t>
            </w:r>
          </w:p>
        </w:tc>
        <w:tc>
          <w:tcPr>
            <w:tcW w:w="1533" w:type="dxa"/>
            <w:tcBorders>
              <w:top w:val="single" w:sz="4" w:space="0" w:color="auto"/>
              <w:left w:val="single" w:sz="4" w:space="0" w:color="auto"/>
              <w:bottom w:val="single" w:sz="4" w:space="0" w:color="auto"/>
              <w:right w:val="single" w:sz="4" w:space="0" w:color="auto"/>
            </w:tcBorders>
          </w:tcPr>
          <w:p w:rsidR="001B4178" w:rsidRPr="007404FA" w:rsidRDefault="001B4178" w:rsidP="00DB6B05">
            <w:pPr>
              <w:tabs>
                <w:tab w:val="left" w:pos="993"/>
              </w:tabs>
              <w:spacing w:line="360" w:lineRule="auto"/>
              <w:ind w:firstLine="71"/>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102 259</w:t>
            </w:r>
          </w:p>
        </w:tc>
      </w:tr>
      <w:tr w:rsidR="001B4178" w:rsidRPr="007404FA" w:rsidTr="00671629">
        <w:trPr>
          <w:jc w:val="center"/>
        </w:trPr>
        <w:tc>
          <w:tcPr>
            <w:tcW w:w="2016" w:type="dxa"/>
            <w:tcBorders>
              <w:top w:val="single" w:sz="4" w:space="0" w:color="auto"/>
              <w:left w:val="single" w:sz="4" w:space="0" w:color="auto"/>
              <w:bottom w:val="single" w:sz="4" w:space="0" w:color="auto"/>
              <w:right w:val="single" w:sz="4" w:space="0" w:color="auto"/>
            </w:tcBorders>
          </w:tcPr>
          <w:p w:rsidR="001B4178" w:rsidRPr="007404FA" w:rsidRDefault="001B4178" w:rsidP="00DB6B05">
            <w:pPr>
              <w:tabs>
                <w:tab w:val="left" w:pos="993"/>
              </w:tabs>
              <w:spacing w:line="360" w:lineRule="auto"/>
              <w:ind w:firstLine="447"/>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05-00</w:t>
            </w:r>
          </w:p>
        </w:tc>
        <w:tc>
          <w:tcPr>
            <w:tcW w:w="5917" w:type="dxa"/>
            <w:tcBorders>
              <w:top w:val="single" w:sz="4" w:space="0" w:color="auto"/>
              <w:left w:val="single" w:sz="4" w:space="0" w:color="auto"/>
              <w:bottom w:val="single" w:sz="4" w:space="0" w:color="auto"/>
              <w:right w:val="single" w:sz="4" w:space="0" w:color="auto"/>
            </w:tcBorders>
          </w:tcPr>
          <w:p w:rsidR="001B4178" w:rsidRPr="007404FA" w:rsidRDefault="001B4178" w:rsidP="00DB6B05">
            <w:pPr>
              <w:tabs>
                <w:tab w:val="left" w:pos="993"/>
              </w:tabs>
              <w:spacing w:line="360" w:lineRule="auto"/>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Задължителни осигурителни вноски от работодатели</w:t>
            </w:r>
          </w:p>
        </w:tc>
        <w:tc>
          <w:tcPr>
            <w:tcW w:w="1533" w:type="dxa"/>
            <w:tcBorders>
              <w:top w:val="single" w:sz="4" w:space="0" w:color="auto"/>
              <w:left w:val="single" w:sz="4" w:space="0" w:color="auto"/>
              <w:bottom w:val="single" w:sz="4" w:space="0" w:color="auto"/>
              <w:right w:val="single" w:sz="4" w:space="0" w:color="auto"/>
            </w:tcBorders>
          </w:tcPr>
          <w:p w:rsidR="001B4178" w:rsidRPr="007404FA" w:rsidRDefault="001B4178" w:rsidP="00DB6B05">
            <w:pPr>
              <w:tabs>
                <w:tab w:val="left" w:pos="993"/>
              </w:tabs>
              <w:spacing w:line="360" w:lineRule="auto"/>
              <w:ind w:firstLine="71"/>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507 132</w:t>
            </w:r>
          </w:p>
        </w:tc>
      </w:tr>
      <w:tr w:rsidR="001B4178" w:rsidRPr="007404FA" w:rsidTr="00671629">
        <w:trPr>
          <w:jc w:val="center"/>
        </w:trPr>
        <w:tc>
          <w:tcPr>
            <w:tcW w:w="2016" w:type="dxa"/>
            <w:tcBorders>
              <w:top w:val="single" w:sz="4" w:space="0" w:color="auto"/>
              <w:left w:val="single" w:sz="4" w:space="0" w:color="auto"/>
              <w:bottom w:val="single" w:sz="4" w:space="0" w:color="auto"/>
              <w:right w:val="single" w:sz="4" w:space="0" w:color="auto"/>
            </w:tcBorders>
          </w:tcPr>
          <w:p w:rsidR="001B4178" w:rsidRPr="007404FA" w:rsidRDefault="001B4178" w:rsidP="00DB6B05">
            <w:pPr>
              <w:tabs>
                <w:tab w:val="left" w:pos="993"/>
              </w:tabs>
              <w:spacing w:line="360" w:lineRule="auto"/>
              <w:ind w:firstLine="447"/>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10-00</w:t>
            </w:r>
          </w:p>
        </w:tc>
        <w:tc>
          <w:tcPr>
            <w:tcW w:w="5917" w:type="dxa"/>
            <w:tcBorders>
              <w:top w:val="single" w:sz="4" w:space="0" w:color="auto"/>
              <w:left w:val="single" w:sz="4" w:space="0" w:color="auto"/>
              <w:bottom w:val="single" w:sz="4" w:space="0" w:color="auto"/>
              <w:right w:val="single" w:sz="4" w:space="0" w:color="auto"/>
            </w:tcBorders>
          </w:tcPr>
          <w:p w:rsidR="001B4178" w:rsidRPr="007404FA" w:rsidRDefault="001B4178" w:rsidP="00DB6B05">
            <w:pPr>
              <w:tabs>
                <w:tab w:val="left" w:pos="993"/>
              </w:tabs>
              <w:spacing w:line="360" w:lineRule="auto"/>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Издръжка</w:t>
            </w:r>
          </w:p>
        </w:tc>
        <w:tc>
          <w:tcPr>
            <w:tcW w:w="1533" w:type="dxa"/>
            <w:tcBorders>
              <w:top w:val="single" w:sz="4" w:space="0" w:color="auto"/>
              <w:left w:val="single" w:sz="4" w:space="0" w:color="auto"/>
              <w:bottom w:val="single" w:sz="4" w:space="0" w:color="auto"/>
              <w:right w:val="single" w:sz="4" w:space="0" w:color="auto"/>
            </w:tcBorders>
          </w:tcPr>
          <w:p w:rsidR="001B4178" w:rsidRPr="007404FA" w:rsidRDefault="001B4178" w:rsidP="00DB6B05">
            <w:pPr>
              <w:tabs>
                <w:tab w:val="left" w:pos="993"/>
              </w:tabs>
              <w:spacing w:line="360" w:lineRule="auto"/>
              <w:ind w:firstLine="71"/>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641 170</w:t>
            </w:r>
          </w:p>
        </w:tc>
      </w:tr>
      <w:tr w:rsidR="001B4178" w:rsidRPr="007404FA" w:rsidTr="00671629">
        <w:trPr>
          <w:jc w:val="center"/>
        </w:trPr>
        <w:tc>
          <w:tcPr>
            <w:tcW w:w="2016" w:type="dxa"/>
            <w:tcBorders>
              <w:top w:val="single" w:sz="4" w:space="0" w:color="auto"/>
              <w:left w:val="single" w:sz="4" w:space="0" w:color="auto"/>
              <w:bottom w:val="single" w:sz="4" w:space="0" w:color="auto"/>
              <w:right w:val="single" w:sz="4" w:space="0" w:color="auto"/>
            </w:tcBorders>
          </w:tcPr>
          <w:p w:rsidR="001B4178" w:rsidRPr="007404FA" w:rsidRDefault="001B4178" w:rsidP="00DB6B05">
            <w:pPr>
              <w:tabs>
                <w:tab w:val="left" w:pos="993"/>
              </w:tabs>
              <w:spacing w:line="360" w:lineRule="auto"/>
              <w:ind w:firstLine="447"/>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19-00</w:t>
            </w:r>
          </w:p>
        </w:tc>
        <w:tc>
          <w:tcPr>
            <w:tcW w:w="5917" w:type="dxa"/>
            <w:tcBorders>
              <w:top w:val="single" w:sz="4" w:space="0" w:color="auto"/>
              <w:left w:val="single" w:sz="4" w:space="0" w:color="auto"/>
              <w:bottom w:val="single" w:sz="4" w:space="0" w:color="auto"/>
              <w:right w:val="single" w:sz="4" w:space="0" w:color="auto"/>
            </w:tcBorders>
          </w:tcPr>
          <w:p w:rsidR="001B4178" w:rsidRPr="007404FA" w:rsidRDefault="001B4178" w:rsidP="00DB6B05">
            <w:pPr>
              <w:tabs>
                <w:tab w:val="left" w:pos="993"/>
              </w:tabs>
              <w:spacing w:line="360" w:lineRule="auto"/>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Платени данъци, такси и административни санкции</w:t>
            </w:r>
          </w:p>
        </w:tc>
        <w:tc>
          <w:tcPr>
            <w:tcW w:w="1533" w:type="dxa"/>
            <w:tcBorders>
              <w:top w:val="single" w:sz="4" w:space="0" w:color="auto"/>
              <w:left w:val="single" w:sz="4" w:space="0" w:color="auto"/>
              <w:bottom w:val="single" w:sz="4" w:space="0" w:color="auto"/>
              <w:right w:val="single" w:sz="4" w:space="0" w:color="auto"/>
            </w:tcBorders>
          </w:tcPr>
          <w:p w:rsidR="001B4178" w:rsidRPr="007404FA" w:rsidRDefault="001B4178" w:rsidP="00DB6B05">
            <w:pPr>
              <w:tabs>
                <w:tab w:val="left" w:pos="993"/>
              </w:tabs>
              <w:spacing w:line="360" w:lineRule="auto"/>
              <w:ind w:firstLine="71"/>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12 270</w:t>
            </w:r>
          </w:p>
        </w:tc>
      </w:tr>
      <w:tr w:rsidR="001B4178" w:rsidRPr="007404FA" w:rsidTr="00671629">
        <w:trPr>
          <w:jc w:val="center"/>
        </w:trPr>
        <w:tc>
          <w:tcPr>
            <w:tcW w:w="2016" w:type="dxa"/>
            <w:tcBorders>
              <w:top w:val="single" w:sz="4" w:space="0" w:color="auto"/>
              <w:left w:val="single" w:sz="4" w:space="0" w:color="auto"/>
              <w:bottom w:val="single" w:sz="4" w:space="0" w:color="auto"/>
              <w:right w:val="single" w:sz="4" w:space="0" w:color="auto"/>
            </w:tcBorders>
          </w:tcPr>
          <w:p w:rsidR="001B4178" w:rsidRPr="007404FA" w:rsidRDefault="001B4178" w:rsidP="00DB6B05">
            <w:pPr>
              <w:tabs>
                <w:tab w:val="left" w:pos="993"/>
              </w:tabs>
              <w:spacing w:line="360" w:lineRule="auto"/>
              <w:ind w:firstLine="447"/>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 xml:space="preserve">52-00 </w:t>
            </w:r>
          </w:p>
        </w:tc>
        <w:tc>
          <w:tcPr>
            <w:tcW w:w="5917" w:type="dxa"/>
            <w:tcBorders>
              <w:top w:val="single" w:sz="4" w:space="0" w:color="auto"/>
              <w:left w:val="single" w:sz="4" w:space="0" w:color="auto"/>
              <w:bottom w:val="single" w:sz="4" w:space="0" w:color="auto"/>
              <w:right w:val="single" w:sz="4" w:space="0" w:color="auto"/>
            </w:tcBorders>
          </w:tcPr>
          <w:p w:rsidR="001B4178" w:rsidRPr="007404FA" w:rsidRDefault="001B4178" w:rsidP="00DB6B05">
            <w:pPr>
              <w:tabs>
                <w:tab w:val="left" w:pos="993"/>
              </w:tabs>
              <w:spacing w:line="360" w:lineRule="auto"/>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Придобиване на дълготрайни материални активи</w:t>
            </w:r>
          </w:p>
        </w:tc>
        <w:tc>
          <w:tcPr>
            <w:tcW w:w="1533" w:type="dxa"/>
            <w:tcBorders>
              <w:top w:val="single" w:sz="4" w:space="0" w:color="auto"/>
              <w:left w:val="single" w:sz="4" w:space="0" w:color="auto"/>
              <w:bottom w:val="single" w:sz="4" w:space="0" w:color="auto"/>
              <w:right w:val="single" w:sz="4" w:space="0" w:color="auto"/>
            </w:tcBorders>
          </w:tcPr>
          <w:p w:rsidR="001B4178" w:rsidRPr="007404FA" w:rsidRDefault="001B4178" w:rsidP="00DB6B05">
            <w:pPr>
              <w:tabs>
                <w:tab w:val="left" w:pos="993"/>
              </w:tabs>
              <w:spacing w:line="360" w:lineRule="auto"/>
              <w:ind w:firstLine="71"/>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355 702</w:t>
            </w:r>
          </w:p>
        </w:tc>
      </w:tr>
      <w:tr w:rsidR="001B4178" w:rsidRPr="007404FA" w:rsidTr="00671629">
        <w:trPr>
          <w:trHeight w:val="524"/>
          <w:jc w:val="center"/>
        </w:trPr>
        <w:tc>
          <w:tcPr>
            <w:tcW w:w="2016" w:type="dxa"/>
            <w:tcBorders>
              <w:top w:val="single" w:sz="4" w:space="0" w:color="auto"/>
              <w:left w:val="single" w:sz="4" w:space="0" w:color="auto"/>
              <w:bottom w:val="single" w:sz="4" w:space="0" w:color="auto"/>
              <w:right w:val="single" w:sz="4" w:space="0" w:color="auto"/>
            </w:tcBorders>
          </w:tcPr>
          <w:p w:rsidR="001B4178" w:rsidRPr="007404FA" w:rsidRDefault="001B4178" w:rsidP="00DB6B05">
            <w:pPr>
              <w:tabs>
                <w:tab w:val="left" w:pos="993"/>
              </w:tabs>
              <w:spacing w:line="360" w:lineRule="auto"/>
              <w:ind w:firstLine="709"/>
              <w:jc w:val="both"/>
              <w:rPr>
                <w:rFonts w:ascii="Times New Roman" w:eastAsia="Calibri" w:hAnsi="Times New Roman" w:cs="Times New Roman"/>
                <w:sz w:val="24"/>
                <w:szCs w:val="24"/>
              </w:rPr>
            </w:pPr>
          </w:p>
        </w:tc>
        <w:tc>
          <w:tcPr>
            <w:tcW w:w="5917" w:type="dxa"/>
            <w:tcBorders>
              <w:top w:val="single" w:sz="4" w:space="0" w:color="auto"/>
              <w:left w:val="single" w:sz="4" w:space="0" w:color="auto"/>
              <w:bottom w:val="single" w:sz="4" w:space="0" w:color="auto"/>
              <w:right w:val="single" w:sz="4" w:space="0" w:color="auto"/>
            </w:tcBorders>
          </w:tcPr>
          <w:p w:rsidR="001B4178" w:rsidRPr="007404FA" w:rsidRDefault="001B4178" w:rsidP="00DB6B05">
            <w:pPr>
              <w:tabs>
                <w:tab w:val="left" w:pos="993"/>
              </w:tabs>
              <w:spacing w:line="360" w:lineRule="auto"/>
              <w:jc w:val="both"/>
              <w:rPr>
                <w:rFonts w:ascii="Times New Roman" w:eastAsia="Calibri" w:hAnsi="Times New Roman" w:cs="Times New Roman"/>
                <w:b/>
                <w:sz w:val="24"/>
                <w:szCs w:val="24"/>
              </w:rPr>
            </w:pPr>
            <w:r w:rsidRPr="007404FA">
              <w:rPr>
                <w:rFonts w:ascii="Times New Roman" w:eastAsia="Calibri" w:hAnsi="Times New Roman" w:cs="Times New Roman"/>
                <w:b/>
                <w:sz w:val="24"/>
                <w:szCs w:val="24"/>
              </w:rPr>
              <w:t>Общо разходи по бюджета</w:t>
            </w:r>
          </w:p>
        </w:tc>
        <w:tc>
          <w:tcPr>
            <w:tcW w:w="1533" w:type="dxa"/>
            <w:tcBorders>
              <w:top w:val="single" w:sz="4" w:space="0" w:color="auto"/>
              <w:left w:val="single" w:sz="4" w:space="0" w:color="auto"/>
              <w:bottom w:val="single" w:sz="4" w:space="0" w:color="auto"/>
              <w:right w:val="single" w:sz="4" w:space="0" w:color="auto"/>
            </w:tcBorders>
          </w:tcPr>
          <w:p w:rsidR="001B4178" w:rsidRPr="007404FA" w:rsidRDefault="001B4178" w:rsidP="00DB6B05">
            <w:pPr>
              <w:tabs>
                <w:tab w:val="left" w:pos="993"/>
              </w:tabs>
              <w:spacing w:line="360" w:lineRule="auto"/>
              <w:ind w:firstLine="71"/>
              <w:jc w:val="both"/>
              <w:rPr>
                <w:rFonts w:ascii="Times New Roman" w:eastAsia="Calibri" w:hAnsi="Times New Roman" w:cs="Times New Roman"/>
                <w:b/>
                <w:sz w:val="24"/>
                <w:szCs w:val="24"/>
              </w:rPr>
            </w:pPr>
            <w:r w:rsidRPr="007404FA">
              <w:rPr>
                <w:rFonts w:ascii="Times New Roman" w:eastAsia="Calibri" w:hAnsi="Times New Roman" w:cs="Times New Roman"/>
                <w:b/>
                <w:sz w:val="24"/>
                <w:szCs w:val="24"/>
              </w:rPr>
              <w:t>3</w:t>
            </w:r>
            <w:r w:rsidR="002B2E4F" w:rsidRPr="007404FA">
              <w:rPr>
                <w:rFonts w:ascii="Times New Roman" w:eastAsia="Calibri" w:hAnsi="Times New Roman" w:cs="Times New Roman"/>
                <w:b/>
                <w:sz w:val="24"/>
                <w:szCs w:val="24"/>
              </w:rPr>
              <w:t xml:space="preserve"> </w:t>
            </w:r>
            <w:r w:rsidRPr="007404FA">
              <w:rPr>
                <w:rFonts w:ascii="Times New Roman" w:eastAsia="Calibri" w:hAnsi="Times New Roman" w:cs="Times New Roman"/>
                <w:b/>
                <w:sz w:val="24"/>
                <w:szCs w:val="24"/>
              </w:rPr>
              <w:t>621 225</w:t>
            </w:r>
          </w:p>
        </w:tc>
      </w:tr>
    </w:tbl>
    <w:p w:rsidR="001B4178" w:rsidRPr="007404FA" w:rsidRDefault="001B4178" w:rsidP="00DB6B05">
      <w:pPr>
        <w:spacing w:line="360" w:lineRule="auto"/>
        <w:ind w:firstLine="709"/>
        <w:jc w:val="both"/>
        <w:rPr>
          <w:rFonts w:ascii="Times New Roman" w:hAnsi="Times New Roman" w:cs="Times New Roman"/>
          <w:sz w:val="24"/>
          <w:szCs w:val="24"/>
        </w:rPr>
      </w:pPr>
    </w:p>
    <w:p w:rsidR="001B4178" w:rsidRPr="007404FA" w:rsidRDefault="001B4178" w:rsidP="00DB6B05">
      <w:pPr>
        <w:spacing w:line="360" w:lineRule="auto"/>
        <w:ind w:firstLine="709"/>
        <w:jc w:val="both"/>
        <w:rPr>
          <w:rFonts w:ascii="Times New Roman" w:eastAsia="Times New Roman" w:hAnsi="Times New Roman" w:cs="Times New Roman"/>
          <w:sz w:val="24"/>
          <w:szCs w:val="24"/>
        </w:rPr>
      </w:pPr>
      <w:r w:rsidRPr="007404FA">
        <w:rPr>
          <w:rFonts w:ascii="Times New Roman" w:hAnsi="Times New Roman" w:cs="Times New Roman"/>
          <w:sz w:val="24"/>
          <w:szCs w:val="24"/>
        </w:rPr>
        <w:t>По-голямата част от реализираната икономия на разходите по бюджета на КЗЛД за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е</w:t>
      </w:r>
      <w:r w:rsidR="00157B49">
        <w:rPr>
          <w:rFonts w:ascii="Times New Roman" w:hAnsi="Times New Roman" w:cs="Times New Roman"/>
          <w:sz w:val="24"/>
          <w:szCs w:val="24"/>
        </w:rPr>
        <w:t xml:space="preserve"> </w:t>
      </w:r>
      <w:r w:rsidRPr="007404FA">
        <w:rPr>
          <w:rFonts w:ascii="Times New Roman" w:hAnsi="Times New Roman" w:cs="Times New Roman"/>
          <w:sz w:val="24"/>
          <w:szCs w:val="24"/>
        </w:rPr>
        <w:t>от неизплатени средства за други възнаграждения и плащания за персонала, предвидени за еднократно плащане през годината, но без възникнало основание за това. Останалата част от икономията на разходите по бюджета е съобразно разпоредбите на</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106 и</w:t>
      </w:r>
      <w:r w:rsidR="00F06583" w:rsidRPr="007404FA">
        <w:rPr>
          <w:rFonts w:ascii="Times New Roman" w:hAnsi="Times New Roman" w:cs="Times New Roman"/>
          <w:sz w:val="24"/>
          <w:szCs w:val="24"/>
        </w:rPr>
        <w:t xml:space="preserve"> чл. </w:t>
      </w:r>
      <w:r w:rsidRPr="007404FA">
        <w:rPr>
          <w:rFonts w:ascii="Times New Roman" w:hAnsi="Times New Roman" w:cs="Times New Roman"/>
          <w:sz w:val="24"/>
          <w:szCs w:val="24"/>
        </w:rPr>
        <w:t>110 от ЗДБРБ за 2022</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в изпълнение на които са резервирани средства за превенция на разпространението на C</w:t>
      </w:r>
      <w:r w:rsidR="00BB1511" w:rsidRPr="007404FA">
        <w:rPr>
          <w:rFonts w:ascii="Times New Roman" w:hAnsi="Times New Roman" w:cs="Times New Roman"/>
          <w:sz w:val="24"/>
          <w:szCs w:val="24"/>
        </w:rPr>
        <w:t>OVID</w:t>
      </w:r>
      <w:r w:rsidRPr="007404FA">
        <w:rPr>
          <w:rFonts w:ascii="Times New Roman" w:hAnsi="Times New Roman" w:cs="Times New Roman"/>
          <w:sz w:val="24"/>
          <w:szCs w:val="24"/>
        </w:rPr>
        <w:t xml:space="preserve">-19, оказване на незабавна хуманитарна помощ за Украйна, както и за извършване на разходи за справяне с последствията от военните действия срещу Украйна. </w:t>
      </w:r>
    </w:p>
    <w:p w:rsidR="001B4178" w:rsidRPr="007404FA" w:rsidRDefault="001B4178" w:rsidP="00DB6B05">
      <w:pPr>
        <w:spacing w:line="360" w:lineRule="auto"/>
        <w:ind w:firstLine="709"/>
        <w:jc w:val="both"/>
      </w:pPr>
    </w:p>
    <w:p w:rsidR="00F64A63" w:rsidRPr="007404FA" w:rsidRDefault="00F64A63" w:rsidP="00DB6B05">
      <w:pPr>
        <w:spacing w:line="259" w:lineRule="auto"/>
      </w:pPr>
      <w:r w:rsidRPr="007404FA">
        <w:br w:type="page"/>
      </w:r>
    </w:p>
    <w:p w:rsidR="00E42714" w:rsidRPr="002472B6" w:rsidRDefault="00E42714" w:rsidP="002472B6">
      <w:pPr>
        <w:pStyle w:val="Heading1"/>
        <w:spacing w:before="0" w:line="360" w:lineRule="auto"/>
        <w:ind w:firstLine="709"/>
        <w:rPr>
          <w:rFonts w:ascii="Times New Roman" w:hAnsi="Times New Roman" w:cs="Times New Roman"/>
          <w:sz w:val="24"/>
          <w:szCs w:val="24"/>
        </w:rPr>
      </w:pPr>
      <w:bookmarkStart w:id="11" w:name="_Toc130915388"/>
      <w:r w:rsidRPr="002472B6">
        <w:rPr>
          <w:rFonts w:ascii="Times New Roman" w:hAnsi="Times New Roman" w:cs="Times New Roman"/>
          <w:sz w:val="24"/>
          <w:szCs w:val="24"/>
        </w:rPr>
        <w:lastRenderedPageBreak/>
        <w:t>XII. ЦЕЛИ И ПРИОРИТЕТИ НА КЗЛД ЗА 2023</w:t>
      </w:r>
      <w:r w:rsidR="00F06583" w:rsidRPr="002472B6">
        <w:rPr>
          <w:rFonts w:ascii="Times New Roman" w:hAnsi="Times New Roman" w:cs="Times New Roman"/>
          <w:sz w:val="24"/>
          <w:szCs w:val="24"/>
        </w:rPr>
        <w:t> г.</w:t>
      </w:r>
      <w:bookmarkEnd w:id="11"/>
    </w:p>
    <w:p w:rsidR="00346C00" w:rsidRPr="007404FA" w:rsidRDefault="00346C00" w:rsidP="00540979">
      <w:pPr>
        <w:spacing w:line="400" w:lineRule="exact"/>
        <w:ind w:firstLine="709"/>
        <w:jc w:val="both"/>
        <w:rPr>
          <w:rFonts w:ascii="Times New Roman" w:eastAsia="Calibri" w:hAnsi="Times New Roman" w:cs="Times New Roman"/>
          <w:sz w:val="24"/>
          <w:szCs w:val="24"/>
        </w:rPr>
      </w:pPr>
    </w:p>
    <w:p w:rsidR="00346C00" w:rsidRPr="007404FA" w:rsidRDefault="00346C00" w:rsidP="00540979">
      <w:pPr>
        <w:spacing w:line="400" w:lineRule="exact"/>
        <w:ind w:firstLine="709"/>
        <w:jc w:val="both"/>
        <w:rPr>
          <w:rFonts w:ascii="Times New Roman" w:eastAsia="Times New Roman" w:hAnsi="Times New Roman" w:cs="Times New Roman"/>
          <w:b/>
          <w:sz w:val="24"/>
          <w:szCs w:val="24"/>
        </w:rPr>
      </w:pPr>
      <w:r w:rsidRPr="007404FA">
        <w:rPr>
          <w:rFonts w:ascii="Times New Roman" w:eastAsia="Calibri" w:hAnsi="Times New Roman" w:cs="Times New Roman"/>
          <w:b/>
          <w:sz w:val="24"/>
          <w:szCs w:val="24"/>
        </w:rPr>
        <w:t xml:space="preserve">1. </w:t>
      </w:r>
      <w:r w:rsidRPr="007404FA">
        <w:rPr>
          <w:rFonts w:ascii="Times New Roman" w:eastAsia="Times New Roman" w:hAnsi="Times New Roman" w:cs="Times New Roman"/>
          <w:b/>
          <w:sz w:val="24"/>
          <w:szCs w:val="24"/>
        </w:rPr>
        <w:t>Финализиране на подзаконовата правна уредба в областта на защитата на личните данни</w:t>
      </w:r>
      <w:r w:rsidR="00BB1511">
        <w:rPr>
          <w:rFonts w:ascii="Times New Roman" w:eastAsia="Times New Roman" w:hAnsi="Times New Roman" w:cs="Times New Roman"/>
          <w:b/>
          <w:sz w:val="24"/>
          <w:szCs w:val="24"/>
        </w:rPr>
        <w:t>.</w:t>
      </w:r>
      <w:r w:rsidRPr="007404FA">
        <w:rPr>
          <w:rFonts w:ascii="Times New Roman" w:eastAsia="Times New Roman" w:hAnsi="Times New Roman" w:cs="Times New Roman"/>
          <w:b/>
          <w:sz w:val="24"/>
          <w:szCs w:val="24"/>
        </w:rPr>
        <w:t xml:space="preserve"> </w:t>
      </w:r>
    </w:p>
    <w:p w:rsidR="00346C00" w:rsidRPr="007404FA" w:rsidRDefault="00346C00" w:rsidP="00540979">
      <w:pPr>
        <w:spacing w:line="400" w:lineRule="exact"/>
        <w:ind w:firstLine="709"/>
        <w:jc w:val="both"/>
        <w:rPr>
          <w:rFonts w:ascii="Times New Roman" w:eastAsia="Times New Roman" w:hAnsi="Times New Roman" w:cs="Times New Roman"/>
          <w:sz w:val="24"/>
          <w:szCs w:val="24"/>
        </w:rPr>
      </w:pPr>
      <w:r w:rsidRPr="007404FA">
        <w:rPr>
          <w:rFonts w:ascii="Times New Roman" w:eastAsia="Times New Roman" w:hAnsi="Times New Roman" w:cs="Times New Roman"/>
          <w:sz w:val="24"/>
          <w:szCs w:val="24"/>
        </w:rPr>
        <w:t>След изразяване на окончателно становище от страна на Европейския комитет по защита на данните (очаквано през първото полугодие на 2023</w:t>
      </w:r>
      <w:r w:rsidR="00F06583" w:rsidRPr="007404FA">
        <w:rPr>
          <w:rFonts w:ascii="Times New Roman" w:eastAsia="Times New Roman" w:hAnsi="Times New Roman" w:cs="Times New Roman"/>
          <w:sz w:val="24"/>
          <w:szCs w:val="24"/>
        </w:rPr>
        <w:t> г.</w:t>
      </w:r>
      <w:r w:rsidRPr="007404FA">
        <w:rPr>
          <w:rFonts w:ascii="Times New Roman" w:eastAsia="Times New Roman" w:hAnsi="Times New Roman" w:cs="Times New Roman"/>
          <w:sz w:val="24"/>
          <w:szCs w:val="24"/>
        </w:rPr>
        <w:t>) по изготвените от Комисията проектоизисквания за акредитация на сертифициращи органи и за акредитация на органи за наблюдение на кодекси за поведение</w:t>
      </w:r>
      <w:r w:rsidR="00157B49">
        <w:rPr>
          <w:rFonts w:ascii="Times New Roman" w:eastAsia="Times New Roman" w:hAnsi="Times New Roman" w:cs="Times New Roman"/>
          <w:sz w:val="24"/>
          <w:szCs w:val="24"/>
        </w:rPr>
        <w:t xml:space="preserve"> </w:t>
      </w:r>
      <w:r w:rsidRPr="007404FA">
        <w:rPr>
          <w:rFonts w:ascii="Times New Roman" w:eastAsia="Times New Roman" w:hAnsi="Times New Roman" w:cs="Times New Roman"/>
          <w:sz w:val="24"/>
          <w:szCs w:val="24"/>
        </w:rPr>
        <w:t>КЗЛД окончателно ще приеме наредбите по</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14,</w:t>
      </w:r>
      <w:r w:rsidR="00F06583" w:rsidRPr="007404FA">
        <w:rPr>
          <w:rFonts w:ascii="Times New Roman" w:eastAsia="Times New Roman" w:hAnsi="Times New Roman" w:cs="Times New Roman"/>
          <w:sz w:val="24"/>
          <w:szCs w:val="24"/>
        </w:rPr>
        <w:t xml:space="preserve"> ал. </w:t>
      </w:r>
      <w:r w:rsidRPr="007404FA">
        <w:rPr>
          <w:rFonts w:ascii="Times New Roman" w:eastAsia="Times New Roman" w:hAnsi="Times New Roman" w:cs="Times New Roman"/>
          <w:sz w:val="24"/>
          <w:szCs w:val="24"/>
        </w:rPr>
        <w:t>5 и</w:t>
      </w:r>
      <w:r w:rsidR="00F06583" w:rsidRPr="007404FA">
        <w:rPr>
          <w:rFonts w:ascii="Times New Roman" w:eastAsia="Times New Roman" w:hAnsi="Times New Roman" w:cs="Times New Roman"/>
          <w:sz w:val="24"/>
          <w:szCs w:val="24"/>
        </w:rPr>
        <w:t xml:space="preserve"> чл. </w:t>
      </w:r>
      <w:r w:rsidRPr="007404FA">
        <w:rPr>
          <w:rFonts w:ascii="Times New Roman" w:eastAsia="Times New Roman" w:hAnsi="Times New Roman" w:cs="Times New Roman"/>
          <w:sz w:val="24"/>
          <w:szCs w:val="24"/>
        </w:rPr>
        <w:t>14а,</w:t>
      </w:r>
      <w:r w:rsidR="00F06583" w:rsidRPr="007404FA">
        <w:rPr>
          <w:rFonts w:ascii="Times New Roman" w:eastAsia="Times New Roman" w:hAnsi="Times New Roman" w:cs="Times New Roman"/>
          <w:sz w:val="24"/>
          <w:szCs w:val="24"/>
        </w:rPr>
        <w:t xml:space="preserve"> ал. </w:t>
      </w:r>
      <w:r w:rsidRPr="007404FA">
        <w:rPr>
          <w:rFonts w:ascii="Times New Roman" w:eastAsia="Times New Roman" w:hAnsi="Times New Roman" w:cs="Times New Roman"/>
          <w:sz w:val="24"/>
          <w:szCs w:val="24"/>
        </w:rPr>
        <w:t xml:space="preserve">3 от Закона за защита на личните данни. С приемането им ще бъде финализирана правната рамка в областта на акредитацията в национален план. </w:t>
      </w:r>
    </w:p>
    <w:p w:rsidR="009B4FAC" w:rsidRPr="007404FA" w:rsidRDefault="009B4FAC" w:rsidP="00540979">
      <w:pPr>
        <w:spacing w:line="400" w:lineRule="exact"/>
        <w:ind w:firstLine="709"/>
        <w:jc w:val="both"/>
        <w:rPr>
          <w:rFonts w:ascii="Times New Roman" w:eastAsia="Times New Roman" w:hAnsi="Times New Roman" w:cs="Times New Roman"/>
          <w:sz w:val="24"/>
          <w:szCs w:val="24"/>
        </w:rPr>
      </w:pPr>
    </w:p>
    <w:p w:rsidR="0074302F" w:rsidRPr="007404FA" w:rsidRDefault="009B4FAC" w:rsidP="00540979">
      <w:pPr>
        <w:spacing w:line="400" w:lineRule="exact"/>
        <w:ind w:firstLine="709"/>
        <w:jc w:val="both"/>
        <w:rPr>
          <w:rFonts w:ascii="Times New Roman" w:eastAsia="Calibri" w:hAnsi="Times New Roman" w:cs="Times New Roman"/>
          <w:b/>
          <w:sz w:val="24"/>
          <w:szCs w:val="24"/>
        </w:rPr>
      </w:pPr>
      <w:r w:rsidRPr="007404FA">
        <w:rPr>
          <w:rFonts w:ascii="Times New Roman" w:eastAsia="Calibri" w:hAnsi="Times New Roman" w:cs="Times New Roman"/>
          <w:b/>
          <w:sz w:val="24"/>
          <w:szCs w:val="24"/>
        </w:rPr>
        <w:t>2</w:t>
      </w:r>
      <w:r w:rsidR="0074302F" w:rsidRPr="007404FA">
        <w:rPr>
          <w:rFonts w:ascii="Times New Roman" w:eastAsia="Calibri" w:hAnsi="Times New Roman" w:cs="Times New Roman"/>
          <w:b/>
          <w:sz w:val="24"/>
          <w:szCs w:val="24"/>
        </w:rPr>
        <w:t xml:space="preserve">. Създаване на необходимите законови предпоставки за започване на прилагането на Закона за </w:t>
      </w:r>
      <w:r w:rsidR="0092350A" w:rsidRPr="007404FA">
        <w:rPr>
          <w:rFonts w:ascii="Times New Roman" w:eastAsia="Calibri" w:hAnsi="Times New Roman" w:cs="Times New Roman"/>
          <w:b/>
          <w:sz w:val="24"/>
          <w:szCs w:val="24"/>
        </w:rPr>
        <w:t xml:space="preserve">защита на </w:t>
      </w:r>
      <w:r w:rsidR="0074302F" w:rsidRPr="007404FA">
        <w:rPr>
          <w:rFonts w:ascii="Times New Roman" w:eastAsia="Calibri" w:hAnsi="Times New Roman" w:cs="Times New Roman"/>
          <w:b/>
          <w:sz w:val="24"/>
          <w:szCs w:val="24"/>
        </w:rPr>
        <w:t>лицата</w:t>
      </w:r>
      <w:r w:rsidR="0092350A" w:rsidRPr="007404FA">
        <w:rPr>
          <w:rFonts w:ascii="Times New Roman" w:eastAsia="Calibri" w:hAnsi="Times New Roman" w:cs="Times New Roman"/>
          <w:b/>
          <w:sz w:val="24"/>
          <w:szCs w:val="24"/>
        </w:rPr>
        <w:t>, подаващи сигнали или публично оповестяващи информация за нарушения</w:t>
      </w:r>
      <w:r w:rsidR="0007473B" w:rsidRPr="007404FA">
        <w:rPr>
          <w:rFonts w:ascii="Times New Roman" w:eastAsia="Calibri" w:hAnsi="Times New Roman" w:cs="Times New Roman"/>
          <w:b/>
          <w:sz w:val="24"/>
          <w:szCs w:val="24"/>
        </w:rPr>
        <w:t xml:space="preserve"> (ЗЗЛПСПОИН)</w:t>
      </w:r>
      <w:r w:rsidR="0092350A" w:rsidRPr="007404FA">
        <w:rPr>
          <w:rFonts w:ascii="Times New Roman" w:eastAsia="Calibri" w:hAnsi="Times New Roman" w:cs="Times New Roman"/>
          <w:b/>
          <w:sz w:val="24"/>
          <w:szCs w:val="24"/>
        </w:rPr>
        <w:t>.</w:t>
      </w:r>
    </w:p>
    <w:p w:rsidR="0075604B" w:rsidRPr="007404FA" w:rsidRDefault="007938A8" w:rsidP="00540979">
      <w:pPr>
        <w:spacing w:line="400" w:lineRule="exact"/>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 xml:space="preserve">В качеството си на Централен орган за външно подаване на сигнали </w:t>
      </w:r>
      <w:r w:rsidR="003D23FD" w:rsidRPr="007404FA">
        <w:rPr>
          <w:rFonts w:ascii="Times New Roman" w:eastAsia="Calibri" w:hAnsi="Times New Roman" w:cs="Times New Roman"/>
          <w:sz w:val="24"/>
          <w:szCs w:val="24"/>
        </w:rPr>
        <w:t>и за защита на лицата, подаващи сигнали или публично оповестяващи информация за нарушения</w:t>
      </w:r>
      <w:r w:rsidR="00D5618E" w:rsidRPr="007404FA">
        <w:rPr>
          <w:rFonts w:ascii="Times New Roman" w:eastAsia="Calibri" w:hAnsi="Times New Roman" w:cs="Times New Roman"/>
          <w:sz w:val="24"/>
          <w:szCs w:val="24"/>
        </w:rPr>
        <w:t xml:space="preserve">, Комисията следва в много кратки срокове да създаде условия за започване на функционирането на националната система от задължени субекти </w:t>
      </w:r>
      <w:r w:rsidR="00353A87" w:rsidRPr="007404FA">
        <w:rPr>
          <w:rFonts w:ascii="Times New Roman" w:eastAsia="Calibri" w:hAnsi="Times New Roman" w:cs="Times New Roman"/>
          <w:sz w:val="24"/>
          <w:szCs w:val="24"/>
        </w:rPr>
        <w:t>в</w:t>
      </w:r>
      <w:r w:rsidR="00D5618E" w:rsidRPr="007404FA">
        <w:rPr>
          <w:rFonts w:ascii="Times New Roman" w:eastAsia="Calibri" w:hAnsi="Times New Roman" w:cs="Times New Roman"/>
          <w:sz w:val="24"/>
          <w:szCs w:val="24"/>
        </w:rPr>
        <w:t xml:space="preserve"> публичния и частния сектор </w:t>
      </w:r>
      <w:r w:rsidR="002C5CFE" w:rsidRPr="007404FA">
        <w:rPr>
          <w:rFonts w:ascii="Times New Roman" w:eastAsia="Calibri" w:hAnsi="Times New Roman" w:cs="Times New Roman"/>
          <w:sz w:val="24"/>
          <w:szCs w:val="24"/>
        </w:rPr>
        <w:t xml:space="preserve">по </w:t>
      </w:r>
      <w:r w:rsidR="009A4476" w:rsidRPr="007404FA">
        <w:rPr>
          <w:rFonts w:ascii="Times New Roman" w:eastAsia="Calibri" w:hAnsi="Times New Roman" w:cs="Times New Roman"/>
          <w:sz w:val="24"/>
          <w:szCs w:val="24"/>
        </w:rPr>
        <w:t>ЗЗЛПСПОИН</w:t>
      </w:r>
      <w:r w:rsidR="002C5CFE" w:rsidRPr="007404FA">
        <w:rPr>
          <w:rFonts w:ascii="Times New Roman" w:eastAsia="Calibri" w:hAnsi="Times New Roman" w:cs="Times New Roman"/>
          <w:sz w:val="24"/>
          <w:szCs w:val="24"/>
        </w:rPr>
        <w:t xml:space="preserve"> </w:t>
      </w:r>
      <w:r w:rsidR="00D5618E" w:rsidRPr="007404FA">
        <w:rPr>
          <w:rFonts w:ascii="Times New Roman" w:eastAsia="Calibri" w:hAnsi="Times New Roman" w:cs="Times New Roman"/>
          <w:sz w:val="24"/>
          <w:szCs w:val="24"/>
        </w:rPr>
        <w:t xml:space="preserve">и </w:t>
      </w:r>
      <w:r w:rsidR="002D2C16" w:rsidRPr="007404FA">
        <w:rPr>
          <w:rFonts w:ascii="Times New Roman" w:eastAsia="Calibri" w:hAnsi="Times New Roman" w:cs="Times New Roman"/>
          <w:sz w:val="24"/>
          <w:szCs w:val="24"/>
        </w:rPr>
        <w:t xml:space="preserve">за </w:t>
      </w:r>
      <w:r w:rsidR="00D5618E" w:rsidRPr="007404FA">
        <w:rPr>
          <w:rFonts w:ascii="Times New Roman" w:eastAsia="Calibri" w:hAnsi="Times New Roman" w:cs="Times New Roman"/>
          <w:sz w:val="24"/>
          <w:szCs w:val="24"/>
        </w:rPr>
        <w:t>гарантиране</w:t>
      </w:r>
      <w:r w:rsidR="00BB1511">
        <w:rPr>
          <w:rFonts w:ascii="Times New Roman" w:eastAsia="Calibri" w:hAnsi="Times New Roman" w:cs="Times New Roman"/>
          <w:sz w:val="24"/>
          <w:szCs w:val="24"/>
        </w:rPr>
        <w:t xml:space="preserve"> на правата на физическите лица </w:t>
      </w:r>
      <w:r w:rsidR="00D5618E" w:rsidRPr="007404FA">
        <w:rPr>
          <w:rFonts w:ascii="Times New Roman" w:eastAsia="Calibri" w:hAnsi="Times New Roman" w:cs="Times New Roman"/>
          <w:sz w:val="24"/>
          <w:szCs w:val="24"/>
        </w:rPr>
        <w:t xml:space="preserve">сигналоподатели. </w:t>
      </w:r>
      <w:r w:rsidR="002D2C16" w:rsidRPr="007404FA">
        <w:rPr>
          <w:rFonts w:ascii="Times New Roman" w:eastAsia="Calibri" w:hAnsi="Times New Roman" w:cs="Times New Roman"/>
          <w:sz w:val="24"/>
          <w:szCs w:val="24"/>
        </w:rPr>
        <w:t xml:space="preserve">Комисията трябва да приведе организационната си структура и административните си звена в съответствие с новите завишени отговорности, вкл. </w:t>
      </w:r>
      <w:r w:rsidR="003C3BEA" w:rsidRPr="007404FA">
        <w:rPr>
          <w:rFonts w:ascii="Times New Roman" w:eastAsia="Calibri" w:hAnsi="Times New Roman" w:cs="Times New Roman"/>
          <w:sz w:val="24"/>
          <w:szCs w:val="24"/>
        </w:rPr>
        <w:t>като изгради самостоятелно структурно звено</w:t>
      </w:r>
      <w:r w:rsidR="00E06D6E">
        <w:rPr>
          <w:rFonts w:ascii="Times New Roman" w:eastAsia="Calibri" w:hAnsi="Times New Roman" w:cs="Times New Roman"/>
          <w:sz w:val="24"/>
          <w:szCs w:val="24"/>
        </w:rPr>
        <w:t xml:space="preserve"> – </w:t>
      </w:r>
      <w:r w:rsidR="003C3BEA" w:rsidRPr="007404FA">
        <w:rPr>
          <w:rFonts w:ascii="Times New Roman" w:eastAsia="Calibri" w:hAnsi="Times New Roman" w:cs="Times New Roman"/>
          <w:sz w:val="24"/>
          <w:szCs w:val="24"/>
        </w:rPr>
        <w:t>канал за външно подаване на сигнали</w:t>
      </w:r>
      <w:r w:rsidR="00593863" w:rsidRPr="007404FA">
        <w:rPr>
          <w:rFonts w:ascii="Times New Roman" w:eastAsia="Calibri" w:hAnsi="Times New Roman" w:cs="Times New Roman"/>
          <w:sz w:val="24"/>
          <w:szCs w:val="24"/>
        </w:rPr>
        <w:t xml:space="preserve">, и </w:t>
      </w:r>
      <w:r w:rsidR="002D2C16" w:rsidRPr="007404FA">
        <w:rPr>
          <w:rFonts w:ascii="Times New Roman" w:eastAsia="Calibri" w:hAnsi="Times New Roman" w:cs="Times New Roman"/>
          <w:sz w:val="24"/>
          <w:szCs w:val="24"/>
        </w:rPr>
        <w:t>увеличи щатната численост на персонала си.</w:t>
      </w:r>
      <w:r w:rsidR="00BB1511">
        <w:rPr>
          <w:rFonts w:ascii="Times New Roman" w:eastAsia="Calibri" w:hAnsi="Times New Roman" w:cs="Times New Roman"/>
          <w:sz w:val="24"/>
          <w:szCs w:val="24"/>
        </w:rPr>
        <w:t xml:space="preserve"> Отделно от това</w:t>
      </w:r>
      <w:r w:rsidR="0075604B" w:rsidRPr="007404FA">
        <w:rPr>
          <w:rFonts w:ascii="Times New Roman" w:eastAsia="Calibri" w:hAnsi="Times New Roman" w:cs="Times New Roman"/>
          <w:sz w:val="24"/>
          <w:szCs w:val="24"/>
        </w:rPr>
        <w:t xml:space="preserve"> в качеството си и на задължен субект</w:t>
      </w:r>
      <w:r w:rsidR="00DD7E01" w:rsidRPr="007404FA">
        <w:rPr>
          <w:rFonts w:ascii="Times New Roman" w:eastAsia="Calibri" w:hAnsi="Times New Roman" w:cs="Times New Roman"/>
          <w:sz w:val="24"/>
          <w:szCs w:val="24"/>
        </w:rPr>
        <w:t xml:space="preserve"> по закона</w:t>
      </w:r>
      <w:r w:rsidR="0075604B" w:rsidRPr="007404FA">
        <w:rPr>
          <w:rFonts w:ascii="Times New Roman" w:eastAsia="Calibri" w:hAnsi="Times New Roman" w:cs="Times New Roman"/>
          <w:sz w:val="24"/>
          <w:szCs w:val="24"/>
        </w:rPr>
        <w:t xml:space="preserve"> КЗЛД </w:t>
      </w:r>
      <w:r w:rsidR="004B6CF4" w:rsidRPr="007404FA">
        <w:rPr>
          <w:rFonts w:ascii="Times New Roman" w:eastAsia="Calibri" w:hAnsi="Times New Roman" w:cs="Times New Roman"/>
          <w:sz w:val="24"/>
          <w:szCs w:val="24"/>
        </w:rPr>
        <w:t>следва</w:t>
      </w:r>
      <w:r w:rsidR="0075604B" w:rsidRPr="007404FA">
        <w:rPr>
          <w:rFonts w:ascii="Times New Roman" w:eastAsia="Calibri" w:hAnsi="Times New Roman" w:cs="Times New Roman"/>
          <w:sz w:val="24"/>
          <w:szCs w:val="24"/>
        </w:rPr>
        <w:t xml:space="preserve"> да осигури условия и за </w:t>
      </w:r>
      <w:r w:rsidR="0030618C" w:rsidRPr="007404FA">
        <w:rPr>
          <w:rFonts w:ascii="Times New Roman" w:eastAsia="Calibri" w:hAnsi="Times New Roman" w:cs="Times New Roman"/>
          <w:sz w:val="24"/>
          <w:szCs w:val="24"/>
        </w:rPr>
        <w:t xml:space="preserve">т.нар. </w:t>
      </w:r>
      <w:r w:rsidR="0075604B" w:rsidRPr="007404FA">
        <w:rPr>
          <w:rFonts w:ascii="Times New Roman" w:eastAsia="Calibri" w:hAnsi="Times New Roman" w:cs="Times New Roman"/>
          <w:sz w:val="24"/>
          <w:szCs w:val="24"/>
        </w:rPr>
        <w:t>вътрешно подаване на сигнали</w:t>
      </w:r>
      <w:r w:rsidR="002D49B7" w:rsidRPr="007404FA">
        <w:rPr>
          <w:rFonts w:ascii="Times New Roman" w:eastAsia="Calibri" w:hAnsi="Times New Roman" w:cs="Times New Roman"/>
          <w:sz w:val="24"/>
          <w:szCs w:val="24"/>
        </w:rPr>
        <w:t xml:space="preserve">, в т.ч. изграждане на вътрешна структура или определяне на служители за </w:t>
      </w:r>
      <w:r w:rsidR="0009127D" w:rsidRPr="007404FA">
        <w:rPr>
          <w:rFonts w:ascii="Times New Roman" w:eastAsia="Calibri" w:hAnsi="Times New Roman" w:cs="Times New Roman"/>
          <w:sz w:val="24"/>
          <w:szCs w:val="24"/>
        </w:rPr>
        <w:t>реализация</w:t>
      </w:r>
      <w:r w:rsidR="002D49B7" w:rsidRPr="007404FA">
        <w:rPr>
          <w:rFonts w:ascii="Times New Roman" w:eastAsia="Calibri" w:hAnsi="Times New Roman" w:cs="Times New Roman"/>
          <w:sz w:val="24"/>
          <w:szCs w:val="24"/>
        </w:rPr>
        <w:t xml:space="preserve"> и на тези функции.</w:t>
      </w:r>
      <w:r w:rsidR="00157B49">
        <w:rPr>
          <w:rFonts w:ascii="Times New Roman" w:eastAsia="Calibri" w:hAnsi="Times New Roman" w:cs="Times New Roman"/>
          <w:sz w:val="24"/>
          <w:szCs w:val="24"/>
        </w:rPr>
        <w:t xml:space="preserve"> </w:t>
      </w:r>
    </w:p>
    <w:p w:rsidR="0092350A" w:rsidRPr="007404FA" w:rsidRDefault="00061EF5" w:rsidP="00540979">
      <w:pPr>
        <w:spacing w:line="400" w:lineRule="exact"/>
        <w:ind w:firstLine="709"/>
        <w:jc w:val="both"/>
        <w:rPr>
          <w:rFonts w:ascii="Times New Roman" w:eastAsia="Calibri" w:hAnsi="Times New Roman" w:cs="Times New Roman"/>
          <w:sz w:val="24"/>
          <w:szCs w:val="24"/>
        </w:rPr>
      </w:pPr>
      <w:r w:rsidRPr="007404FA">
        <w:rPr>
          <w:rFonts w:ascii="Times New Roman" w:eastAsia="Calibri" w:hAnsi="Times New Roman" w:cs="Times New Roman"/>
          <w:sz w:val="24"/>
          <w:szCs w:val="24"/>
        </w:rPr>
        <w:t>За изпълнение на горепосочените законови изисквания</w:t>
      </w:r>
      <w:r w:rsidR="00593863" w:rsidRPr="007404FA">
        <w:rPr>
          <w:rFonts w:ascii="Times New Roman" w:eastAsia="Calibri" w:hAnsi="Times New Roman" w:cs="Times New Roman"/>
          <w:sz w:val="24"/>
          <w:szCs w:val="24"/>
        </w:rPr>
        <w:t xml:space="preserve"> </w:t>
      </w:r>
      <w:r w:rsidRPr="007404FA">
        <w:rPr>
          <w:rFonts w:ascii="Times New Roman" w:eastAsia="Calibri" w:hAnsi="Times New Roman" w:cs="Times New Roman"/>
          <w:sz w:val="24"/>
          <w:szCs w:val="24"/>
        </w:rPr>
        <w:t>е необходимо</w:t>
      </w:r>
      <w:r w:rsidR="00593863" w:rsidRPr="007404FA">
        <w:rPr>
          <w:rFonts w:ascii="Times New Roman" w:eastAsia="Calibri" w:hAnsi="Times New Roman" w:cs="Times New Roman"/>
          <w:sz w:val="24"/>
          <w:szCs w:val="24"/>
        </w:rPr>
        <w:t xml:space="preserve"> предпр</w:t>
      </w:r>
      <w:r w:rsidR="00FB2CE1" w:rsidRPr="007404FA">
        <w:rPr>
          <w:rFonts w:ascii="Times New Roman" w:eastAsia="Calibri" w:hAnsi="Times New Roman" w:cs="Times New Roman"/>
          <w:sz w:val="24"/>
          <w:szCs w:val="24"/>
        </w:rPr>
        <w:t>иемане на изменения и допълнения</w:t>
      </w:r>
      <w:r w:rsidR="00593863" w:rsidRPr="007404FA">
        <w:rPr>
          <w:rFonts w:ascii="Times New Roman" w:eastAsia="Calibri" w:hAnsi="Times New Roman" w:cs="Times New Roman"/>
          <w:sz w:val="24"/>
          <w:szCs w:val="24"/>
        </w:rPr>
        <w:t xml:space="preserve"> в </w:t>
      </w:r>
      <w:r w:rsidR="000B3A78" w:rsidRPr="007404FA">
        <w:rPr>
          <w:rFonts w:ascii="Times New Roman" w:eastAsia="Calibri" w:hAnsi="Times New Roman" w:cs="Times New Roman"/>
          <w:sz w:val="24"/>
          <w:szCs w:val="24"/>
        </w:rPr>
        <w:t>ПДКЗЛДНА</w:t>
      </w:r>
      <w:r w:rsidR="002D49B7" w:rsidRPr="007404FA">
        <w:rPr>
          <w:rFonts w:ascii="Times New Roman" w:eastAsia="Calibri" w:hAnsi="Times New Roman" w:cs="Times New Roman"/>
          <w:sz w:val="24"/>
          <w:szCs w:val="24"/>
        </w:rPr>
        <w:t>, които да отразя</w:t>
      </w:r>
      <w:r w:rsidR="00591CB8" w:rsidRPr="007404FA">
        <w:rPr>
          <w:rFonts w:ascii="Times New Roman" w:eastAsia="Calibri" w:hAnsi="Times New Roman" w:cs="Times New Roman"/>
          <w:sz w:val="24"/>
          <w:szCs w:val="24"/>
        </w:rPr>
        <w:t>ва</w:t>
      </w:r>
      <w:r w:rsidR="002D49B7" w:rsidRPr="007404FA">
        <w:rPr>
          <w:rFonts w:ascii="Times New Roman" w:eastAsia="Calibri" w:hAnsi="Times New Roman" w:cs="Times New Roman"/>
          <w:sz w:val="24"/>
          <w:szCs w:val="24"/>
        </w:rPr>
        <w:t xml:space="preserve">т </w:t>
      </w:r>
      <w:r w:rsidR="00591CB8" w:rsidRPr="007404FA">
        <w:rPr>
          <w:rFonts w:ascii="Times New Roman" w:eastAsia="Calibri" w:hAnsi="Times New Roman" w:cs="Times New Roman"/>
          <w:sz w:val="24"/>
          <w:szCs w:val="24"/>
        </w:rPr>
        <w:t xml:space="preserve">необходимите </w:t>
      </w:r>
      <w:r w:rsidR="002D49B7" w:rsidRPr="007404FA">
        <w:rPr>
          <w:rFonts w:ascii="Times New Roman" w:eastAsia="Calibri" w:hAnsi="Times New Roman" w:cs="Times New Roman"/>
          <w:sz w:val="24"/>
          <w:szCs w:val="24"/>
        </w:rPr>
        <w:t>промени в организационната структура на Комисията</w:t>
      </w:r>
      <w:r w:rsidR="00FB2CE1" w:rsidRPr="007404FA">
        <w:rPr>
          <w:rFonts w:ascii="Times New Roman" w:eastAsia="Calibri" w:hAnsi="Times New Roman" w:cs="Times New Roman"/>
          <w:sz w:val="24"/>
          <w:szCs w:val="24"/>
        </w:rPr>
        <w:t xml:space="preserve">. </w:t>
      </w:r>
      <w:r w:rsidR="00BF2A30" w:rsidRPr="007404FA">
        <w:rPr>
          <w:rFonts w:ascii="Times New Roman" w:eastAsia="Calibri" w:hAnsi="Times New Roman" w:cs="Times New Roman"/>
          <w:sz w:val="24"/>
          <w:szCs w:val="24"/>
        </w:rPr>
        <w:t>След обнародване</w:t>
      </w:r>
      <w:r w:rsidR="00FB2CE1" w:rsidRPr="007404FA">
        <w:rPr>
          <w:rFonts w:ascii="Times New Roman" w:eastAsia="Calibri" w:hAnsi="Times New Roman" w:cs="Times New Roman"/>
          <w:sz w:val="24"/>
          <w:szCs w:val="24"/>
        </w:rPr>
        <w:t>то на</w:t>
      </w:r>
      <w:r w:rsidR="00BF2A30" w:rsidRPr="007404FA">
        <w:rPr>
          <w:rFonts w:ascii="Times New Roman" w:eastAsia="Calibri" w:hAnsi="Times New Roman" w:cs="Times New Roman"/>
          <w:sz w:val="24"/>
          <w:szCs w:val="24"/>
        </w:rPr>
        <w:t xml:space="preserve"> </w:t>
      </w:r>
      <w:r w:rsidR="00591CB8" w:rsidRPr="007404FA">
        <w:rPr>
          <w:rFonts w:ascii="Times New Roman" w:eastAsia="Calibri" w:hAnsi="Times New Roman" w:cs="Times New Roman"/>
          <w:sz w:val="24"/>
          <w:szCs w:val="24"/>
        </w:rPr>
        <w:t>актуализирания Правилник</w:t>
      </w:r>
      <w:r w:rsidR="00BF2A30" w:rsidRPr="007404FA">
        <w:rPr>
          <w:rFonts w:ascii="Times New Roman" w:eastAsia="Calibri" w:hAnsi="Times New Roman" w:cs="Times New Roman"/>
          <w:sz w:val="24"/>
          <w:szCs w:val="24"/>
        </w:rPr>
        <w:t xml:space="preserve"> и осигуряване на </w:t>
      </w:r>
      <w:r w:rsidR="00591CB8" w:rsidRPr="007404FA">
        <w:rPr>
          <w:rFonts w:ascii="Times New Roman" w:eastAsia="Calibri" w:hAnsi="Times New Roman" w:cs="Times New Roman"/>
          <w:sz w:val="24"/>
          <w:szCs w:val="24"/>
        </w:rPr>
        <w:t xml:space="preserve">реално действащ </w:t>
      </w:r>
      <w:r w:rsidR="00BF2A30" w:rsidRPr="007404FA">
        <w:rPr>
          <w:rFonts w:ascii="Times New Roman" w:eastAsia="Calibri" w:hAnsi="Times New Roman" w:cs="Times New Roman"/>
          <w:sz w:val="24"/>
          <w:szCs w:val="24"/>
        </w:rPr>
        <w:t>канал за външно подаване на сигнали</w:t>
      </w:r>
      <w:r w:rsidR="00591CB8" w:rsidRPr="007404FA">
        <w:rPr>
          <w:rFonts w:ascii="Times New Roman" w:eastAsia="Calibri" w:hAnsi="Times New Roman" w:cs="Times New Roman"/>
          <w:sz w:val="24"/>
          <w:szCs w:val="24"/>
        </w:rPr>
        <w:t xml:space="preserve"> </w:t>
      </w:r>
      <w:r w:rsidR="00BF2A30" w:rsidRPr="007404FA">
        <w:rPr>
          <w:rFonts w:ascii="Times New Roman" w:eastAsia="Calibri" w:hAnsi="Times New Roman" w:cs="Times New Roman"/>
          <w:sz w:val="24"/>
          <w:szCs w:val="24"/>
        </w:rPr>
        <w:t>Комисията</w:t>
      </w:r>
      <w:r w:rsidR="00E075E1" w:rsidRPr="007404FA">
        <w:rPr>
          <w:rFonts w:ascii="Times New Roman" w:eastAsia="Calibri" w:hAnsi="Times New Roman" w:cs="Times New Roman"/>
          <w:sz w:val="24"/>
          <w:szCs w:val="24"/>
        </w:rPr>
        <w:t xml:space="preserve"> </w:t>
      </w:r>
      <w:r w:rsidR="00FB2CE1" w:rsidRPr="007404FA">
        <w:rPr>
          <w:rFonts w:ascii="Times New Roman" w:eastAsia="Calibri" w:hAnsi="Times New Roman" w:cs="Times New Roman"/>
          <w:sz w:val="24"/>
          <w:szCs w:val="24"/>
        </w:rPr>
        <w:t>трябва</w:t>
      </w:r>
      <w:r w:rsidR="00BF2A30" w:rsidRPr="007404FA">
        <w:rPr>
          <w:rFonts w:ascii="Times New Roman" w:eastAsia="Calibri" w:hAnsi="Times New Roman" w:cs="Times New Roman"/>
          <w:sz w:val="24"/>
          <w:szCs w:val="24"/>
        </w:rPr>
        <w:t xml:space="preserve"> </w:t>
      </w:r>
      <w:r w:rsidR="00E075E1" w:rsidRPr="007404FA">
        <w:rPr>
          <w:rFonts w:ascii="Times New Roman" w:eastAsia="Calibri" w:hAnsi="Times New Roman" w:cs="Times New Roman"/>
          <w:sz w:val="24"/>
          <w:szCs w:val="24"/>
        </w:rPr>
        <w:t xml:space="preserve">също така </w:t>
      </w:r>
      <w:r w:rsidR="00BF2A30" w:rsidRPr="007404FA">
        <w:rPr>
          <w:rFonts w:ascii="Times New Roman" w:eastAsia="Calibri" w:hAnsi="Times New Roman" w:cs="Times New Roman"/>
          <w:sz w:val="24"/>
          <w:szCs w:val="24"/>
        </w:rPr>
        <w:t xml:space="preserve">да </w:t>
      </w:r>
      <w:r w:rsidR="00E075E1" w:rsidRPr="007404FA">
        <w:rPr>
          <w:rFonts w:ascii="Times New Roman" w:eastAsia="Calibri" w:hAnsi="Times New Roman" w:cs="Times New Roman"/>
          <w:sz w:val="24"/>
          <w:szCs w:val="24"/>
        </w:rPr>
        <w:t xml:space="preserve">разработи и </w:t>
      </w:r>
      <w:r w:rsidR="00BF2A30" w:rsidRPr="007404FA">
        <w:rPr>
          <w:rFonts w:ascii="Times New Roman" w:eastAsia="Calibri" w:hAnsi="Times New Roman" w:cs="Times New Roman"/>
          <w:sz w:val="24"/>
          <w:szCs w:val="24"/>
        </w:rPr>
        <w:t xml:space="preserve">приеме </w:t>
      </w:r>
      <w:r w:rsidR="00353A87" w:rsidRPr="007404FA">
        <w:rPr>
          <w:rFonts w:ascii="Times New Roman" w:eastAsia="Calibri" w:hAnsi="Times New Roman" w:cs="Times New Roman"/>
          <w:sz w:val="24"/>
          <w:szCs w:val="24"/>
        </w:rPr>
        <w:t>необходимата</w:t>
      </w:r>
      <w:r w:rsidR="00591CB8" w:rsidRPr="007404FA">
        <w:rPr>
          <w:rFonts w:ascii="Times New Roman" w:eastAsia="Calibri" w:hAnsi="Times New Roman" w:cs="Times New Roman"/>
          <w:sz w:val="24"/>
          <w:szCs w:val="24"/>
        </w:rPr>
        <w:t xml:space="preserve"> подзаконова уредба, произтичаща от новия закон</w:t>
      </w:r>
      <w:r w:rsidR="00BB1511">
        <w:rPr>
          <w:rFonts w:ascii="Times New Roman" w:eastAsia="Calibri" w:hAnsi="Times New Roman" w:cs="Times New Roman"/>
          <w:sz w:val="24"/>
          <w:szCs w:val="24"/>
        </w:rPr>
        <w:t>,</w:t>
      </w:r>
      <w:r w:rsidR="00591CB8" w:rsidRPr="007404FA">
        <w:rPr>
          <w:rFonts w:ascii="Times New Roman" w:eastAsia="Calibri" w:hAnsi="Times New Roman" w:cs="Times New Roman"/>
          <w:sz w:val="24"/>
          <w:szCs w:val="24"/>
        </w:rPr>
        <w:t xml:space="preserve"> </w:t>
      </w:r>
      <w:r w:rsidR="00BF2A30" w:rsidRPr="007404FA">
        <w:rPr>
          <w:rFonts w:ascii="Times New Roman" w:eastAsia="Calibri" w:hAnsi="Times New Roman" w:cs="Times New Roman"/>
          <w:sz w:val="24"/>
          <w:szCs w:val="24"/>
        </w:rPr>
        <w:t xml:space="preserve">и да подготви методически указания </w:t>
      </w:r>
      <w:r w:rsidR="00FB2CE1" w:rsidRPr="007404FA">
        <w:rPr>
          <w:rFonts w:ascii="Times New Roman" w:eastAsia="Calibri" w:hAnsi="Times New Roman" w:cs="Times New Roman"/>
          <w:sz w:val="24"/>
          <w:szCs w:val="24"/>
        </w:rPr>
        <w:t>до всички</w:t>
      </w:r>
      <w:r w:rsidR="00BF2A30" w:rsidRPr="007404FA">
        <w:rPr>
          <w:rFonts w:ascii="Times New Roman" w:eastAsia="Calibri" w:hAnsi="Times New Roman" w:cs="Times New Roman"/>
          <w:sz w:val="24"/>
          <w:szCs w:val="24"/>
        </w:rPr>
        <w:t xml:space="preserve"> задължени субекти. </w:t>
      </w:r>
    </w:p>
    <w:p w:rsidR="0007473B" w:rsidRDefault="0007473B" w:rsidP="00540979">
      <w:pPr>
        <w:spacing w:line="400" w:lineRule="exact"/>
        <w:ind w:firstLine="709"/>
        <w:jc w:val="both"/>
        <w:rPr>
          <w:rFonts w:ascii="Times New Roman" w:eastAsia="Calibri" w:hAnsi="Times New Roman" w:cs="Times New Roman"/>
          <w:sz w:val="24"/>
          <w:szCs w:val="24"/>
        </w:rPr>
      </w:pPr>
    </w:p>
    <w:p w:rsidR="009F5EA1" w:rsidRPr="007404FA" w:rsidRDefault="009F5EA1" w:rsidP="00540979">
      <w:pPr>
        <w:spacing w:line="400" w:lineRule="exact"/>
        <w:ind w:firstLine="709"/>
        <w:jc w:val="both"/>
        <w:rPr>
          <w:rFonts w:ascii="Times New Roman" w:hAnsi="Times New Roman" w:cs="Times New Roman"/>
          <w:b/>
          <w:bCs/>
          <w:sz w:val="24"/>
          <w:szCs w:val="24"/>
        </w:rPr>
      </w:pPr>
      <w:r w:rsidRPr="007404FA">
        <w:rPr>
          <w:rFonts w:ascii="Times New Roman" w:hAnsi="Times New Roman" w:cs="Times New Roman"/>
          <w:b/>
          <w:sz w:val="24"/>
          <w:szCs w:val="24"/>
        </w:rPr>
        <w:t xml:space="preserve">3. </w:t>
      </w:r>
      <w:r w:rsidRPr="007404FA">
        <w:rPr>
          <w:rFonts w:ascii="Times New Roman" w:hAnsi="Times New Roman" w:cs="Times New Roman"/>
          <w:b/>
          <w:bCs/>
          <w:sz w:val="24"/>
          <w:szCs w:val="24"/>
        </w:rPr>
        <w:t>Продължаване на усилията на КЗЛД за пълноправно членство в Шенген.</w:t>
      </w:r>
    </w:p>
    <w:p w:rsidR="009F5EA1" w:rsidRPr="007404FA" w:rsidRDefault="009F5EA1" w:rsidP="00540979">
      <w:pPr>
        <w:tabs>
          <w:tab w:val="left" w:pos="993"/>
        </w:tabs>
        <w:spacing w:line="400" w:lineRule="exact"/>
        <w:ind w:firstLine="709"/>
        <w:jc w:val="both"/>
        <w:rPr>
          <w:rFonts w:ascii="Times New Roman" w:hAnsi="Times New Roman" w:cs="Times New Roman"/>
          <w:bCs/>
          <w:sz w:val="24"/>
          <w:szCs w:val="24"/>
        </w:rPr>
      </w:pPr>
      <w:r w:rsidRPr="007404FA">
        <w:rPr>
          <w:rFonts w:ascii="Times New Roman" w:hAnsi="Times New Roman" w:cs="Times New Roman"/>
          <w:bCs/>
          <w:sz w:val="24"/>
          <w:szCs w:val="24"/>
        </w:rPr>
        <w:t xml:space="preserve">Пълноправното членство на Република България в Шенген е постоянен приоритет на институцията. Задачите за постигането му са разпределени функционално във всички </w:t>
      </w:r>
      <w:r w:rsidRPr="007404FA">
        <w:rPr>
          <w:rFonts w:ascii="Times New Roman" w:hAnsi="Times New Roman" w:cs="Times New Roman"/>
          <w:bCs/>
          <w:sz w:val="24"/>
          <w:szCs w:val="24"/>
        </w:rPr>
        <w:lastRenderedPageBreak/>
        <w:t xml:space="preserve">звена на специализираната администрация на КЗЛД, като вътрешните административни процеси се оптимизират непрекъснато. Във фокуса на институцията през следващия отчетен период остава </w:t>
      </w:r>
      <w:r w:rsidR="00EE18E7" w:rsidRPr="007404FA">
        <w:rPr>
          <w:rFonts w:ascii="Times New Roman" w:hAnsi="Times New Roman" w:cs="Times New Roman"/>
          <w:bCs/>
          <w:sz w:val="24"/>
          <w:szCs w:val="24"/>
        </w:rPr>
        <w:t>извършването</w:t>
      </w:r>
      <w:r w:rsidR="003E4D62" w:rsidRPr="007404FA">
        <w:rPr>
          <w:rFonts w:ascii="Times New Roman" w:hAnsi="Times New Roman" w:cs="Times New Roman"/>
          <w:bCs/>
          <w:sz w:val="24"/>
          <w:szCs w:val="24"/>
        </w:rPr>
        <w:t xml:space="preserve"> на одит</w:t>
      </w:r>
      <w:r w:rsidR="00EE18E7" w:rsidRPr="007404FA">
        <w:rPr>
          <w:rFonts w:ascii="Times New Roman" w:hAnsi="Times New Roman" w:cs="Times New Roman"/>
          <w:bCs/>
          <w:sz w:val="24"/>
          <w:szCs w:val="24"/>
        </w:rPr>
        <w:t xml:space="preserve"> на Националната част от Шенгенската информационна система, както и </w:t>
      </w:r>
      <w:r w:rsidR="003E4D62" w:rsidRPr="007404FA">
        <w:rPr>
          <w:rFonts w:ascii="Times New Roman" w:hAnsi="Times New Roman" w:cs="Times New Roman"/>
          <w:bCs/>
          <w:sz w:val="24"/>
          <w:szCs w:val="24"/>
        </w:rPr>
        <w:t xml:space="preserve">на </w:t>
      </w:r>
      <w:r w:rsidR="00EE18E7" w:rsidRPr="007404FA">
        <w:rPr>
          <w:rFonts w:ascii="Times New Roman" w:hAnsi="Times New Roman" w:cs="Times New Roman"/>
          <w:bCs/>
          <w:sz w:val="24"/>
          <w:szCs w:val="24"/>
        </w:rPr>
        <w:t xml:space="preserve">проверки на дипломатически представителства на Република България, които КЗЛД е задължена да извършва на всеки четири години по линия на достиженията на правото от Шенген. </w:t>
      </w:r>
      <w:r w:rsidR="00C67B38" w:rsidRPr="007404FA">
        <w:rPr>
          <w:rFonts w:ascii="Times New Roman" w:hAnsi="Times New Roman" w:cs="Times New Roman"/>
          <w:bCs/>
          <w:sz w:val="24"/>
          <w:szCs w:val="24"/>
        </w:rPr>
        <w:t>М</w:t>
      </w:r>
      <w:r w:rsidRPr="007404FA">
        <w:rPr>
          <w:rFonts w:ascii="Times New Roman" w:hAnsi="Times New Roman" w:cs="Times New Roman"/>
          <w:bCs/>
          <w:sz w:val="24"/>
          <w:szCs w:val="24"/>
        </w:rPr>
        <w:t>ногократно увеличения</w:t>
      </w:r>
      <w:r w:rsidR="00BB1511">
        <w:rPr>
          <w:rFonts w:ascii="Times New Roman" w:hAnsi="Times New Roman" w:cs="Times New Roman"/>
          <w:bCs/>
          <w:sz w:val="24"/>
          <w:szCs w:val="24"/>
        </w:rPr>
        <w:t>т</w:t>
      </w:r>
      <w:r w:rsidRPr="007404FA">
        <w:rPr>
          <w:rFonts w:ascii="Times New Roman" w:hAnsi="Times New Roman" w:cs="Times New Roman"/>
          <w:bCs/>
          <w:sz w:val="24"/>
          <w:szCs w:val="24"/>
        </w:rPr>
        <w:t xml:space="preserve"> в началото на 2023</w:t>
      </w:r>
      <w:r w:rsidR="00F06583" w:rsidRPr="007404FA">
        <w:rPr>
          <w:rFonts w:ascii="Times New Roman" w:hAnsi="Times New Roman" w:cs="Times New Roman"/>
          <w:bCs/>
          <w:sz w:val="24"/>
          <w:szCs w:val="24"/>
        </w:rPr>
        <w:t> г.</w:t>
      </w:r>
      <w:r w:rsidRPr="007404FA">
        <w:rPr>
          <w:rFonts w:ascii="Times New Roman" w:hAnsi="Times New Roman" w:cs="Times New Roman"/>
          <w:bCs/>
          <w:sz w:val="24"/>
          <w:szCs w:val="24"/>
        </w:rPr>
        <w:t xml:space="preserve"> брой на искания за упражняване на правата на физическите лица от трети държави, както и </w:t>
      </w:r>
      <w:r w:rsidR="00C67B38" w:rsidRPr="007404FA">
        <w:rPr>
          <w:rFonts w:ascii="Times New Roman" w:hAnsi="Times New Roman" w:cs="Times New Roman"/>
          <w:bCs/>
          <w:sz w:val="24"/>
          <w:szCs w:val="24"/>
        </w:rPr>
        <w:t xml:space="preserve">постоянното </w:t>
      </w:r>
      <w:r w:rsidRPr="007404FA">
        <w:rPr>
          <w:rFonts w:ascii="Times New Roman" w:hAnsi="Times New Roman" w:cs="Times New Roman"/>
          <w:bCs/>
          <w:sz w:val="24"/>
          <w:szCs w:val="24"/>
        </w:rPr>
        <w:t>осъществяване на превантивна и надзорна дейност</w:t>
      </w:r>
      <w:r w:rsidR="00C67B38" w:rsidRPr="007404FA">
        <w:rPr>
          <w:rFonts w:ascii="Times New Roman" w:hAnsi="Times New Roman" w:cs="Times New Roman"/>
          <w:bCs/>
          <w:sz w:val="24"/>
          <w:szCs w:val="24"/>
        </w:rPr>
        <w:t xml:space="preserve"> също остават приоритетни за отчетния период</w:t>
      </w:r>
      <w:r w:rsidRPr="007404FA">
        <w:rPr>
          <w:rFonts w:ascii="Times New Roman" w:hAnsi="Times New Roman" w:cs="Times New Roman"/>
          <w:bCs/>
          <w:sz w:val="24"/>
          <w:szCs w:val="24"/>
        </w:rPr>
        <w:t>. По линия на превенцията активно ще се участва в разпространението на информационно-разяснителни материали относно започване функционирането на Шенгенската информационна система от трето поколение. В допълнение предстои завършването на изцяло дигитален встъпителен образователен курс за служители на компетентните ведомства с достъп до системата. КЗЛД ще продължи устойчивото участие на нейни представители в мисии за оценки на шенгенското законодателство в областта на защитата на личните данни.</w:t>
      </w:r>
    </w:p>
    <w:p w:rsidR="006059A7" w:rsidRPr="007404FA" w:rsidRDefault="006059A7" w:rsidP="00540979">
      <w:pPr>
        <w:tabs>
          <w:tab w:val="left" w:pos="993"/>
        </w:tabs>
        <w:spacing w:line="400" w:lineRule="exact"/>
        <w:ind w:firstLine="709"/>
        <w:jc w:val="both"/>
        <w:rPr>
          <w:rFonts w:ascii="Times New Roman" w:hAnsi="Times New Roman" w:cs="Times New Roman"/>
          <w:bCs/>
          <w:sz w:val="24"/>
          <w:szCs w:val="24"/>
        </w:rPr>
      </w:pPr>
    </w:p>
    <w:p w:rsidR="006059A7" w:rsidRPr="007404FA" w:rsidRDefault="00982732" w:rsidP="00540979">
      <w:pPr>
        <w:tabs>
          <w:tab w:val="left" w:pos="993"/>
        </w:tabs>
        <w:spacing w:line="400" w:lineRule="exact"/>
        <w:ind w:firstLine="709"/>
        <w:jc w:val="both"/>
        <w:rPr>
          <w:rFonts w:ascii="Times New Roman" w:hAnsi="Times New Roman" w:cs="Times New Roman"/>
          <w:b/>
          <w:bCs/>
          <w:sz w:val="24"/>
          <w:szCs w:val="24"/>
        </w:rPr>
      </w:pPr>
      <w:r w:rsidRPr="007404FA">
        <w:rPr>
          <w:rFonts w:ascii="Times New Roman" w:hAnsi="Times New Roman" w:cs="Times New Roman"/>
          <w:b/>
          <w:bCs/>
          <w:sz w:val="24"/>
          <w:szCs w:val="24"/>
        </w:rPr>
        <w:t xml:space="preserve">4. </w:t>
      </w:r>
      <w:r w:rsidR="006059A7" w:rsidRPr="007404FA">
        <w:rPr>
          <w:rFonts w:ascii="Times New Roman" w:hAnsi="Times New Roman" w:cs="Times New Roman"/>
          <w:b/>
          <w:bCs/>
          <w:sz w:val="24"/>
          <w:szCs w:val="24"/>
        </w:rPr>
        <w:t>Допълнителни правомощия на КЗЛД</w:t>
      </w:r>
      <w:r w:rsidR="00F03E22" w:rsidRPr="007404FA">
        <w:rPr>
          <w:rFonts w:ascii="Times New Roman" w:hAnsi="Times New Roman" w:cs="Times New Roman"/>
          <w:b/>
          <w:bCs/>
          <w:sz w:val="24"/>
          <w:szCs w:val="24"/>
        </w:rPr>
        <w:t xml:space="preserve"> във връзка с новите широкомащабни информационни системи на ЕС</w:t>
      </w:r>
      <w:r w:rsidR="00BB1511">
        <w:rPr>
          <w:rFonts w:ascii="Times New Roman" w:hAnsi="Times New Roman" w:cs="Times New Roman"/>
          <w:b/>
          <w:bCs/>
          <w:sz w:val="24"/>
          <w:szCs w:val="24"/>
        </w:rPr>
        <w:t>.</w:t>
      </w:r>
    </w:p>
    <w:p w:rsidR="006A64E6" w:rsidRPr="007404FA" w:rsidRDefault="006A64E6" w:rsidP="00540979">
      <w:pPr>
        <w:spacing w:line="400" w:lineRule="exact"/>
        <w:ind w:firstLine="709"/>
        <w:jc w:val="both"/>
        <w:rPr>
          <w:rFonts w:ascii="Times New Roman" w:hAnsi="Times New Roman" w:cs="Times New Roman"/>
          <w:bCs/>
          <w:sz w:val="24"/>
          <w:szCs w:val="24"/>
          <w:lang w:eastAsia="en-US"/>
        </w:rPr>
      </w:pPr>
      <w:r w:rsidRPr="007404FA">
        <w:rPr>
          <w:rFonts w:ascii="Times New Roman" w:hAnsi="Times New Roman" w:cs="Times New Roman"/>
          <w:bCs/>
          <w:sz w:val="24"/>
          <w:szCs w:val="24"/>
        </w:rPr>
        <w:t>През 2023</w:t>
      </w:r>
      <w:r w:rsidR="00F06583" w:rsidRPr="007404FA">
        <w:rPr>
          <w:rFonts w:ascii="Times New Roman" w:hAnsi="Times New Roman" w:cs="Times New Roman"/>
          <w:bCs/>
          <w:sz w:val="24"/>
          <w:szCs w:val="24"/>
        </w:rPr>
        <w:t> г.</w:t>
      </w:r>
      <w:r w:rsidRPr="007404FA">
        <w:rPr>
          <w:rFonts w:ascii="Times New Roman" w:hAnsi="Times New Roman" w:cs="Times New Roman"/>
          <w:bCs/>
          <w:sz w:val="24"/>
          <w:szCs w:val="24"/>
        </w:rPr>
        <w:t xml:space="preserve"> Комисията следва да изгради административен капацитет, който да отговори на новите </w:t>
      </w:r>
      <w:r w:rsidR="004C3EC0" w:rsidRPr="007404FA">
        <w:rPr>
          <w:rFonts w:ascii="Times New Roman" w:hAnsi="Times New Roman" w:cs="Times New Roman"/>
          <w:bCs/>
          <w:sz w:val="24"/>
          <w:szCs w:val="24"/>
        </w:rPr>
        <w:t xml:space="preserve">ѝ </w:t>
      </w:r>
      <w:r w:rsidRPr="007404FA">
        <w:rPr>
          <w:rFonts w:ascii="Times New Roman" w:hAnsi="Times New Roman" w:cs="Times New Roman"/>
          <w:bCs/>
          <w:sz w:val="24"/>
          <w:szCs w:val="24"/>
        </w:rPr>
        <w:t xml:space="preserve">надзорни </w:t>
      </w:r>
      <w:r w:rsidR="00EB387E" w:rsidRPr="007404FA">
        <w:rPr>
          <w:rFonts w:ascii="Times New Roman" w:hAnsi="Times New Roman" w:cs="Times New Roman"/>
          <w:bCs/>
          <w:sz w:val="24"/>
          <w:szCs w:val="24"/>
        </w:rPr>
        <w:t>правомощия</w:t>
      </w:r>
      <w:r w:rsidRPr="007404FA">
        <w:rPr>
          <w:rFonts w:ascii="Times New Roman" w:hAnsi="Times New Roman" w:cs="Times New Roman"/>
          <w:bCs/>
          <w:sz w:val="24"/>
          <w:szCs w:val="24"/>
        </w:rPr>
        <w:t>, произтичащи от европейското</w:t>
      </w:r>
      <w:r w:rsidR="00157B49">
        <w:rPr>
          <w:rFonts w:ascii="Times New Roman" w:hAnsi="Times New Roman" w:cs="Times New Roman"/>
          <w:bCs/>
          <w:sz w:val="24"/>
          <w:szCs w:val="24"/>
        </w:rPr>
        <w:t xml:space="preserve"> </w:t>
      </w:r>
      <w:r w:rsidRPr="007404FA">
        <w:rPr>
          <w:rFonts w:ascii="Times New Roman" w:hAnsi="Times New Roman" w:cs="Times New Roman"/>
          <w:bCs/>
          <w:sz w:val="24"/>
          <w:szCs w:val="24"/>
        </w:rPr>
        <w:t>законодателство, което регулира новите широкомащабни информационни системи на ЕС</w:t>
      </w:r>
      <w:r w:rsidR="00BA56E3" w:rsidRPr="007404FA">
        <w:rPr>
          <w:rFonts w:ascii="Times New Roman" w:hAnsi="Times New Roman" w:cs="Times New Roman"/>
          <w:bCs/>
          <w:sz w:val="24"/>
          <w:szCs w:val="24"/>
        </w:rPr>
        <w:t xml:space="preserve">: </w:t>
      </w:r>
      <w:r w:rsidRPr="007404FA">
        <w:rPr>
          <w:rFonts w:ascii="Times New Roman" w:hAnsi="Times New Roman" w:cs="Times New Roman"/>
          <w:bCs/>
          <w:sz w:val="24"/>
          <w:szCs w:val="24"/>
          <w:lang w:eastAsia="en-US"/>
        </w:rPr>
        <w:t>централизирана</w:t>
      </w:r>
      <w:r w:rsidR="00BA56E3" w:rsidRPr="007404FA">
        <w:rPr>
          <w:rFonts w:ascii="Times New Roman" w:hAnsi="Times New Roman" w:cs="Times New Roman"/>
          <w:bCs/>
          <w:sz w:val="24"/>
          <w:szCs w:val="24"/>
          <w:lang w:eastAsia="en-US"/>
        </w:rPr>
        <w:t>та</w:t>
      </w:r>
      <w:r w:rsidRPr="007404FA">
        <w:rPr>
          <w:rFonts w:ascii="Times New Roman" w:hAnsi="Times New Roman" w:cs="Times New Roman"/>
          <w:bCs/>
          <w:sz w:val="24"/>
          <w:szCs w:val="24"/>
          <w:lang w:eastAsia="en-US"/>
        </w:rPr>
        <w:t xml:space="preserve"> система за установяване на държавите членки, разполагащи с информация за присъди срещу граждани на трети държави и лица без гражданство (</w:t>
      </w:r>
      <w:r w:rsidRPr="00BB1511">
        <w:rPr>
          <w:rFonts w:ascii="Times New Roman" w:hAnsi="Times New Roman" w:cs="Times New Roman"/>
          <w:bCs/>
          <w:sz w:val="24"/>
          <w:szCs w:val="24"/>
          <w:lang w:eastAsia="en-US"/>
        </w:rPr>
        <w:t>ECRIS-TCN)</w:t>
      </w:r>
      <w:r w:rsidRPr="007404FA">
        <w:rPr>
          <w:rFonts w:ascii="Times New Roman" w:hAnsi="Times New Roman" w:cs="Times New Roman"/>
          <w:bCs/>
          <w:sz w:val="24"/>
          <w:szCs w:val="24"/>
          <w:lang w:eastAsia="en-US"/>
        </w:rPr>
        <w:t xml:space="preserve">, Системата за влизане/излизане </w:t>
      </w:r>
      <w:r w:rsidRPr="00BB1511">
        <w:rPr>
          <w:rFonts w:ascii="Times New Roman" w:hAnsi="Times New Roman" w:cs="Times New Roman"/>
          <w:bCs/>
          <w:sz w:val="24"/>
          <w:szCs w:val="24"/>
          <w:lang w:eastAsia="en-US"/>
        </w:rPr>
        <w:t>EES</w:t>
      </w:r>
      <w:r w:rsidRPr="007404FA">
        <w:rPr>
          <w:rFonts w:ascii="Times New Roman" w:hAnsi="Times New Roman" w:cs="Times New Roman"/>
          <w:bCs/>
          <w:sz w:val="24"/>
          <w:szCs w:val="24"/>
          <w:lang w:eastAsia="en-US"/>
        </w:rPr>
        <w:t xml:space="preserve">, Европейската система за информация за пътуванията и разрешаването им </w:t>
      </w:r>
      <w:r w:rsidRPr="00BB1511">
        <w:rPr>
          <w:rFonts w:ascii="Times New Roman" w:hAnsi="Times New Roman" w:cs="Times New Roman"/>
          <w:bCs/>
          <w:sz w:val="24"/>
          <w:szCs w:val="24"/>
          <w:lang w:eastAsia="en-US"/>
        </w:rPr>
        <w:t>ETIAS</w:t>
      </w:r>
      <w:r w:rsidRPr="007404FA">
        <w:rPr>
          <w:rFonts w:ascii="Times New Roman" w:hAnsi="Times New Roman" w:cs="Times New Roman"/>
          <w:bCs/>
          <w:sz w:val="24"/>
          <w:szCs w:val="24"/>
          <w:lang w:eastAsia="en-US"/>
        </w:rPr>
        <w:t>.</w:t>
      </w:r>
      <w:r w:rsidR="00BA56E3" w:rsidRPr="007404FA">
        <w:rPr>
          <w:rFonts w:ascii="Times New Roman" w:hAnsi="Times New Roman" w:cs="Times New Roman"/>
          <w:bCs/>
          <w:sz w:val="24"/>
          <w:szCs w:val="24"/>
          <w:lang w:eastAsia="en-US"/>
        </w:rPr>
        <w:t xml:space="preserve"> Това налага мултифункционално обучение </w:t>
      </w:r>
      <w:r w:rsidR="001D3D5E" w:rsidRPr="007404FA">
        <w:rPr>
          <w:rFonts w:ascii="Times New Roman" w:hAnsi="Times New Roman" w:cs="Times New Roman"/>
          <w:bCs/>
          <w:sz w:val="24"/>
          <w:szCs w:val="24"/>
          <w:lang w:eastAsia="en-US"/>
        </w:rPr>
        <w:t>на служителите на КЗЛД</w:t>
      </w:r>
      <w:r w:rsidR="00BB1511">
        <w:rPr>
          <w:rFonts w:ascii="Times New Roman" w:hAnsi="Times New Roman" w:cs="Times New Roman"/>
          <w:bCs/>
          <w:sz w:val="24"/>
          <w:szCs w:val="24"/>
          <w:lang w:eastAsia="en-US"/>
        </w:rPr>
        <w:t>, което да обхваща както правно</w:t>
      </w:r>
      <w:r w:rsidR="001D3D5E" w:rsidRPr="007404FA">
        <w:rPr>
          <w:rFonts w:ascii="Times New Roman" w:hAnsi="Times New Roman" w:cs="Times New Roman"/>
          <w:bCs/>
          <w:sz w:val="24"/>
          <w:szCs w:val="24"/>
          <w:lang w:eastAsia="en-US"/>
        </w:rPr>
        <w:t>нормативната регулация на посочените системи, така и да осигурява ИТ знания по отношение на техническите и организационни</w:t>
      </w:r>
      <w:r w:rsidR="00BB1511">
        <w:rPr>
          <w:rFonts w:ascii="Times New Roman" w:hAnsi="Times New Roman" w:cs="Times New Roman"/>
          <w:bCs/>
          <w:sz w:val="24"/>
          <w:szCs w:val="24"/>
          <w:lang w:eastAsia="en-US"/>
        </w:rPr>
        <w:t>те</w:t>
      </w:r>
      <w:r w:rsidR="001D3D5E" w:rsidRPr="007404FA">
        <w:rPr>
          <w:rFonts w:ascii="Times New Roman" w:hAnsi="Times New Roman" w:cs="Times New Roman"/>
          <w:bCs/>
          <w:sz w:val="24"/>
          <w:szCs w:val="24"/>
          <w:lang w:eastAsia="en-US"/>
        </w:rPr>
        <w:t xml:space="preserve"> мерки </w:t>
      </w:r>
      <w:r w:rsidR="00865A5A" w:rsidRPr="007404FA">
        <w:rPr>
          <w:rFonts w:ascii="Times New Roman" w:hAnsi="Times New Roman" w:cs="Times New Roman"/>
          <w:bCs/>
          <w:sz w:val="24"/>
          <w:szCs w:val="24"/>
          <w:lang w:eastAsia="en-US"/>
        </w:rPr>
        <w:t xml:space="preserve">за защита на личните данни в тези системи. </w:t>
      </w:r>
    </w:p>
    <w:p w:rsidR="009F5EA1" w:rsidRPr="007404FA" w:rsidRDefault="009F5EA1" w:rsidP="00540979">
      <w:pPr>
        <w:spacing w:line="400" w:lineRule="exact"/>
        <w:ind w:firstLine="709"/>
        <w:jc w:val="both"/>
        <w:rPr>
          <w:rFonts w:ascii="Times New Roman" w:eastAsia="Calibri" w:hAnsi="Times New Roman" w:cs="Times New Roman"/>
          <w:sz w:val="24"/>
          <w:szCs w:val="24"/>
        </w:rPr>
      </w:pPr>
    </w:p>
    <w:p w:rsidR="00572EF9" w:rsidRPr="007404FA" w:rsidRDefault="00BB788C" w:rsidP="00540979">
      <w:pPr>
        <w:spacing w:line="400" w:lineRule="exact"/>
        <w:ind w:firstLine="709"/>
        <w:jc w:val="both"/>
        <w:rPr>
          <w:color w:val="1F497D"/>
        </w:rPr>
      </w:pPr>
      <w:r w:rsidRPr="007404FA">
        <w:rPr>
          <w:rFonts w:ascii="Times New Roman" w:hAnsi="Times New Roman" w:cs="Times New Roman"/>
          <w:b/>
          <w:sz w:val="24"/>
          <w:szCs w:val="24"/>
        </w:rPr>
        <w:t>5</w:t>
      </w:r>
      <w:r w:rsidR="00E42714" w:rsidRPr="007404FA">
        <w:rPr>
          <w:rFonts w:ascii="Times New Roman" w:hAnsi="Times New Roman" w:cs="Times New Roman"/>
          <w:b/>
          <w:sz w:val="24"/>
          <w:szCs w:val="24"/>
        </w:rPr>
        <w:t xml:space="preserve">. </w:t>
      </w:r>
      <w:r w:rsidR="00572EF9" w:rsidRPr="007404FA">
        <w:rPr>
          <w:rFonts w:ascii="Times New Roman" w:hAnsi="Times New Roman" w:cs="Times New Roman"/>
          <w:b/>
          <w:sz w:val="24"/>
          <w:szCs w:val="24"/>
        </w:rPr>
        <w:t>Изграждане на нов подход в защитата на личните данни от КЗЛД, свързан с предизвикателствата на новите технологии</w:t>
      </w:r>
      <w:r w:rsidR="00BB1511">
        <w:rPr>
          <w:rFonts w:ascii="Times New Roman" w:hAnsi="Times New Roman" w:cs="Times New Roman"/>
          <w:b/>
          <w:sz w:val="24"/>
          <w:szCs w:val="24"/>
        </w:rPr>
        <w:t>.</w:t>
      </w:r>
    </w:p>
    <w:p w:rsidR="00572EF9" w:rsidRPr="007404FA" w:rsidRDefault="00572EF9" w:rsidP="00540979">
      <w:pPr>
        <w:spacing w:line="400" w:lineRule="exact"/>
        <w:ind w:firstLine="709"/>
        <w:jc w:val="both"/>
        <w:rPr>
          <w:rFonts w:ascii="Times New Roman" w:eastAsia="Times New Roman" w:hAnsi="Times New Roman" w:cs="Times New Roman"/>
          <w:sz w:val="24"/>
          <w:szCs w:val="26"/>
        </w:rPr>
      </w:pPr>
      <w:r w:rsidRPr="007404FA">
        <w:rPr>
          <w:rFonts w:ascii="Times New Roman" w:eastAsia="Times New Roman" w:hAnsi="Times New Roman" w:cs="Times New Roman"/>
          <w:sz w:val="24"/>
          <w:szCs w:val="26"/>
        </w:rPr>
        <w:t xml:space="preserve">В продължение на </w:t>
      </w:r>
      <w:r w:rsidR="009259EA" w:rsidRPr="007404FA">
        <w:rPr>
          <w:rFonts w:ascii="Times New Roman" w:eastAsia="Times New Roman" w:hAnsi="Times New Roman" w:cs="Times New Roman"/>
          <w:sz w:val="24"/>
          <w:szCs w:val="26"/>
        </w:rPr>
        <w:t xml:space="preserve">приоритета </w:t>
      </w:r>
      <w:r w:rsidR="006131A0" w:rsidRPr="007404FA">
        <w:rPr>
          <w:rFonts w:ascii="Times New Roman" w:eastAsia="Times New Roman" w:hAnsi="Times New Roman" w:cs="Times New Roman"/>
          <w:sz w:val="24"/>
          <w:szCs w:val="26"/>
        </w:rPr>
        <w:t xml:space="preserve">си </w:t>
      </w:r>
      <w:r w:rsidR="009259EA" w:rsidRPr="007404FA">
        <w:rPr>
          <w:rFonts w:ascii="Times New Roman" w:eastAsia="Times New Roman" w:hAnsi="Times New Roman" w:cs="Times New Roman"/>
          <w:sz w:val="24"/>
          <w:szCs w:val="26"/>
        </w:rPr>
        <w:t>от предходни години</w:t>
      </w:r>
      <w:r w:rsidRPr="007404FA">
        <w:rPr>
          <w:rFonts w:ascii="Times New Roman" w:eastAsia="Times New Roman" w:hAnsi="Times New Roman" w:cs="Times New Roman"/>
          <w:sz w:val="24"/>
          <w:szCs w:val="26"/>
        </w:rPr>
        <w:t xml:space="preserve"> да </w:t>
      </w:r>
      <w:r w:rsidR="00CB556E" w:rsidRPr="007404FA">
        <w:rPr>
          <w:rFonts w:ascii="Times New Roman" w:eastAsia="Times New Roman" w:hAnsi="Times New Roman" w:cs="Times New Roman"/>
          <w:sz w:val="24"/>
          <w:szCs w:val="26"/>
        </w:rPr>
        <w:t xml:space="preserve">следи </w:t>
      </w:r>
      <w:r w:rsidR="00F86AC9" w:rsidRPr="007404FA">
        <w:rPr>
          <w:rFonts w:ascii="Times New Roman" w:eastAsia="Times New Roman" w:hAnsi="Times New Roman" w:cs="Times New Roman"/>
          <w:sz w:val="24"/>
          <w:szCs w:val="26"/>
        </w:rPr>
        <w:t xml:space="preserve">развитието на съвременните заплахи и предизвикателства пред защитата на личните данни, и през следващия отчетен период </w:t>
      </w:r>
      <w:r w:rsidR="006356FD" w:rsidRPr="007404FA">
        <w:rPr>
          <w:rFonts w:ascii="Times New Roman" w:eastAsia="Times New Roman" w:hAnsi="Times New Roman" w:cs="Times New Roman"/>
          <w:sz w:val="24"/>
          <w:szCs w:val="26"/>
        </w:rPr>
        <w:t xml:space="preserve">във фокуса на вниманието на </w:t>
      </w:r>
      <w:r w:rsidR="00F86AC9" w:rsidRPr="007404FA">
        <w:rPr>
          <w:rFonts w:ascii="Times New Roman" w:eastAsia="Times New Roman" w:hAnsi="Times New Roman" w:cs="Times New Roman"/>
          <w:sz w:val="24"/>
          <w:szCs w:val="26"/>
        </w:rPr>
        <w:t>Комисията</w:t>
      </w:r>
      <w:r w:rsidR="006356FD" w:rsidRPr="007404FA">
        <w:rPr>
          <w:rFonts w:ascii="Times New Roman" w:eastAsia="Times New Roman" w:hAnsi="Times New Roman" w:cs="Times New Roman"/>
          <w:sz w:val="24"/>
          <w:szCs w:val="26"/>
        </w:rPr>
        <w:t xml:space="preserve"> ще останат въпросите, свързани с развитието на изкуствения интелект и новите технологии за лицево разпознаване, големите бази данни и свързаната с тях възможност за профилиране, както и</w:t>
      </w:r>
      <w:r w:rsidR="00157B49">
        <w:rPr>
          <w:rFonts w:ascii="Times New Roman" w:eastAsia="Times New Roman" w:hAnsi="Times New Roman" w:cs="Times New Roman"/>
          <w:sz w:val="24"/>
          <w:szCs w:val="26"/>
        </w:rPr>
        <w:t xml:space="preserve"> </w:t>
      </w:r>
      <w:r w:rsidR="006356FD" w:rsidRPr="007404FA">
        <w:rPr>
          <w:rFonts w:ascii="Times New Roman" w:hAnsi="Times New Roman" w:cs="Times New Roman"/>
          <w:sz w:val="24"/>
          <w:szCs w:val="24"/>
        </w:rPr>
        <w:lastRenderedPageBreak/>
        <w:t>тенденциите в развитието на блоковата технология</w:t>
      </w:r>
      <w:r w:rsidR="00323244" w:rsidRPr="007404FA">
        <w:rPr>
          <w:rFonts w:ascii="Times New Roman" w:hAnsi="Times New Roman" w:cs="Times New Roman"/>
          <w:sz w:val="24"/>
          <w:szCs w:val="24"/>
        </w:rPr>
        <w:t xml:space="preserve"> (блокчейн)</w:t>
      </w:r>
      <w:r w:rsidR="006356FD" w:rsidRPr="007404FA">
        <w:rPr>
          <w:rFonts w:ascii="Times New Roman" w:hAnsi="Times New Roman" w:cs="Times New Roman"/>
          <w:sz w:val="24"/>
          <w:szCs w:val="24"/>
        </w:rPr>
        <w:t>.</w:t>
      </w:r>
      <w:r w:rsidR="001345A6" w:rsidRPr="007404FA">
        <w:rPr>
          <w:rFonts w:ascii="Times New Roman" w:eastAsia="Times New Roman" w:hAnsi="Times New Roman" w:cs="Times New Roman"/>
          <w:sz w:val="24"/>
          <w:szCs w:val="26"/>
        </w:rPr>
        <w:t xml:space="preserve"> М</w:t>
      </w:r>
      <w:r w:rsidRPr="007404FA">
        <w:rPr>
          <w:rFonts w:ascii="Times New Roman" w:eastAsia="Times New Roman" w:hAnsi="Times New Roman" w:cs="Times New Roman"/>
          <w:sz w:val="24"/>
          <w:szCs w:val="26"/>
        </w:rPr>
        <w:t>ногообразие</w:t>
      </w:r>
      <w:r w:rsidR="001345A6" w:rsidRPr="007404FA">
        <w:rPr>
          <w:rFonts w:ascii="Times New Roman" w:eastAsia="Times New Roman" w:hAnsi="Times New Roman" w:cs="Times New Roman"/>
          <w:sz w:val="24"/>
          <w:szCs w:val="26"/>
        </w:rPr>
        <w:t>то</w:t>
      </w:r>
      <w:r w:rsidRPr="007404FA">
        <w:rPr>
          <w:rFonts w:ascii="Times New Roman" w:eastAsia="Times New Roman" w:hAnsi="Times New Roman" w:cs="Times New Roman"/>
          <w:sz w:val="24"/>
          <w:szCs w:val="26"/>
        </w:rPr>
        <w:t>, всеобхватност</w:t>
      </w:r>
      <w:r w:rsidR="001345A6" w:rsidRPr="007404FA">
        <w:rPr>
          <w:rFonts w:ascii="Times New Roman" w:eastAsia="Times New Roman" w:hAnsi="Times New Roman" w:cs="Times New Roman"/>
          <w:sz w:val="24"/>
          <w:szCs w:val="26"/>
        </w:rPr>
        <w:t>та</w:t>
      </w:r>
      <w:r w:rsidRPr="007404FA">
        <w:rPr>
          <w:rFonts w:ascii="Times New Roman" w:eastAsia="Times New Roman" w:hAnsi="Times New Roman" w:cs="Times New Roman"/>
          <w:sz w:val="24"/>
          <w:szCs w:val="26"/>
        </w:rPr>
        <w:t xml:space="preserve"> и много бързо</w:t>
      </w:r>
      <w:r w:rsidR="001345A6" w:rsidRPr="007404FA">
        <w:rPr>
          <w:rFonts w:ascii="Times New Roman" w:eastAsia="Times New Roman" w:hAnsi="Times New Roman" w:cs="Times New Roman"/>
          <w:sz w:val="24"/>
          <w:szCs w:val="26"/>
        </w:rPr>
        <w:t>то</w:t>
      </w:r>
      <w:r w:rsidRPr="007404FA">
        <w:rPr>
          <w:rFonts w:ascii="Times New Roman" w:eastAsia="Times New Roman" w:hAnsi="Times New Roman" w:cs="Times New Roman"/>
          <w:sz w:val="24"/>
          <w:szCs w:val="26"/>
        </w:rPr>
        <w:t xml:space="preserve"> развитие</w:t>
      </w:r>
      <w:r w:rsidR="00E41E3B" w:rsidRPr="007404FA">
        <w:rPr>
          <w:rFonts w:ascii="Times New Roman" w:eastAsia="Times New Roman" w:hAnsi="Times New Roman" w:cs="Times New Roman"/>
          <w:sz w:val="24"/>
          <w:szCs w:val="26"/>
        </w:rPr>
        <w:t xml:space="preserve"> на тенденциите, свързани с тези и нови заплахи и предизвикателства</w:t>
      </w:r>
      <w:r w:rsidRPr="007404FA">
        <w:rPr>
          <w:rFonts w:ascii="Times New Roman" w:eastAsia="Times New Roman" w:hAnsi="Times New Roman" w:cs="Times New Roman"/>
          <w:sz w:val="24"/>
          <w:szCs w:val="26"/>
        </w:rPr>
        <w:t>,</w:t>
      </w:r>
      <w:r w:rsidR="00E41E3B" w:rsidRPr="007404FA">
        <w:rPr>
          <w:rFonts w:ascii="Times New Roman" w:eastAsia="Times New Roman" w:hAnsi="Times New Roman" w:cs="Times New Roman"/>
          <w:sz w:val="24"/>
          <w:szCs w:val="26"/>
        </w:rPr>
        <w:t xml:space="preserve"> налагат </w:t>
      </w:r>
      <w:r w:rsidRPr="007404FA">
        <w:rPr>
          <w:rFonts w:ascii="Times New Roman" w:eastAsia="Times New Roman" w:hAnsi="Times New Roman" w:cs="Times New Roman"/>
          <w:sz w:val="24"/>
          <w:szCs w:val="26"/>
        </w:rPr>
        <w:t>КЗЛД да разработи нов под</w:t>
      </w:r>
      <w:r w:rsidR="00E6769E" w:rsidRPr="007404FA">
        <w:rPr>
          <w:rFonts w:ascii="Times New Roman" w:eastAsia="Times New Roman" w:hAnsi="Times New Roman" w:cs="Times New Roman"/>
          <w:sz w:val="24"/>
          <w:szCs w:val="26"/>
        </w:rPr>
        <w:t xml:space="preserve">ход </w:t>
      </w:r>
      <w:r w:rsidR="006131A0" w:rsidRPr="007404FA">
        <w:rPr>
          <w:rFonts w:ascii="Times New Roman" w:eastAsia="Times New Roman" w:hAnsi="Times New Roman" w:cs="Times New Roman"/>
          <w:sz w:val="24"/>
          <w:szCs w:val="26"/>
        </w:rPr>
        <w:t>в</w:t>
      </w:r>
      <w:r w:rsidR="00E6769E" w:rsidRPr="007404FA">
        <w:rPr>
          <w:rFonts w:ascii="Times New Roman" w:eastAsia="Times New Roman" w:hAnsi="Times New Roman" w:cs="Times New Roman"/>
          <w:sz w:val="24"/>
          <w:szCs w:val="26"/>
        </w:rPr>
        <w:t xml:space="preserve"> защита</w:t>
      </w:r>
      <w:r w:rsidR="006131A0" w:rsidRPr="007404FA">
        <w:rPr>
          <w:rFonts w:ascii="Times New Roman" w:eastAsia="Times New Roman" w:hAnsi="Times New Roman" w:cs="Times New Roman"/>
          <w:sz w:val="24"/>
          <w:szCs w:val="26"/>
        </w:rPr>
        <w:t>та</w:t>
      </w:r>
      <w:r w:rsidR="00E6769E" w:rsidRPr="007404FA">
        <w:rPr>
          <w:rFonts w:ascii="Times New Roman" w:eastAsia="Times New Roman" w:hAnsi="Times New Roman" w:cs="Times New Roman"/>
          <w:sz w:val="24"/>
          <w:szCs w:val="26"/>
        </w:rPr>
        <w:t xml:space="preserve"> на личните данни, свързан </w:t>
      </w:r>
      <w:r w:rsidR="006131A0" w:rsidRPr="007404FA">
        <w:rPr>
          <w:rFonts w:ascii="Times New Roman" w:eastAsia="Times New Roman" w:hAnsi="Times New Roman" w:cs="Times New Roman"/>
          <w:sz w:val="24"/>
          <w:szCs w:val="26"/>
        </w:rPr>
        <w:t xml:space="preserve">с предизвикателствата на новите технологии и </w:t>
      </w:r>
      <w:r w:rsidRPr="007404FA">
        <w:rPr>
          <w:rFonts w:ascii="Times New Roman" w:eastAsia="Times New Roman" w:hAnsi="Times New Roman" w:cs="Times New Roman"/>
          <w:sz w:val="24"/>
          <w:szCs w:val="26"/>
        </w:rPr>
        <w:t>базиран на риска</w:t>
      </w:r>
      <w:r w:rsidR="00E6769E" w:rsidRPr="007404FA">
        <w:rPr>
          <w:rFonts w:ascii="Times New Roman" w:eastAsia="Times New Roman" w:hAnsi="Times New Roman" w:cs="Times New Roman"/>
          <w:sz w:val="24"/>
          <w:szCs w:val="26"/>
        </w:rPr>
        <w:t xml:space="preserve">. </w:t>
      </w:r>
    </w:p>
    <w:p w:rsidR="00572EF9" w:rsidRPr="007404FA" w:rsidRDefault="00572EF9" w:rsidP="00540979">
      <w:pPr>
        <w:spacing w:line="400" w:lineRule="exact"/>
        <w:ind w:firstLine="709"/>
        <w:jc w:val="both"/>
        <w:rPr>
          <w:rFonts w:ascii="Times New Roman" w:hAnsi="Times New Roman" w:cs="Times New Roman"/>
          <w:b/>
          <w:sz w:val="24"/>
          <w:szCs w:val="24"/>
        </w:rPr>
      </w:pPr>
    </w:p>
    <w:p w:rsidR="00E42714" w:rsidRPr="007404FA" w:rsidRDefault="00BB788C" w:rsidP="00540979">
      <w:pPr>
        <w:spacing w:line="400" w:lineRule="exact"/>
        <w:ind w:firstLine="709"/>
        <w:jc w:val="both"/>
        <w:rPr>
          <w:rFonts w:ascii="Times New Roman" w:hAnsi="Times New Roman" w:cs="Times New Roman"/>
          <w:b/>
          <w:sz w:val="24"/>
          <w:szCs w:val="24"/>
        </w:rPr>
      </w:pPr>
      <w:r w:rsidRPr="007404FA">
        <w:rPr>
          <w:rFonts w:ascii="Times New Roman" w:hAnsi="Times New Roman" w:cs="Times New Roman"/>
          <w:b/>
          <w:sz w:val="24"/>
          <w:szCs w:val="24"/>
        </w:rPr>
        <w:t>6</w:t>
      </w:r>
      <w:r w:rsidR="005C2ADE" w:rsidRPr="007404FA">
        <w:rPr>
          <w:rFonts w:ascii="Times New Roman" w:hAnsi="Times New Roman" w:cs="Times New Roman"/>
          <w:b/>
          <w:sz w:val="24"/>
          <w:szCs w:val="24"/>
        </w:rPr>
        <w:t xml:space="preserve">. </w:t>
      </w:r>
      <w:r w:rsidR="00E42714" w:rsidRPr="007404FA">
        <w:rPr>
          <w:rFonts w:ascii="Times New Roman" w:hAnsi="Times New Roman" w:cs="Times New Roman"/>
          <w:b/>
          <w:sz w:val="24"/>
          <w:szCs w:val="24"/>
        </w:rPr>
        <w:t>Прилагане на нов подход в предоставянето на обучение в сферата на защита на данните, вкл. съвременните заплахи пред защитата на данните.</w:t>
      </w:r>
    </w:p>
    <w:p w:rsidR="00A270C0" w:rsidRPr="007404FA" w:rsidRDefault="00A270C0" w:rsidP="00540979">
      <w:pPr>
        <w:spacing w:line="400" w:lineRule="exact"/>
        <w:ind w:firstLine="567"/>
        <w:jc w:val="both"/>
        <w:rPr>
          <w:rFonts w:ascii="Times New Roman" w:eastAsia="Times New Roman" w:hAnsi="Times New Roman" w:cs="Times New Roman"/>
          <w:sz w:val="24"/>
          <w:szCs w:val="26"/>
        </w:rPr>
      </w:pPr>
      <w:r w:rsidRPr="007404FA">
        <w:rPr>
          <w:rFonts w:ascii="Times New Roman" w:eastAsia="Times New Roman" w:hAnsi="Times New Roman" w:cs="Times New Roman"/>
          <w:sz w:val="24"/>
          <w:szCs w:val="26"/>
        </w:rPr>
        <w:t>През следващия отчетен период КЗЛД ще предприеме необходимите действия за осигуряването на необходимия технологичен ресурс за реализиране на задълженията си по</w:t>
      </w:r>
      <w:r w:rsidR="00F06583" w:rsidRPr="007404FA">
        <w:rPr>
          <w:rFonts w:ascii="Times New Roman" w:eastAsia="Times New Roman" w:hAnsi="Times New Roman" w:cs="Times New Roman"/>
          <w:sz w:val="24"/>
          <w:szCs w:val="26"/>
        </w:rPr>
        <w:t xml:space="preserve"> чл. </w:t>
      </w:r>
      <w:r w:rsidRPr="007404FA">
        <w:rPr>
          <w:rFonts w:ascii="Times New Roman" w:eastAsia="Times New Roman" w:hAnsi="Times New Roman" w:cs="Times New Roman"/>
          <w:sz w:val="24"/>
          <w:szCs w:val="26"/>
        </w:rPr>
        <w:t>10 (1)</w:t>
      </w:r>
      <w:r w:rsidR="00F06583" w:rsidRPr="007404FA">
        <w:rPr>
          <w:rFonts w:ascii="Times New Roman" w:eastAsia="Times New Roman" w:hAnsi="Times New Roman" w:cs="Times New Roman"/>
          <w:sz w:val="24"/>
          <w:szCs w:val="26"/>
        </w:rPr>
        <w:t xml:space="preserve"> т. </w:t>
      </w:r>
      <w:r w:rsidRPr="007404FA">
        <w:rPr>
          <w:rFonts w:ascii="Times New Roman" w:eastAsia="Times New Roman" w:hAnsi="Times New Roman" w:cs="Times New Roman"/>
          <w:sz w:val="24"/>
          <w:szCs w:val="26"/>
        </w:rPr>
        <w:t xml:space="preserve">6 от </w:t>
      </w:r>
      <w:r w:rsidR="00CA5F68" w:rsidRPr="007404FA">
        <w:rPr>
          <w:rFonts w:ascii="Times New Roman" w:eastAsia="Times New Roman" w:hAnsi="Times New Roman" w:cs="Times New Roman"/>
          <w:sz w:val="24"/>
          <w:szCs w:val="26"/>
        </w:rPr>
        <w:t>ЗЗЛД</w:t>
      </w:r>
      <w:r w:rsidRPr="007404FA">
        <w:rPr>
          <w:rFonts w:ascii="Times New Roman" w:eastAsia="Times New Roman" w:hAnsi="Times New Roman" w:cs="Times New Roman"/>
          <w:sz w:val="24"/>
          <w:szCs w:val="26"/>
        </w:rPr>
        <w:t>. Планира се да бъде подготвено интерактивно обучително съдържание, отразяващо съвременните тенденции и предизвикателства пред защитата на личните данни, като същото да бъде п</w:t>
      </w:r>
      <w:r w:rsidR="004628C8">
        <w:rPr>
          <w:rFonts w:ascii="Times New Roman" w:eastAsia="Times New Roman" w:hAnsi="Times New Roman" w:cs="Times New Roman"/>
          <w:sz w:val="24"/>
          <w:szCs w:val="26"/>
        </w:rPr>
        <w:t>редоставяно посредством облачно</w:t>
      </w:r>
      <w:r w:rsidRPr="007404FA">
        <w:rPr>
          <w:rFonts w:ascii="Times New Roman" w:eastAsia="Times New Roman" w:hAnsi="Times New Roman" w:cs="Times New Roman"/>
          <w:sz w:val="24"/>
          <w:szCs w:val="26"/>
        </w:rPr>
        <w:t>базирана обучителна платформа с неограничен брой участници в първия етап от обучението и присъствено във втория. Очаква се до края на календарната 2023</w:t>
      </w:r>
      <w:r w:rsidR="00F06583" w:rsidRPr="007404FA">
        <w:rPr>
          <w:rFonts w:ascii="Times New Roman" w:eastAsia="Times New Roman" w:hAnsi="Times New Roman" w:cs="Times New Roman"/>
          <w:sz w:val="24"/>
          <w:szCs w:val="26"/>
        </w:rPr>
        <w:t> г.</w:t>
      </w:r>
      <w:r w:rsidRPr="007404FA">
        <w:rPr>
          <w:rFonts w:ascii="Times New Roman" w:eastAsia="Times New Roman" w:hAnsi="Times New Roman" w:cs="Times New Roman"/>
          <w:sz w:val="24"/>
          <w:szCs w:val="26"/>
        </w:rPr>
        <w:t xml:space="preserve"> първата група служители на администратори и обработващи лични данни, включена в обучението, да премине през неговия първи етап. </w:t>
      </w:r>
    </w:p>
    <w:p w:rsidR="00A270C0" w:rsidRPr="007404FA" w:rsidRDefault="00A270C0" w:rsidP="00540979">
      <w:pPr>
        <w:spacing w:line="400" w:lineRule="exact"/>
        <w:ind w:firstLine="720"/>
        <w:jc w:val="both"/>
        <w:rPr>
          <w:rFonts w:ascii="Times New Roman" w:hAnsi="Times New Roman" w:cs="Times New Roman"/>
          <w:b/>
          <w:sz w:val="24"/>
          <w:szCs w:val="24"/>
        </w:rPr>
      </w:pPr>
    </w:p>
    <w:p w:rsidR="00EC419F" w:rsidRPr="007404FA" w:rsidRDefault="00BB788C" w:rsidP="00540979">
      <w:pPr>
        <w:spacing w:line="400" w:lineRule="exact"/>
        <w:ind w:firstLine="709"/>
        <w:jc w:val="both"/>
        <w:rPr>
          <w:rFonts w:ascii="Times New Roman" w:hAnsi="Times New Roman" w:cs="Times New Roman"/>
          <w:b/>
          <w:bCs/>
          <w:sz w:val="24"/>
          <w:szCs w:val="24"/>
        </w:rPr>
      </w:pPr>
      <w:r w:rsidRPr="007404FA">
        <w:rPr>
          <w:rFonts w:ascii="Times New Roman" w:hAnsi="Times New Roman" w:cs="Times New Roman"/>
          <w:b/>
          <w:sz w:val="24"/>
          <w:szCs w:val="24"/>
        </w:rPr>
        <w:t>7</w:t>
      </w:r>
      <w:r w:rsidR="00E42714" w:rsidRPr="007404FA">
        <w:rPr>
          <w:rFonts w:ascii="Times New Roman" w:hAnsi="Times New Roman" w:cs="Times New Roman"/>
          <w:b/>
          <w:sz w:val="24"/>
          <w:szCs w:val="24"/>
        </w:rPr>
        <w:t xml:space="preserve">. </w:t>
      </w:r>
      <w:r w:rsidR="00E42714" w:rsidRPr="007404FA">
        <w:rPr>
          <w:rFonts w:ascii="Times New Roman" w:hAnsi="Times New Roman" w:cs="Times New Roman"/>
          <w:b/>
          <w:bCs/>
          <w:sz w:val="24"/>
          <w:szCs w:val="24"/>
        </w:rPr>
        <w:t>Продължаване на усилията на КЗЛД за пълноправно членс</w:t>
      </w:r>
      <w:r w:rsidR="00A638D6" w:rsidRPr="007404FA">
        <w:rPr>
          <w:rFonts w:ascii="Times New Roman" w:hAnsi="Times New Roman" w:cs="Times New Roman"/>
          <w:b/>
          <w:bCs/>
          <w:sz w:val="24"/>
          <w:szCs w:val="24"/>
        </w:rPr>
        <w:t>тво в ОИСР.</w:t>
      </w:r>
    </w:p>
    <w:p w:rsidR="002C72C0" w:rsidRPr="007404FA" w:rsidRDefault="00ED1AC1" w:rsidP="00540979">
      <w:pPr>
        <w:tabs>
          <w:tab w:val="left" w:pos="993"/>
        </w:tabs>
        <w:spacing w:line="400" w:lineRule="exact"/>
        <w:ind w:firstLine="709"/>
        <w:jc w:val="both"/>
        <w:rPr>
          <w:rFonts w:ascii="Times New Roman" w:hAnsi="Times New Roman" w:cs="Times New Roman"/>
          <w:bCs/>
          <w:sz w:val="24"/>
          <w:szCs w:val="24"/>
        </w:rPr>
      </w:pPr>
      <w:r w:rsidRPr="007404FA">
        <w:rPr>
          <w:rFonts w:ascii="Times New Roman" w:hAnsi="Times New Roman" w:cs="Times New Roman"/>
          <w:bCs/>
          <w:sz w:val="24"/>
          <w:szCs w:val="24"/>
        </w:rPr>
        <w:t>През 2023</w:t>
      </w:r>
      <w:r w:rsidR="00F06583" w:rsidRPr="007404FA">
        <w:rPr>
          <w:rFonts w:ascii="Times New Roman" w:hAnsi="Times New Roman" w:cs="Times New Roman"/>
          <w:bCs/>
          <w:sz w:val="24"/>
          <w:szCs w:val="24"/>
        </w:rPr>
        <w:t> г.</w:t>
      </w:r>
      <w:r w:rsidRPr="007404FA">
        <w:rPr>
          <w:rFonts w:ascii="Times New Roman" w:hAnsi="Times New Roman" w:cs="Times New Roman"/>
          <w:bCs/>
          <w:sz w:val="24"/>
          <w:szCs w:val="24"/>
        </w:rPr>
        <w:t xml:space="preserve"> КЗЛД ще продължи последователните си усилия за подпомагане постигането на една от основните цели на външната политика на Република България</w:t>
      </w:r>
      <w:r w:rsidR="00553661" w:rsidRPr="007404FA">
        <w:rPr>
          <w:rFonts w:ascii="Times New Roman" w:hAnsi="Times New Roman" w:cs="Times New Roman"/>
          <w:bCs/>
          <w:sz w:val="24"/>
          <w:szCs w:val="24"/>
        </w:rPr>
        <w:t xml:space="preserve"> – </w:t>
      </w:r>
      <w:r w:rsidRPr="007404FA">
        <w:rPr>
          <w:rFonts w:ascii="Times New Roman" w:hAnsi="Times New Roman" w:cs="Times New Roman"/>
          <w:bCs/>
          <w:sz w:val="24"/>
          <w:szCs w:val="24"/>
        </w:rPr>
        <w:t xml:space="preserve">присъединяването към Организацията за икономическо сътрудничество и развитие. Представители на институцията активно ще участват в дейността на всички подготвителни работни групи и заседания на Междуведомствения координационен механизъм чрез изразяване на позиции и подготовка на аналитични документи в сферата на компетентност на КЗЛД. Във връзка с допълнителните правомощия на КЗЛД по </w:t>
      </w:r>
      <w:r w:rsidR="009A4476" w:rsidRPr="007404FA">
        <w:rPr>
          <w:rFonts w:ascii="Times New Roman" w:hAnsi="Times New Roman" w:cs="Times New Roman"/>
          <w:bCs/>
          <w:sz w:val="24"/>
          <w:szCs w:val="24"/>
        </w:rPr>
        <w:t xml:space="preserve">ЗЗЛПСПОИН </w:t>
      </w:r>
      <w:r w:rsidRPr="007404FA">
        <w:rPr>
          <w:rFonts w:ascii="Times New Roman" w:hAnsi="Times New Roman" w:cs="Times New Roman"/>
          <w:bCs/>
          <w:sz w:val="24"/>
          <w:szCs w:val="24"/>
        </w:rPr>
        <w:t>се създава възможност за обмен на добри практики по линия на ОИСР, което ще позволи разгръщане на широка информационно-разяснителна кампания по тези теми.</w:t>
      </w:r>
    </w:p>
    <w:p w:rsidR="00ED1AC1" w:rsidRPr="007404FA" w:rsidRDefault="00ED1AC1" w:rsidP="00540979">
      <w:pPr>
        <w:tabs>
          <w:tab w:val="left" w:pos="993"/>
        </w:tabs>
        <w:spacing w:line="400" w:lineRule="exact"/>
        <w:ind w:firstLine="709"/>
        <w:jc w:val="both"/>
        <w:rPr>
          <w:rFonts w:ascii="Times New Roman" w:hAnsi="Times New Roman" w:cs="Times New Roman"/>
          <w:bCs/>
          <w:sz w:val="24"/>
          <w:szCs w:val="24"/>
        </w:rPr>
      </w:pPr>
    </w:p>
    <w:p w:rsidR="00EC419F" w:rsidRPr="007404FA" w:rsidRDefault="00BB788C" w:rsidP="00540979">
      <w:pPr>
        <w:spacing w:line="400" w:lineRule="exact"/>
        <w:ind w:firstLine="709"/>
        <w:jc w:val="both"/>
        <w:rPr>
          <w:rFonts w:ascii="Times New Roman" w:hAnsi="Times New Roman" w:cs="Times New Roman"/>
          <w:b/>
          <w:bCs/>
          <w:sz w:val="24"/>
          <w:szCs w:val="24"/>
        </w:rPr>
      </w:pPr>
      <w:r w:rsidRPr="007404FA">
        <w:rPr>
          <w:rFonts w:ascii="Times New Roman" w:hAnsi="Times New Roman" w:cs="Times New Roman"/>
          <w:b/>
          <w:bCs/>
          <w:sz w:val="24"/>
          <w:szCs w:val="24"/>
        </w:rPr>
        <w:t>8</w:t>
      </w:r>
      <w:r w:rsidR="00EC419F" w:rsidRPr="007404FA">
        <w:rPr>
          <w:rFonts w:ascii="Times New Roman" w:hAnsi="Times New Roman" w:cs="Times New Roman"/>
          <w:b/>
          <w:bCs/>
          <w:sz w:val="24"/>
          <w:szCs w:val="24"/>
        </w:rPr>
        <w:t>. Устойчиво прилагане на цифрови подходи в административна</w:t>
      </w:r>
      <w:r w:rsidR="00A638D6" w:rsidRPr="007404FA">
        <w:rPr>
          <w:rFonts w:ascii="Times New Roman" w:hAnsi="Times New Roman" w:cs="Times New Roman"/>
          <w:b/>
          <w:bCs/>
          <w:sz w:val="24"/>
          <w:szCs w:val="24"/>
        </w:rPr>
        <w:t>та</w:t>
      </w:r>
      <w:r w:rsidR="00EC419F" w:rsidRPr="007404FA">
        <w:rPr>
          <w:rFonts w:ascii="Times New Roman" w:hAnsi="Times New Roman" w:cs="Times New Roman"/>
          <w:b/>
          <w:bCs/>
          <w:sz w:val="24"/>
          <w:szCs w:val="24"/>
        </w:rPr>
        <w:t xml:space="preserve"> дейност </w:t>
      </w:r>
      <w:r w:rsidR="00A638D6" w:rsidRPr="007404FA">
        <w:rPr>
          <w:rFonts w:ascii="Times New Roman" w:hAnsi="Times New Roman" w:cs="Times New Roman"/>
          <w:b/>
          <w:bCs/>
          <w:sz w:val="24"/>
          <w:szCs w:val="24"/>
        </w:rPr>
        <w:t xml:space="preserve">на КЗЛД </w:t>
      </w:r>
      <w:r w:rsidR="00EC419F" w:rsidRPr="007404FA">
        <w:rPr>
          <w:rFonts w:ascii="Times New Roman" w:hAnsi="Times New Roman" w:cs="Times New Roman"/>
          <w:b/>
          <w:bCs/>
          <w:sz w:val="24"/>
          <w:szCs w:val="24"/>
        </w:rPr>
        <w:t>в съответствие с изискванията за дигитализация на администрацията в Република България.</w:t>
      </w:r>
    </w:p>
    <w:p w:rsidR="00D22C4D" w:rsidRPr="007404FA" w:rsidRDefault="00D22C4D" w:rsidP="00540979">
      <w:pPr>
        <w:spacing w:line="400" w:lineRule="exact"/>
        <w:ind w:firstLine="720"/>
        <w:jc w:val="both"/>
        <w:rPr>
          <w:rFonts w:ascii="Times New Roman" w:hAnsi="Times New Roman" w:cs="Times New Roman"/>
          <w:sz w:val="24"/>
          <w:szCs w:val="24"/>
        </w:rPr>
      </w:pPr>
      <w:r w:rsidRPr="007404FA">
        <w:rPr>
          <w:rFonts w:ascii="Times New Roman" w:hAnsi="Times New Roman" w:cs="Times New Roman"/>
          <w:sz w:val="24"/>
          <w:szCs w:val="24"/>
        </w:rPr>
        <w:t>Комисията има за цел през 2023</w:t>
      </w:r>
      <w:r w:rsidR="00F06583" w:rsidRPr="007404FA">
        <w:rPr>
          <w:rFonts w:ascii="Times New Roman" w:hAnsi="Times New Roman" w:cs="Times New Roman"/>
          <w:sz w:val="24"/>
          <w:szCs w:val="24"/>
        </w:rPr>
        <w:t> г.</w:t>
      </w:r>
      <w:r w:rsidRPr="007404FA">
        <w:rPr>
          <w:rFonts w:ascii="Times New Roman" w:hAnsi="Times New Roman" w:cs="Times New Roman"/>
          <w:sz w:val="24"/>
          <w:szCs w:val="24"/>
        </w:rPr>
        <w:t xml:space="preserve"> да въведе електронни административни услуги, целящи намаляване на времето, разходите и броя на взаимодействията с администрацията ѝ от гледна точка на физическите лица и администраторите на лични данни. Планира се разработване на електронна платформа за подаване на сигнали, жалби и искане на ст</w:t>
      </w:r>
      <w:r w:rsidR="004628C8">
        <w:rPr>
          <w:rFonts w:ascii="Times New Roman" w:hAnsi="Times New Roman" w:cs="Times New Roman"/>
          <w:sz w:val="24"/>
          <w:szCs w:val="24"/>
        </w:rPr>
        <w:t>ановища, която да бъде достъпна чрез уеб</w:t>
      </w:r>
      <w:r w:rsidRPr="007404FA">
        <w:rPr>
          <w:rFonts w:ascii="Times New Roman" w:hAnsi="Times New Roman" w:cs="Times New Roman"/>
          <w:sz w:val="24"/>
          <w:szCs w:val="24"/>
        </w:rPr>
        <w:t>страницата на КЗЛД.</w:t>
      </w:r>
    </w:p>
    <w:p w:rsidR="00DB2FF2" w:rsidRPr="007404FA" w:rsidRDefault="00BB788C" w:rsidP="00540979">
      <w:pPr>
        <w:spacing w:line="400" w:lineRule="exact"/>
        <w:ind w:firstLine="709"/>
        <w:jc w:val="both"/>
        <w:rPr>
          <w:rFonts w:ascii="Times New Roman" w:hAnsi="Times New Roman" w:cs="Times New Roman"/>
          <w:b/>
          <w:bCs/>
          <w:sz w:val="24"/>
          <w:szCs w:val="24"/>
        </w:rPr>
      </w:pPr>
      <w:r w:rsidRPr="007404FA">
        <w:rPr>
          <w:rFonts w:ascii="Times New Roman" w:hAnsi="Times New Roman" w:cs="Times New Roman"/>
          <w:b/>
          <w:bCs/>
          <w:sz w:val="24"/>
          <w:szCs w:val="24"/>
        </w:rPr>
        <w:lastRenderedPageBreak/>
        <w:t>9</w:t>
      </w:r>
      <w:r w:rsidR="008D6622" w:rsidRPr="007404FA">
        <w:rPr>
          <w:rFonts w:ascii="Times New Roman" w:hAnsi="Times New Roman" w:cs="Times New Roman"/>
          <w:b/>
          <w:bCs/>
          <w:sz w:val="24"/>
          <w:szCs w:val="24"/>
        </w:rPr>
        <w:t xml:space="preserve">. </w:t>
      </w:r>
      <w:r w:rsidR="00111AE8" w:rsidRPr="007404FA">
        <w:rPr>
          <w:rFonts w:ascii="Times New Roman" w:hAnsi="Times New Roman" w:cs="Times New Roman"/>
          <w:b/>
          <w:bCs/>
          <w:sz w:val="24"/>
          <w:szCs w:val="24"/>
        </w:rPr>
        <w:t>Фокусиране дейността на КЗЛД в защита на личните данни на деца в интернет пространството и социалните мрежи</w:t>
      </w:r>
      <w:r w:rsidR="008D6622" w:rsidRPr="007404FA">
        <w:rPr>
          <w:rFonts w:ascii="Times New Roman" w:hAnsi="Times New Roman" w:cs="Times New Roman"/>
          <w:b/>
          <w:bCs/>
          <w:sz w:val="24"/>
          <w:szCs w:val="24"/>
        </w:rPr>
        <w:t xml:space="preserve">. </w:t>
      </w:r>
    </w:p>
    <w:p w:rsidR="00907066" w:rsidRPr="007404FA" w:rsidRDefault="00907066" w:rsidP="00540979">
      <w:pPr>
        <w:spacing w:line="400" w:lineRule="exact"/>
        <w:ind w:firstLine="709"/>
        <w:jc w:val="both"/>
        <w:rPr>
          <w:rFonts w:ascii="Times New Roman" w:hAnsi="Times New Roman" w:cs="Times New Roman"/>
          <w:bCs/>
          <w:sz w:val="24"/>
          <w:szCs w:val="24"/>
        </w:rPr>
      </w:pPr>
      <w:r w:rsidRPr="007404FA">
        <w:rPr>
          <w:rFonts w:ascii="Times New Roman" w:hAnsi="Times New Roman" w:cs="Times New Roman"/>
          <w:bCs/>
          <w:sz w:val="24"/>
          <w:szCs w:val="24"/>
        </w:rPr>
        <w:t>Широките възможности, които новите технологии предлагат, освен доказаните ползи крият и рискове от сериозно навлизане в личното пространство на човека. Подрастващите са най-уязвимата група в съвременното ни общество по отношение на злоупотребите с личната неприкосновеност, особено при общуването в интернет</w:t>
      </w:r>
      <w:r w:rsidR="004628C8">
        <w:rPr>
          <w:rFonts w:ascii="Times New Roman" w:hAnsi="Times New Roman" w:cs="Times New Roman"/>
          <w:bCs/>
          <w:sz w:val="24"/>
          <w:szCs w:val="24"/>
        </w:rPr>
        <w:t>,</w:t>
      </w:r>
      <w:r w:rsidRPr="007404FA">
        <w:rPr>
          <w:rFonts w:ascii="Times New Roman" w:hAnsi="Times New Roman" w:cs="Times New Roman"/>
          <w:bCs/>
          <w:sz w:val="24"/>
          <w:szCs w:val="24"/>
        </w:rPr>
        <w:t xml:space="preserve"> и поради тази причина се нуждаят от специална защита на техните права. Тъй като децата и младите хора днес все повече живеят живота си в дигитална среда, от изключителна важност е техните свободи и права да бъдат защитени там, така както във физическия свят.</w:t>
      </w:r>
    </w:p>
    <w:p w:rsidR="00E5786E" w:rsidRPr="007404FA" w:rsidRDefault="00B30DE0" w:rsidP="00540979">
      <w:pPr>
        <w:spacing w:line="400" w:lineRule="exact"/>
        <w:ind w:firstLine="709"/>
        <w:jc w:val="both"/>
        <w:rPr>
          <w:rFonts w:ascii="Times New Roman" w:hAnsi="Times New Roman" w:cs="Times New Roman"/>
          <w:sz w:val="24"/>
          <w:szCs w:val="24"/>
        </w:rPr>
      </w:pPr>
      <w:r w:rsidRPr="007404FA">
        <w:rPr>
          <w:rFonts w:ascii="Times New Roman" w:hAnsi="Times New Roman" w:cs="Times New Roman"/>
          <w:sz w:val="24"/>
          <w:szCs w:val="24"/>
        </w:rPr>
        <w:t xml:space="preserve">Комисията има амбицията да продължи </w:t>
      </w:r>
      <w:r w:rsidR="000F5FEC" w:rsidRPr="007404FA">
        <w:rPr>
          <w:rFonts w:ascii="Times New Roman" w:hAnsi="Times New Roman" w:cs="Times New Roman"/>
          <w:sz w:val="24"/>
          <w:szCs w:val="24"/>
        </w:rPr>
        <w:t>своята дейност за</w:t>
      </w:r>
      <w:r w:rsidR="00657FA3" w:rsidRPr="007404FA">
        <w:rPr>
          <w:rFonts w:ascii="Times New Roman" w:hAnsi="Times New Roman" w:cs="Times New Roman"/>
          <w:sz w:val="24"/>
          <w:szCs w:val="24"/>
        </w:rPr>
        <w:t xml:space="preserve"> насърчаване</w:t>
      </w:r>
      <w:r w:rsidR="00587530" w:rsidRPr="007404FA">
        <w:rPr>
          <w:rFonts w:ascii="Times New Roman" w:hAnsi="Times New Roman" w:cs="Times New Roman"/>
          <w:sz w:val="24"/>
          <w:szCs w:val="24"/>
        </w:rPr>
        <w:t xml:space="preserve"> на обществената информираност и разбиране на рисковете, правилата, гаранциите и правата, свързани с обработването на лични данни на подрастващите. Стъпвайки върху </w:t>
      </w:r>
      <w:r w:rsidR="009948D3" w:rsidRPr="007404FA">
        <w:rPr>
          <w:rFonts w:ascii="Times New Roman" w:hAnsi="Times New Roman" w:cs="Times New Roman"/>
          <w:sz w:val="24"/>
          <w:szCs w:val="24"/>
        </w:rPr>
        <w:t>пред</w:t>
      </w:r>
      <w:r w:rsidR="004628C8">
        <w:rPr>
          <w:rFonts w:ascii="Times New Roman" w:hAnsi="Times New Roman" w:cs="Times New Roman"/>
          <w:sz w:val="24"/>
          <w:szCs w:val="24"/>
        </w:rPr>
        <w:t>ишните си инициативи и дейности</w:t>
      </w:r>
      <w:r w:rsidR="00587530" w:rsidRPr="007404FA">
        <w:rPr>
          <w:rFonts w:ascii="Times New Roman" w:hAnsi="Times New Roman" w:cs="Times New Roman"/>
          <w:sz w:val="24"/>
          <w:szCs w:val="24"/>
        </w:rPr>
        <w:t xml:space="preserve"> и отчитайки технологичното развитие на съвремието </w:t>
      </w:r>
      <w:r w:rsidR="004F4D2F" w:rsidRPr="007404FA">
        <w:rPr>
          <w:rFonts w:ascii="Times New Roman" w:hAnsi="Times New Roman" w:cs="Times New Roman"/>
          <w:sz w:val="24"/>
          <w:szCs w:val="24"/>
        </w:rPr>
        <w:t>ни</w:t>
      </w:r>
      <w:r w:rsidR="00587530" w:rsidRPr="007404FA">
        <w:rPr>
          <w:rFonts w:ascii="Times New Roman" w:hAnsi="Times New Roman" w:cs="Times New Roman"/>
          <w:sz w:val="24"/>
          <w:szCs w:val="24"/>
        </w:rPr>
        <w:t xml:space="preserve">, </w:t>
      </w:r>
      <w:r w:rsidR="00005839" w:rsidRPr="007404FA">
        <w:rPr>
          <w:rFonts w:ascii="Times New Roman" w:hAnsi="Times New Roman" w:cs="Times New Roman"/>
          <w:sz w:val="24"/>
          <w:szCs w:val="24"/>
        </w:rPr>
        <w:t xml:space="preserve">Комисията </w:t>
      </w:r>
      <w:r w:rsidR="00894F35" w:rsidRPr="007404FA">
        <w:rPr>
          <w:rFonts w:ascii="Times New Roman" w:hAnsi="Times New Roman" w:cs="Times New Roman"/>
          <w:sz w:val="24"/>
          <w:szCs w:val="24"/>
        </w:rPr>
        <w:t xml:space="preserve">ще заложи и на </w:t>
      </w:r>
      <w:r w:rsidR="00587530" w:rsidRPr="007404FA">
        <w:rPr>
          <w:rFonts w:ascii="Times New Roman" w:hAnsi="Times New Roman" w:cs="Times New Roman"/>
          <w:sz w:val="24"/>
          <w:szCs w:val="24"/>
        </w:rPr>
        <w:t>неконвенционални способи, чрез които да се повиши добаве</w:t>
      </w:r>
      <w:r w:rsidR="002D08D7" w:rsidRPr="007404FA">
        <w:rPr>
          <w:rFonts w:ascii="Times New Roman" w:hAnsi="Times New Roman" w:cs="Times New Roman"/>
          <w:sz w:val="24"/>
          <w:szCs w:val="24"/>
        </w:rPr>
        <w:t xml:space="preserve">ната стойност </w:t>
      </w:r>
      <w:r w:rsidR="0080428B" w:rsidRPr="007404FA">
        <w:rPr>
          <w:rFonts w:ascii="Times New Roman" w:hAnsi="Times New Roman" w:cs="Times New Roman"/>
          <w:sz w:val="24"/>
          <w:szCs w:val="24"/>
        </w:rPr>
        <w:t xml:space="preserve">на досегашните инициативи </w:t>
      </w:r>
      <w:r w:rsidR="005C4299" w:rsidRPr="007404FA">
        <w:rPr>
          <w:rFonts w:ascii="Times New Roman" w:hAnsi="Times New Roman" w:cs="Times New Roman"/>
          <w:sz w:val="24"/>
          <w:szCs w:val="24"/>
        </w:rPr>
        <w:t>от гледна точка на</w:t>
      </w:r>
      <w:r w:rsidR="002D08D7" w:rsidRPr="007404FA">
        <w:rPr>
          <w:rFonts w:ascii="Times New Roman" w:hAnsi="Times New Roman" w:cs="Times New Roman"/>
          <w:sz w:val="24"/>
          <w:szCs w:val="24"/>
        </w:rPr>
        <w:t xml:space="preserve"> обществото </w:t>
      </w:r>
      <w:r w:rsidR="005C4299" w:rsidRPr="007404FA">
        <w:rPr>
          <w:rFonts w:ascii="Times New Roman" w:hAnsi="Times New Roman" w:cs="Times New Roman"/>
          <w:sz w:val="24"/>
          <w:szCs w:val="24"/>
        </w:rPr>
        <w:t>и н</w:t>
      </w:r>
      <w:r w:rsidR="00587530" w:rsidRPr="007404FA">
        <w:rPr>
          <w:rFonts w:ascii="Times New Roman" w:hAnsi="Times New Roman" w:cs="Times New Roman"/>
          <w:sz w:val="24"/>
          <w:szCs w:val="24"/>
        </w:rPr>
        <w:t xml:space="preserve">а самите деца. </w:t>
      </w:r>
      <w:r w:rsidR="004B5DF9" w:rsidRPr="007404FA">
        <w:rPr>
          <w:rFonts w:ascii="Times New Roman" w:hAnsi="Times New Roman" w:cs="Times New Roman"/>
          <w:sz w:val="24"/>
          <w:szCs w:val="24"/>
        </w:rPr>
        <w:t>Комисията счита, че при</w:t>
      </w:r>
      <w:r w:rsidR="00F02E41" w:rsidRPr="007404FA">
        <w:rPr>
          <w:rFonts w:ascii="Times New Roman" w:hAnsi="Times New Roman" w:cs="Times New Roman"/>
          <w:sz w:val="24"/>
          <w:szCs w:val="24"/>
        </w:rPr>
        <w:t xml:space="preserve"> разработването на бъдещи информационно-разяснителни </w:t>
      </w:r>
      <w:r w:rsidR="004B5DF9" w:rsidRPr="007404FA">
        <w:rPr>
          <w:rFonts w:ascii="Times New Roman" w:hAnsi="Times New Roman" w:cs="Times New Roman"/>
          <w:sz w:val="24"/>
          <w:szCs w:val="24"/>
        </w:rPr>
        <w:t xml:space="preserve">материали </w:t>
      </w:r>
      <w:r w:rsidR="00F02E41" w:rsidRPr="007404FA">
        <w:rPr>
          <w:rFonts w:ascii="Times New Roman" w:hAnsi="Times New Roman" w:cs="Times New Roman"/>
          <w:sz w:val="24"/>
          <w:szCs w:val="24"/>
        </w:rPr>
        <w:t xml:space="preserve">могат </w:t>
      </w:r>
      <w:r w:rsidR="004B5DF9" w:rsidRPr="007404FA">
        <w:rPr>
          <w:rFonts w:ascii="Times New Roman" w:hAnsi="Times New Roman" w:cs="Times New Roman"/>
          <w:sz w:val="24"/>
          <w:szCs w:val="24"/>
        </w:rPr>
        <w:t>да бъдат и</w:t>
      </w:r>
      <w:r w:rsidR="00557401" w:rsidRPr="007404FA">
        <w:rPr>
          <w:rFonts w:ascii="Times New Roman" w:hAnsi="Times New Roman" w:cs="Times New Roman"/>
          <w:bCs/>
          <w:sz w:val="24"/>
          <w:szCs w:val="24"/>
        </w:rPr>
        <w:t>мплементиран</w:t>
      </w:r>
      <w:r w:rsidR="004B5DF9" w:rsidRPr="007404FA">
        <w:rPr>
          <w:rFonts w:ascii="Times New Roman" w:hAnsi="Times New Roman" w:cs="Times New Roman"/>
          <w:bCs/>
          <w:sz w:val="24"/>
          <w:szCs w:val="24"/>
        </w:rPr>
        <w:t>и</w:t>
      </w:r>
      <w:r w:rsidR="008D6622" w:rsidRPr="007404FA">
        <w:rPr>
          <w:rFonts w:ascii="Times New Roman" w:hAnsi="Times New Roman" w:cs="Times New Roman"/>
          <w:b/>
          <w:bCs/>
          <w:sz w:val="24"/>
          <w:szCs w:val="24"/>
        </w:rPr>
        <w:t xml:space="preserve"> </w:t>
      </w:r>
      <w:r w:rsidR="00E5786E" w:rsidRPr="007404FA">
        <w:rPr>
          <w:rFonts w:ascii="Times New Roman" w:hAnsi="Times New Roman" w:cs="Times New Roman"/>
          <w:sz w:val="24"/>
          <w:szCs w:val="24"/>
        </w:rPr>
        <w:t>интерактивни прийоми, чрез които да се ангажират в по-голяма степен сетивата на децата (напр. анимации, карикатури, видеоклипове, ик</w:t>
      </w:r>
      <w:r w:rsidR="00104101" w:rsidRPr="007404FA">
        <w:rPr>
          <w:rFonts w:ascii="Times New Roman" w:hAnsi="Times New Roman" w:cs="Times New Roman"/>
          <w:sz w:val="24"/>
          <w:szCs w:val="24"/>
        </w:rPr>
        <w:t>онографики, геймификации и пр.)</w:t>
      </w:r>
      <w:r w:rsidR="004B5DF9" w:rsidRPr="007404FA">
        <w:rPr>
          <w:rFonts w:ascii="Times New Roman" w:hAnsi="Times New Roman" w:cs="Times New Roman"/>
          <w:sz w:val="24"/>
          <w:szCs w:val="24"/>
        </w:rPr>
        <w:t xml:space="preserve">. </w:t>
      </w:r>
      <w:r w:rsidR="0080428B" w:rsidRPr="007404FA">
        <w:rPr>
          <w:rFonts w:ascii="Times New Roman" w:hAnsi="Times New Roman" w:cs="Times New Roman"/>
          <w:sz w:val="24"/>
          <w:szCs w:val="24"/>
        </w:rPr>
        <w:t>При наличие на фина</w:t>
      </w:r>
      <w:r w:rsidR="004628C8">
        <w:rPr>
          <w:rFonts w:ascii="Times New Roman" w:hAnsi="Times New Roman" w:cs="Times New Roman"/>
          <w:sz w:val="24"/>
          <w:szCs w:val="24"/>
        </w:rPr>
        <w:t>нсов ресурс за реализирането им</w:t>
      </w:r>
      <w:r w:rsidR="0080428B" w:rsidRPr="007404FA">
        <w:rPr>
          <w:rFonts w:ascii="Times New Roman" w:hAnsi="Times New Roman" w:cs="Times New Roman"/>
          <w:sz w:val="24"/>
          <w:szCs w:val="24"/>
        </w:rPr>
        <w:t xml:space="preserve"> подобни интерактивни способи</w:t>
      </w:r>
      <w:r w:rsidR="004B5DF9" w:rsidRPr="007404FA">
        <w:rPr>
          <w:rFonts w:ascii="Times New Roman" w:hAnsi="Times New Roman" w:cs="Times New Roman"/>
          <w:sz w:val="24"/>
          <w:szCs w:val="24"/>
        </w:rPr>
        <w:t xml:space="preserve"> </w:t>
      </w:r>
      <w:r w:rsidR="00104101" w:rsidRPr="007404FA">
        <w:rPr>
          <w:rFonts w:ascii="Times New Roman" w:hAnsi="Times New Roman" w:cs="Times New Roman"/>
          <w:sz w:val="24"/>
          <w:szCs w:val="24"/>
        </w:rPr>
        <w:t xml:space="preserve">са </w:t>
      </w:r>
      <w:r w:rsidR="0080428B" w:rsidRPr="007404FA">
        <w:rPr>
          <w:rFonts w:ascii="Times New Roman" w:hAnsi="Times New Roman" w:cs="Times New Roman"/>
          <w:sz w:val="24"/>
          <w:szCs w:val="24"/>
        </w:rPr>
        <w:t>най-</w:t>
      </w:r>
      <w:r w:rsidR="001A7257" w:rsidRPr="007404FA">
        <w:rPr>
          <w:rFonts w:ascii="Times New Roman" w:hAnsi="Times New Roman" w:cs="Times New Roman"/>
          <w:sz w:val="24"/>
          <w:szCs w:val="24"/>
        </w:rPr>
        <w:t>подходящ</w:t>
      </w:r>
      <w:r w:rsidR="0080428B" w:rsidRPr="007404FA">
        <w:rPr>
          <w:rFonts w:ascii="Times New Roman" w:hAnsi="Times New Roman" w:cs="Times New Roman"/>
          <w:sz w:val="24"/>
          <w:szCs w:val="24"/>
        </w:rPr>
        <w:t>ият</w:t>
      </w:r>
      <w:r w:rsidR="001A7257" w:rsidRPr="007404FA">
        <w:rPr>
          <w:rFonts w:ascii="Times New Roman" w:hAnsi="Times New Roman" w:cs="Times New Roman"/>
          <w:sz w:val="24"/>
          <w:szCs w:val="24"/>
        </w:rPr>
        <w:t xml:space="preserve"> инструмент за надграждане на </w:t>
      </w:r>
      <w:r w:rsidR="009948D3" w:rsidRPr="007404FA">
        <w:rPr>
          <w:rFonts w:ascii="Times New Roman" w:hAnsi="Times New Roman" w:cs="Times New Roman"/>
          <w:sz w:val="24"/>
          <w:szCs w:val="24"/>
        </w:rPr>
        <w:t xml:space="preserve">всичко постигнато до момента </w:t>
      </w:r>
      <w:r w:rsidR="00551776" w:rsidRPr="007404FA">
        <w:rPr>
          <w:rFonts w:ascii="Times New Roman" w:hAnsi="Times New Roman" w:cs="Times New Roman"/>
          <w:sz w:val="24"/>
          <w:szCs w:val="24"/>
        </w:rPr>
        <w:t xml:space="preserve">през годините </w:t>
      </w:r>
      <w:r w:rsidR="009948D3" w:rsidRPr="007404FA">
        <w:rPr>
          <w:rFonts w:ascii="Times New Roman" w:hAnsi="Times New Roman" w:cs="Times New Roman"/>
          <w:sz w:val="24"/>
          <w:szCs w:val="24"/>
        </w:rPr>
        <w:t xml:space="preserve">със специален фокус </w:t>
      </w:r>
      <w:r w:rsidR="006C4E7C" w:rsidRPr="007404FA">
        <w:rPr>
          <w:rFonts w:ascii="Times New Roman" w:hAnsi="Times New Roman" w:cs="Times New Roman"/>
          <w:sz w:val="24"/>
          <w:szCs w:val="24"/>
        </w:rPr>
        <w:t xml:space="preserve">към </w:t>
      </w:r>
      <w:r w:rsidR="009948D3" w:rsidRPr="007404FA">
        <w:rPr>
          <w:rFonts w:ascii="Times New Roman" w:hAnsi="Times New Roman" w:cs="Times New Roman"/>
          <w:sz w:val="24"/>
          <w:szCs w:val="24"/>
        </w:rPr>
        <w:t>децата и подрастващите</w:t>
      </w:r>
      <w:r w:rsidR="004B5DF9" w:rsidRPr="007404FA">
        <w:rPr>
          <w:rFonts w:ascii="Times New Roman" w:hAnsi="Times New Roman" w:cs="Times New Roman"/>
          <w:sz w:val="24"/>
          <w:szCs w:val="24"/>
        </w:rPr>
        <w:t xml:space="preserve">. </w:t>
      </w:r>
    </w:p>
    <w:p w:rsidR="00005AE6" w:rsidRPr="007404FA" w:rsidRDefault="00005AE6" w:rsidP="00540979">
      <w:pPr>
        <w:spacing w:line="400" w:lineRule="exact"/>
        <w:ind w:firstLine="709"/>
        <w:jc w:val="both"/>
        <w:rPr>
          <w:rFonts w:ascii="Times New Roman" w:hAnsi="Times New Roman" w:cs="Times New Roman"/>
          <w:b/>
          <w:bCs/>
          <w:sz w:val="24"/>
          <w:szCs w:val="24"/>
        </w:rPr>
      </w:pPr>
    </w:p>
    <w:p w:rsidR="00C925FF" w:rsidRPr="007404FA" w:rsidRDefault="00BB788C" w:rsidP="00540979">
      <w:pPr>
        <w:spacing w:line="400" w:lineRule="exact"/>
        <w:ind w:firstLine="709"/>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t xml:space="preserve">10. </w:t>
      </w:r>
      <w:r w:rsidR="00C925FF" w:rsidRPr="007404FA">
        <w:rPr>
          <w:rFonts w:ascii="Times New Roman" w:eastAsia="Times New Roman" w:hAnsi="Times New Roman" w:cs="Times New Roman"/>
          <w:b/>
          <w:sz w:val="24"/>
          <w:szCs w:val="24"/>
        </w:rPr>
        <w:t>Засилено трансгранично и международно сътрудничество</w:t>
      </w:r>
      <w:r w:rsidR="004628C8">
        <w:rPr>
          <w:rFonts w:ascii="Times New Roman" w:eastAsia="Times New Roman" w:hAnsi="Times New Roman" w:cs="Times New Roman"/>
          <w:b/>
          <w:sz w:val="24"/>
          <w:szCs w:val="24"/>
        </w:rPr>
        <w:t>.</w:t>
      </w:r>
    </w:p>
    <w:p w:rsidR="00292C7F" w:rsidRPr="007404FA" w:rsidRDefault="00292C7F" w:rsidP="00540979">
      <w:pPr>
        <w:spacing w:line="400" w:lineRule="exact"/>
        <w:ind w:firstLine="709"/>
        <w:jc w:val="both"/>
        <w:rPr>
          <w:rFonts w:ascii="Times New Roman" w:eastAsia="Times New Roman" w:hAnsi="Times New Roman" w:cs="Times New Roman"/>
          <w:spacing w:val="-2"/>
          <w:sz w:val="24"/>
          <w:szCs w:val="24"/>
          <w:lang w:eastAsia="en-US"/>
        </w:rPr>
      </w:pPr>
      <w:r w:rsidRPr="007404FA">
        <w:rPr>
          <w:rFonts w:ascii="Times New Roman" w:eastAsia="Times New Roman" w:hAnsi="Times New Roman" w:cs="Times New Roman"/>
          <w:sz w:val="24"/>
          <w:szCs w:val="24"/>
        </w:rPr>
        <w:t>Е</w:t>
      </w:r>
      <w:r w:rsidRPr="007404FA">
        <w:rPr>
          <w:rFonts w:ascii="Times New Roman" w:eastAsia="Times New Roman" w:hAnsi="Times New Roman" w:cs="Times New Roman"/>
          <w:spacing w:val="-2"/>
          <w:sz w:val="24"/>
          <w:szCs w:val="24"/>
          <w:lang w:eastAsia="en-US"/>
        </w:rPr>
        <w:t>динното прилагане на правилата относно защитата на личните данни в ЕС и гарантиране</w:t>
      </w:r>
      <w:r w:rsidR="00E05A44" w:rsidRPr="007404FA">
        <w:rPr>
          <w:rFonts w:ascii="Times New Roman" w:eastAsia="Times New Roman" w:hAnsi="Times New Roman" w:cs="Times New Roman"/>
          <w:spacing w:val="-2"/>
          <w:sz w:val="24"/>
          <w:szCs w:val="24"/>
          <w:lang w:eastAsia="en-US"/>
        </w:rPr>
        <w:t>то</w:t>
      </w:r>
      <w:r w:rsidRPr="007404FA">
        <w:rPr>
          <w:rFonts w:ascii="Times New Roman" w:eastAsia="Times New Roman" w:hAnsi="Times New Roman" w:cs="Times New Roman"/>
          <w:spacing w:val="-2"/>
          <w:sz w:val="24"/>
          <w:szCs w:val="24"/>
          <w:lang w:eastAsia="en-US"/>
        </w:rPr>
        <w:t xml:space="preserve"> на еднакво високо ниво на защита на физическите лица налагат продължаване на засиленото сътрудничество между </w:t>
      </w:r>
      <w:r w:rsidR="00817D0B" w:rsidRPr="007404FA">
        <w:rPr>
          <w:rFonts w:ascii="Times New Roman" w:eastAsia="Times New Roman" w:hAnsi="Times New Roman" w:cs="Times New Roman"/>
          <w:spacing w:val="-2"/>
          <w:sz w:val="24"/>
          <w:szCs w:val="24"/>
          <w:lang w:eastAsia="en-US"/>
        </w:rPr>
        <w:t>надзорните органи</w:t>
      </w:r>
      <w:r w:rsidRPr="007404FA">
        <w:rPr>
          <w:rFonts w:ascii="Times New Roman" w:eastAsia="Times New Roman" w:hAnsi="Times New Roman" w:cs="Times New Roman"/>
          <w:spacing w:val="-2"/>
          <w:sz w:val="24"/>
          <w:szCs w:val="24"/>
          <w:lang w:eastAsia="en-US"/>
        </w:rPr>
        <w:t xml:space="preserve"> и надграждането му с добри практики от </w:t>
      </w:r>
      <w:r w:rsidR="00817D0B" w:rsidRPr="007404FA">
        <w:rPr>
          <w:rFonts w:ascii="Times New Roman" w:eastAsia="Times New Roman" w:hAnsi="Times New Roman" w:cs="Times New Roman"/>
          <w:spacing w:val="-2"/>
          <w:sz w:val="24"/>
          <w:szCs w:val="24"/>
          <w:lang w:eastAsia="en-US"/>
        </w:rPr>
        <w:t>тяхната превантивна</w:t>
      </w:r>
      <w:r w:rsidRPr="007404FA">
        <w:rPr>
          <w:rFonts w:ascii="Times New Roman" w:eastAsia="Times New Roman" w:hAnsi="Times New Roman" w:cs="Times New Roman"/>
          <w:spacing w:val="-2"/>
          <w:sz w:val="24"/>
          <w:szCs w:val="24"/>
          <w:lang w:eastAsia="en-US"/>
        </w:rPr>
        <w:t xml:space="preserve"> и </w:t>
      </w:r>
      <w:r w:rsidR="00817D0B" w:rsidRPr="007404FA">
        <w:rPr>
          <w:rFonts w:ascii="Times New Roman" w:eastAsia="Times New Roman" w:hAnsi="Times New Roman" w:cs="Times New Roman"/>
          <w:spacing w:val="-2"/>
          <w:sz w:val="24"/>
          <w:szCs w:val="24"/>
          <w:lang w:eastAsia="en-US"/>
        </w:rPr>
        <w:t>надзорна</w:t>
      </w:r>
      <w:r w:rsidRPr="007404FA">
        <w:rPr>
          <w:rFonts w:ascii="Times New Roman" w:eastAsia="Times New Roman" w:hAnsi="Times New Roman" w:cs="Times New Roman"/>
          <w:spacing w:val="-2"/>
          <w:sz w:val="24"/>
          <w:szCs w:val="24"/>
          <w:lang w:eastAsia="en-US"/>
        </w:rPr>
        <w:t xml:space="preserve"> дейност. Комисията счита, че въвеждането на единни политики в областта на защита на личните</w:t>
      </w:r>
      <w:r w:rsidR="00817D0B" w:rsidRPr="007404FA">
        <w:rPr>
          <w:rFonts w:ascii="Times New Roman" w:eastAsia="Times New Roman" w:hAnsi="Times New Roman" w:cs="Times New Roman"/>
          <w:spacing w:val="-2"/>
          <w:sz w:val="24"/>
          <w:szCs w:val="24"/>
          <w:lang w:eastAsia="en-US"/>
        </w:rPr>
        <w:t xml:space="preserve"> данни</w:t>
      </w:r>
      <w:r w:rsidRPr="007404FA">
        <w:rPr>
          <w:rFonts w:ascii="Times New Roman" w:eastAsia="Times New Roman" w:hAnsi="Times New Roman" w:cs="Times New Roman"/>
          <w:spacing w:val="-2"/>
          <w:sz w:val="24"/>
          <w:szCs w:val="24"/>
          <w:lang w:eastAsia="en-US"/>
        </w:rPr>
        <w:t xml:space="preserve"> на територията на ЕС </w:t>
      </w:r>
      <w:r w:rsidR="00D47290" w:rsidRPr="007404FA">
        <w:rPr>
          <w:rFonts w:ascii="Times New Roman" w:eastAsia="Times New Roman" w:hAnsi="Times New Roman" w:cs="Times New Roman"/>
          <w:spacing w:val="-2"/>
          <w:sz w:val="24"/>
          <w:szCs w:val="24"/>
          <w:lang w:eastAsia="en-US"/>
        </w:rPr>
        <w:t xml:space="preserve">и </w:t>
      </w:r>
      <w:r w:rsidRPr="007404FA">
        <w:rPr>
          <w:rFonts w:ascii="Times New Roman" w:eastAsia="Times New Roman" w:hAnsi="Times New Roman" w:cs="Times New Roman"/>
          <w:spacing w:val="-2"/>
          <w:sz w:val="24"/>
          <w:szCs w:val="24"/>
          <w:lang w:eastAsia="en-US"/>
        </w:rPr>
        <w:t>уеднакв</w:t>
      </w:r>
      <w:r w:rsidR="00D47290" w:rsidRPr="007404FA">
        <w:rPr>
          <w:rFonts w:ascii="Times New Roman" w:eastAsia="Times New Roman" w:hAnsi="Times New Roman" w:cs="Times New Roman"/>
          <w:spacing w:val="-2"/>
          <w:sz w:val="24"/>
          <w:szCs w:val="24"/>
          <w:lang w:eastAsia="en-US"/>
        </w:rPr>
        <w:t>ено</w:t>
      </w:r>
      <w:r w:rsidR="00817D0B" w:rsidRPr="007404FA">
        <w:rPr>
          <w:rFonts w:ascii="Times New Roman" w:eastAsia="Times New Roman" w:hAnsi="Times New Roman" w:cs="Times New Roman"/>
          <w:spacing w:val="-2"/>
          <w:sz w:val="24"/>
          <w:szCs w:val="24"/>
          <w:lang w:eastAsia="en-US"/>
        </w:rPr>
        <w:t>то</w:t>
      </w:r>
      <w:r w:rsidR="00D47290" w:rsidRPr="007404FA">
        <w:rPr>
          <w:rFonts w:ascii="Times New Roman" w:eastAsia="Times New Roman" w:hAnsi="Times New Roman" w:cs="Times New Roman"/>
          <w:spacing w:val="-2"/>
          <w:sz w:val="24"/>
          <w:szCs w:val="24"/>
          <w:lang w:eastAsia="en-US"/>
        </w:rPr>
        <w:t xml:space="preserve"> </w:t>
      </w:r>
      <w:r w:rsidRPr="007404FA">
        <w:rPr>
          <w:rFonts w:ascii="Times New Roman" w:eastAsia="Times New Roman" w:hAnsi="Times New Roman" w:cs="Times New Roman"/>
          <w:spacing w:val="-2"/>
          <w:sz w:val="24"/>
          <w:szCs w:val="24"/>
          <w:lang w:eastAsia="en-US"/>
        </w:rPr>
        <w:t>тълку</w:t>
      </w:r>
      <w:r w:rsidR="00D47290" w:rsidRPr="007404FA">
        <w:rPr>
          <w:rFonts w:ascii="Times New Roman" w:eastAsia="Times New Roman" w:hAnsi="Times New Roman" w:cs="Times New Roman"/>
          <w:spacing w:val="-2"/>
          <w:sz w:val="24"/>
          <w:szCs w:val="24"/>
          <w:lang w:eastAsia="en-US"/>
        </w:rPr>
        <w:t>ване</w:t>
      </w:r>
      <w:r w:rsidRPr="007404FA">
        <w:rPr>
          <w:rFonts w:ascii="Times New Roman" w:eastAsia="Times New Roman" w:hAnsi="Times New Roman" w:cs="Times New Roman"/>
          <w:spacing w:val="-2"/>
          <w:sz w:val="24"/>
          <w:szCs w:val="24"/>
          <w:lang w:eastAsia="en-US"/>
        </w:rPr>
        <w:t xml:space="preserve"> на </w:t>
      </w:r>
      <w:r w:rsidR="00817D0B" w:rsidRPr="007404FA">
        <w:rPr>
          <w:rFonts w:ascii="Times New Roman" w:eastAsia="Times New Roman" w:hAnsi="Times New Roman" w:cs="Times New Roman"/>
          <w:spacing w:val="-2"/>
          <w:sz w:val="24"/>
          <w:szCs w:val="24"/>
          <w:lang w:eastAsia="en-US"/>
        </w:rPr>
        <w:t xml:space="preserve">европейската </w:t>
      </w:r>
      <w:r w:rsidRPr="007404FA">
        <w:rPr>
          <w:rFonts w:ascii="Times New Roman" w:eastAsia="Times New Roman" w:hAnsi="Times New Roman" w:cs="Times New Roman"/>
          <w:spacing w:val="-2"/>
          <w:sz w:val="24"/>
          <w:szCs w:val="24"/>
          <w:lang w:eastAsia="en-US"/>
        </w:rPr>
        <w:t xml:space="preserve">правна рамка </w:t>
      </w:r>
      <w:r w:rsidR="00D47290" w:rsidRPr="007404FA">
        <w:rPr>
          <w:rFonts w:ascii="Times New Roman" w:eastAsia="Times New Roman" w:hAnsi="Times New Roman" w:cs="Times New Roman"/>
          <w:spacing w:val="-2"/>
          <w:sz w:val="24"/>
          <w:szCs w:val="24"/>
          <w:lang w:eastAsia="en-US"/>
        </w:rPr>
        <w:t>могат да бъдат постигнати</w:t>
      </w:r>
      <w:r w:rsidR="00817D0B" w:rsidRPr="007404FA">
        <w:rPr>
          <w:rFonts w:ascii="Times New Roman" w:eastAsia="Times New Roman" w:hAnsi="Times New Roman" w:cs="Times New Roman"/>
          <w:spacing w:val="-2"/>
          <w:sz w:val="24"/>
          <w:szCs w:val="24"/>
          <w:lang w:eastAsia="en-US"/>
        </w:rPr>
        <w:t xml:space="preserve"> само</w:t>
      </w:r>
      <w:r w:rsidR="00D47290" w:rsidRPr="007404FA">
        <w:rPr>
          <w:rFonts w:ascii="Times New Roman" w:eastAsia="Times New Roman" w:hAnsi="Times New Roman" w:cs="Times New Roman"/>
          <w:spacing w:val="-2"/>
          <w:sz w:val="24"/>
          <w:szCs w:val="24"/>
          <w:lang w:eastAsia="en-US"/>
        </w:rPr>
        <w:t xml:space="preserve"> ако всеки надзорен орган допринася за постигане на тези цели. Затова през следващия отчетен период КЗЛД си поставя за приоритет в трансграничен контекст засиленото сътрудничество с надзорните органи, вкл. чрез практическа реализация на правомощието за извършване на съвместни </w:t>
      </w:r>
      <w:r w:rsidR="00FA2210" w:rsidRPr="007404FA">
        <w:rPr>
          <w:rFonts w:ascii="Times New Roman" w:eastAsia="Times New Roman" w:hAnsi="Times New Roman" w:cs="Times New Roman"/>
          <w:spacing w:val="-2"/>
          <w:sz w:val="24"/>
          <w:szCs w:val="24"/>
          <w:lang w:eastAsia="en-US"/>
        </w:rPr>
        <w:t>операции</w:t>
      </w:r>
      <w:r w:rsidR="002D333C" w:rsidRPr="007404FA">
        <w:rPr>
          <w:rFonts w:ascii="Times New Roman" w:eastAsia="Times New Roman" w:hAnsi="Times New Roman" w:cs="Times New Roman"/>
          <w:spacing w:val="-2"/>
          <w:sz w:val="24"/>
          <w:szCs w:val="24"/>
          <w:lang w:eastAsia="en-US"/>
        </w:rPr>
        <w:t>, вкл. съвместни разследвания</w:t>
      </w:r>
      <w:r w:rsidR="00D47290" w:rsidRPr="007404FA">
        <w:rPr>
          <w:rFonts w:ascii="Times New Roman" w:eastAsia="Times New Roman" w:hAnsi="Times New Roman" w:cs="Times New Roman"/>
          <w:spacing w:val="-2"/>
          <w:sz w:val="24"/>
          <w:szCs w:val="24"/>
          <w:lang w:eastAsia="en-US"/>
        </w:rPr>
        <w:t xml:space="preserve">. </w:t>
      </w:r>
      <w:r w:rsidR="00FA2210" w:rsidRPr="007404FA">
        <w:rPr>
          <w:rFonts w:ascii="Times New Roman" w:eastAsia="Times New Roman" w:hAnsi="Times New Roman" w:cs="Times New Roman"/>
          <w:spacing w:val="-2"/>
          <w:sz w:val="24"/>
          <w:szCs w:val="24"/>
          <w:lang w:eastAsia="en-US"/>
        </w:rPr>
        <w:t xml:space="preserve">Този подход следва да се прилага и </w:t>
      </w:r>
      <w:r w:rsidR="002B443D" w:rsidRPr="007404FA">
        <w:rPr>
          <w:rFonts w:ascii="Times New Roman" w:eastAsia="Times New Roman" w:hAnsi="Times New Roman" w:cs="Times New Roman"/>
          <w:spacing w:val="-2"/>
          <w:sz w:val="24"/>
          <w:szCs w:val="24"/>
          <w:lang w:eastAsia="en-US"/>
        </w:rPr>
        <w:t xml:space="preserve">в </w:t>
      </w:r>
      <w:r w:rsidR="00FA2210" w:rsidRPr="007404FA">
        <w:rPr>
          <w:rFonts w:ascii="Times New Roman" w:eastAsia="Times New Roman" w:hAnsi="Times New Roman" w:cs="Times New Roman"/>
          <w:spacing w:val="-2"/>
          <w:sz w:val="24"/>
          <w:szCs w:val="24"/>
          <w:lang w:eastAsia="en-US"/>
        </w:rPr>
        <w:t xml:space="preserve">по-широк, международен контекст чрез участието във водещи международни формати. </w:t>
      </w:r>
    </w:p>
    <w:p w:rsidR="009D4A6F" w:rsidRPr="007404FA" w:rsidRDefault="009D4A6F" w:rsidP="00DB6B05">
      <w:pPr>
        <w:spacing w:line="259" w:lineRule="auto"/>
        <w:rPr>
          <w:rFonts w:ascii="Times New Roman" w:eastAsia="Times New Roman" w:hAnsi="Times New Roman" w:cs="Times New Roman"/>
          <w:b/>
          <w:sz w:val="24"/>
          <w:szCs w:val="24"/>
        </w:rPr>
      </w:pPr>
      <w:r w:rsidRPr="007404FA">
        <w:rPr>
          <w:rFonts w:ascii="Times New Roman" w:eastAsia="Times New Roman" w:hAnsi="Times New Roman" w:cs="Times New Roman"/>
          <w:b/>
          <w:sz w:val="24"/>
          <w:szCs w:val="24"/>
        </w:rPr>
        <w:br w:type="page"/>
      </w:r>
    </w:p>
    <w:p w:rsidR="00C925FF" w:rsidRPr="007404FA" w:rsidRDefault="00C925FF" w:rsidP="00DB6B05">
      <w:pPr>
        <w:spacing w:line="259" w:lineRule="auto"/>
        <w:rPr>
          <w:rFonts w:ascii="Times New Roman" w:eastAsia="Times New Roman" w:hAnsi="Times New Roman" w:cs="Times New Roman"/>
          <w:b/>
          <w:sz w:val="24"/>
          <w:szCs w:val="24"/>
        </w:rPr>
      </w:pPr>
    </w:p>
    <w:p w:rsidR="00C925FF" w:rsidRPr="007404FA" w:rsidRDefault="00C925FF" w:rsidP="00DB6B05">
      <w:pPr>
        <w:spacing w:line="259" w:lineRule="auto"/>
        <w:rPr>
          <w:rFonts w:ascii="Times New Roman" w:eastAsia="Times New Roman" w:hAnsi="Times New Roman" w:cs="Times New Roman"/>
          <w:b/>
          <w:sz w:val="24"/>
          <w:szCs w:val="24"/>
        </w:rPr>
      </w:pPr>
    </w:p>
    <w:p w:rsidR="00E42714" w:rsidRPr="007404FA" w:rsidRDefault="00E42714" w:rsidP="00DB6B05">
      <w:pPr>
        <w:tabs>
          <w:tab w:val="left" w:pos="708"/>
        </w:tabs>
        <w:spacing w:line="360" w:lineRule="auto"/>
        <w:ind w:firstLine="709"/>
        <w:jc w:val="both"/>
        <w:rPr>
          <w:rFonts w:ascii="Times New Roman" w:hAnsi="Times New Roman" w:cs="Times New Roman"/>
          <w:sz w:val="24"/>
          <w:szCs w:val="24"/>
        </w:rPr>
      </w:pPr>
      <w:r w:rsidRPr="007404FA">
        <w:rPr>
          <w:rFonts w:ascii="Times New Roman" w:hAnsi="Times New Roman"/>
          <w:b/>
          <w:bCs/>
          <w:sz w:val="28"/>
          <w:szCs w:val="28"/>
        </w:rPr>
        <w:t>Годишният отчет на Комисията за защита на личните данни за дейността ѝ през 2022</w:t>
      </w:r>
      <w:r w:rsidR="00F06583" w:rsidRPr="007404FA">
        <w:rPr>
          <w:rFonts w:ascii="Times New Roman" w:hAnsi="Times New Roman"/>
          <w:b/>
          <w:bCs/>
          <w:sz w:val="28"/>
          <w:szCs w:val="28"/>
        </w:rPr>
        <w:t> г.</w:t>
      </w:r>
      <w:r w:rsidRPr="007404FA">
        <w:rPr>
          <w:rFonts w:ascii="Times New Roman" w:hAnsi="Times New Roman"/>
          <w:b/>
          <w:bCs/>
          <w:sz w:val="28"/>
          <w:szCs w:val="28"/>
        </w:rPr>
        <w:t xml:space="preserve"> е приет с решение на Комисията на заседание, проведено на </w:t>
      </w:r>
      <w:r w:rsidR="008F52D2">
        <w:rPr>
          <w:rFonts w:ascii="Times New Roman" w:hAnsi="Times New Roman"/>
          <w:b/>
          <w:bCs/>
          <w:sz w:val="28"/>
          <w:szCs w:val="28"/>
        </w:rPr>
        <w:t>29</w:t>
      </w:r>
      <w:r w:rsidRPr="007404FA">
        <w:rPr>
          <w:rFonts w:ascii="Times New Roman" w:hAnsi="Times New Roman"/>
          <w:b/>
          <w:bCs/>
          <w:sz w:val="28"/>
          <w:szCs w:val="28"/>
        </w:rPr>
        <w:t>.03.2023</w:t>
      </w:r>
      <w:r w:rsidR="00F06583" w:rsidRPr="007404FA">
        <w:rPr>
          <w:rFonts w:ascii="Times New Roman" w:hAnsi="Times New Roman"/>
          <w:b/>
          <w:bCs/>
          <w:sz w:val="28"/>
          <w:szCs w:val="28"/>
        </w:rPr>
        <w:t> г.</w:t>
      </w:r>
      <w:r w:rsidRPr="007404FA">
        <w:rPr>
          <w:rFonts w:ascii="Times New Roman" w:hAnsi="Times New Roman"/>
          <w:b/>
          <w:bCs/>
          <w:sz w:val="28"/>
          <w:szCs w:val="28"/>
        </w:rPr>
        <w:t xml:space="preserve"> (Протокол № </w:t>
      </w:r>
      <w:r w:rsidR="00FD3AD4">
        <w:rPr>
          <w:rFonts w:ascii="Times New Roman" w:hAnsi="Times New Roman"/>
          <w:b/>
          <w:bCs/>
          <w:sz w:val="28"/>
          <w:szCs w:val="28"/>
        </w:rPr>
        <w:t>10</w:t>
      </w:r>
      <w:r w:rsidRPr="007404FA">
        <w:rPr>
          <w:rFonts w:ascii="Times New Roman" w:hAnsi="Times New Roman"/>
          <w:b/>
          <w:bCs/>
          <w:sz w:val="28"/>
          <w:szCs w:val="28"/>
        </w:rPr>
        <w:t>).</w:t>
      </w:r>
    </w:p>
    <w:p w:rsidR="002E1D66" w:rsidRPr="007404FA" w:rsidRDefault="002E1D66" w:rsidP="00DB6B05">
      <w:pPr>
        <w:spacing w:line="360" w:lineRule="auto"/>
        <w:ind w:firstLine="709"/>
        <w:jc w:val="both"/>
      </w:pPr>
    </w:p>
    <w:p w:rsidR="009D4A6F" w:rsidRPr="007404FA" w:rsidRDefault="009D4A6F" w:rsidP="00DB6B05">
      <w:pPr>
        <w:tabs>
          <w:tab w:val="left" w:pos="708"/>
        </w:tabs>
        <w:spacing w:line="360" w:lineRule="auto"/>
        <w:ind w:firstLine="720"/>
        <w:jc w:val="both"/>
        <w:rPr>
          <w:rFonts w:ascii="Times New Roman" w:hAnsi="Times New Roman"/>
          <w:b/>
          <w:bCs/>
          <w:sz w:val="28"/>
          <w:szCs w:val="28"/>
        </w:rPr>
      </w:pPr>
    </w:p>
    <w:p w:rsidR="009D4A6F" w:rsidRPr="007404FA" w:rsidRDefault="009D4A6F" w:rsidP="00DB6B05">
      <w:pPr>
        <w:tabs>
          <w:tab w:val="left" w:pos="5245"/>
        </w:tabs>
        <w:spacing w:line="360" w:lineRule="auto"/>
        <w:ind w:firstLine="720"/>
        <w:jc w:val="both"/>
        <w:rPr>
          <w:rFonts w:ascii="Times New Roman" w:hAnsi="Times New Roman"/>
          <w:b/>
          <w:sz w:val="28"/>
          <w:szCs w:val="28"/>
        </w:rPr>
      </w:pPr>
      <w:r w:rsidRPr="007404FA">
        <w:rPr>
          <w:rFonts w:ascii="Times New Roman" w:hAnsi="Times New Roman"/>
          <w:b/>
          <w:sz w:val="28"/>
          <w:szCs w:val="28"/>
        </w:rPr>
        <w:t>ПРЕДСЕДАТЕЛ:</w:t>
      </w:r>
      <w:r w:rsidRPr="007404FA">
        <w:rPr>
          <w:rFonts w:ascii="Times New Roman" w:hAnsi="Times New Roman"/>
          <w:b/>
          <w:sz w:val="28"/>
          <w:szCs w:val="28"/>
        </w:rPr>
        <w:tab/>
        <w:t>ЧЛЕНОВЕ:</w:t>
      </w:r>
    </w:p>
    <w:p w:rsidR="009D4A6F" w:rsidRPr="007404FA" w:rsidRDefault="009D4A6F" w:rsidP="00DB6B05">
      <w:pPr>
        <w:tabs>
          <w:tab w:val="left" w:pos="1276"/>
          <w:tab w:val="left" w:pos="5812"/>
        </w:tabs>
        <w:spacing w:line="360" w:lineRule="auto"/>
        <w:ind w:firstLine="720"/>
        <w:jc w:val="both"/>
        <w:rPr>
          <w:rFonts w:ascii="Times New Roman" w:hAnsi="Times New Roman"/>
          <w:b/>
          <w:sz w:val="28"/>
          <w:szCs w:val="28"/>
        </w:rPr>
      </w:pPr>
      <w:r w:rsidRPr="007404FA">
        <w:rPr>
          <w:rFonts w:ascii="Times New Roman" w:hAnsi="Times New Roman"/>
          <w:b/>
          <w:sz w:val="28"/>
          <w:szCs w:val="28"/>
        </w:rPr>
        <w:tab/>
        <w:t xml:space="preserve">Венцислав Караджов </w:t>
      </w:r>
      <w:r w:rsidR="00027081">
        <w:rPr>
          <w:rFonts w:ascii="Times New Roman" w:hAnsi="Times New Roman"/>
          <w:b/>
          <w:sz w:val="28"/>
          <w:szCs w:val="28"/>
          <w:lang w:val="en-US"/>
        </w:rPr>
        <w:t xml:space="preserve"> /</w:t>
      </w:r>
      <w:r w:rsidR="00027081">
        <w:rPr>
          <w:rFonts w:ascii="Times New Roman" w:hAnsi="Times New Roman"/>
          <w:b/>
          <w:sz w:val="28"/>
          <w:szCs w:val="28"/>
        </w:rPr>
        <w:t>П/</w:t>
      </w:r>
      <w:r w:rsidRPr="007404FA">
        <w:rPr>
          <w:rFonts w:ascii="Times New Roman" w:hAnsi="Times New Roman"/>
          <w:b/>
          <w:sz w:val="28"/>
          <w:szCs w:val="28"/>
        </w:rPr>
        <w:tab/>
      </w:r>
      <w:r w:rsidRPr="007404FA">
        <w:rPr>
          <w:rFonts w:ascii="Times New Roman" w:hAnsi="Times New Roman"/>
          <w:b/>
          <w:sz w:val="28"/>
          <w:szCs w:val="28"/>
        </w:rPr>
        <w:tab/>
        <w:t xml:space="preserve">Цанко Цолов </w:t>
      </w:r>
      <w:r w:rsidR="00027081">
        <w:rPr>
          <w:rFonts w:ascii="Times New Roman" w:hAnsi="Times New Roman"/>
          <w:b/>
          <w:sz w:val="28"/>
          <w:szCs w:val="28"/>
        </w:rPr>
        <w:t xml:space="preserve">      /П/</w:t>
      </w:r>
    </w:p>
    <w:p w:rsidR="009D4A6F" w:rsidRPr="007404FA" w:rsidRDefault="009D4A6F" w:rsidP="00DB6B05">
      <w:pPr>
        <w:tabs>
          <w:tab w:val="left" w:pos="1276"/>
          <w:tab w:val="left" w:pos="6379"/>
        </w:tabs>
        <w:spacing w:line="360" w:lineRule="auto"/>
        <w:ind w:firstLine="720"/>
        <w:jc w:val="both"/>
        <w:rPr>
          <w:rFonts w:ascii="Times New Roman" w:hAnsi="Times New Roman"/>
          <w:b/>
          <w:sz w:val="28"/>
          <w:szCs w:val="28"/>
        </w:rPr>
      </w:pPr>
      <w:r w:rsidRPr="007404FA">
        <w:rPr>
          <w:rFonts w:ascii="Times New Roman" w:hAnsi="Times New Roman"/>
          <w:b/>
          <w:sz w:val="28"/>
          <w:szCs w:val="28"/>
        </w:rPr>
        <w:tab/>
      </w:r>
      <w:r w:rsidRPr="007404FA">
        <w:rPr>
          <w:rFonts w:ascii="Times New Roman" w:hAnsi="Times New Roman"/>
          <w:b/>
          <w:sz w:val="28"/>
          <w:szCs w:val="28"/>
        </w:rPr>
        <w:tab/>
        <w:t xml:space="preserve">Мария Матева </w:t>
      </w:r>
      <w:r w:rsidR="00027081">
        <w:rPr>
          <w:rFonts w:ascii="Times New Roman" w:hAnsi="Times New Roman"/>
          <w:b/>
          <w:sz w:val="28"/>
          <w:szCs w:val="28"/>
        </w:rPr>
        <w:t xml:space="preserve">   /П/</w:t>
      </w:r>
    </w:p>
    <w:p w:rsidR="009D4A6F" w:rsidRPr="007404FA" w:rsidRDefault="009D4A6F" w:rsidP="00DB6B05">
      <w:pPr>
        <w:spacing w:line="360" w:lineRule="auto"/>
        <w:ind w:left="5760" w:firstLine="619"/>
        <w:jc w:val="both"/>
        <w:rPr>
          <w:rFonts w:ascii="Times New Roman" w:hAnsi="Times New Roman"/>
          <w:sz w:val="28"/>
          <w:szCs w:val="28"/>
        </w:rPr>
      </w:pPr>
      <w:r w:rsidRPr="007404FA">
        <w:rPr>
          <w:rFonts w:ascii="Times New Roman" w:hAnsi="Times New Roman"/>
          <w:b/>
          <w:sz w:val="28"/>
          <w:szCs w:val="28"/>
        </w:rPr>
        <w:t>Веселин Целков</w:t>
      </w:r>
      <w:r w:rsidR="00027081">
        <w:rPr>
          <w:rFonts w:ascii="Times New Roman" w:hAnsi="Times New Roman"/>
          <w:b/>
          <w:sz w:val="28"/>
          <w:szCs w:val="28"/>
        </w:rPr>
        <w:t xml:space="preserve"> </w:t>
      </w:r>
      <w:bookmarkStart w:id="12" w:name="_GoBack"/>
      <w:bookmarkEnd w:id="12"/>
      <w:r w:rsidRPr="007404FA">
        <w:rPr>
          <w:rFonts w:ascii="Times New Roman" w:hAnsi="Times New Roman"/>
          <w:b/>
          <w:sz w:val="28"/>
          <w:szCs w:val="28"/>
        </w:rPr>
        <w:t xml:space="preserve"> </w:t>
      </w:r>
      <w:r w:rsidR="00027081">
        <w:rPr>
          <w:rFonts w:ascii="Times New Roman" w:hAnsi="Times New Roman"/>
          <w:b/>
          <w:sz w:val="28"/>
          <w:szCs w:val="28"/>
        </w:rPr>
        <w:t>/П/</w:t>
      </w:r>
    </w:p>
    <w:p w:rsidR="009D4A6F" w:rsidRPr="007404FA" w:rsidRDefault="009D4A6F" w:rsidP="00DB6B05">
      <w:pPr>
        <w:spacing w:line="360" w:lineRule="auto"/>
        <w:ind w:firstLine="709"/>
        <w:jc w:val="both"/>
      </w:pPr>
    </w:p>
    <w:sectPr w:rsidR="009D4A6F" w:rsidRPr="007404FA" w:rsidSect="00161D94">
      <w:footerReference w:type="default" r:id="rId27"/>
      <w:footnotePr>
        <w:numRestart w:val="eachPage"/>
      </w:footnotePr>
      <w:pgSz w:w="11907" w:h="16840" w:code="9"/>
      <w:pgMar w:top="1418" w:right="1134" w:bottom="709" w:left="1418" w:header="709"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DC1" w:rsidRDefault="00F46DC1">
      <w:r>
        <w:separator/>
      </w:r>
    </w:p>
  </w:endnote>
  <w:endnote w:type="continuationSeparator" w:id="0">
    <w:p w:rsidR="00F46DC1" w:rsidRDefault="00F4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272" w:rsidRPr="004622D0" w:rsidRDefault="00765272" w:rsidP="0061415E">
    <w:pPr>
      <w:pStyle w:val="Footer"/>
      <w:jc w:val="right"/>
      <w:rPr>
        <w:rFonts w:ascii="Times New Roman" w:hAnsi="Times New Roman"/>
        <w:sz w:val="24"/>
        <w:szCs w:val="24"/>
      </w:rPr>
    </w:pPr>
    <w:r w:rsidRPr="007D38A3">
      <w:rPr>
        <w:rFonts w:ascii="Times New Roman" w:hAnsi="Times New Roman"/>
        <w:sz w:val="24"/>
        <w:szCs w:val="24"/>
      </w:rPr>
      <w:fldChar w:fldCharType="begin"/>
    </w:r>
    <w:r w:rsidRPr="007D38A3">
      <w:rPr>
        <w:rFonts w:ascii="Times New Roman" w:hAnsi="Times New Roman"/>
        <w:sz w:val="24"/>
        <w:szCs w:val="24"/>
      </w:rPr>
      <w:instrText xml:space="preserve"> PAGE   \* MERGEFORMAT </w:instrText>
    </w:r>
    <w:r w:rsidRPr="007D38A3">
      <w:rPr>
        <w:rFonts w:ascii="Times New Roman" w:hAnsi="Times New Roman"/>
        <w:sz w:val="24"/>
        <w:szCs w:val="24"/>
      </w:rPr>
      <w:fldChar w:fldCharType="separate"/>
    </w:r>
    <w:r w:rsidR="005476A2">
      <w:rPr>
        <w:rFonts w:ascii="Times New Roman" w:hAnsi="Times New Roman"/>
        <w:noProof/>
        <w:sz w:val="24"/>
        <w:szCs w:val="24"/>
      </w:rPr>
      <w:t>148</w:t>
    </w:r>
    <w:r w:rsidRPr="007D38A3">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DC1" w:rsidRDefault="00F46DC1">
      <w:r>
        <w:separator/>
      </w:r>
    </w:p>
  </w:footnote>
  <w:footnote w:type="continuationSeparator" w:id="0">
    <w:p w:rsidR="00F46DC1" w:rsidRDefault="00F46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B4E"/>
    <w:multiLevelType w:val="hybridMultilevel"/>
    <w:tmpl w:val="67EEAC50"/>
    <w:lvl w:ilvl="0" w:tplc="04582782">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8D03D14"/>
    <w:multiLevelType w:val="hybridMultilevel"/>
    <w:tmpl w:val="C5D4FBC6"/>
    <w:lvl w:ilvl="0" w:tplc="F2EA7EC0">
      <w:start w:val="1"/>
      <w:numFmt w:val="bullet"/>
      <w:suff w:val="space"/>
      <w:lvlText w:val=""/>
      <w:lvlJc w:val="left"/>
      <w:pPr>
        <w:ind w:left="1429" w:hanging="360"/>
      </w:pPr>
      <w:rPr>
        <w:rFonts w:ascii="Symbol" w:hAnsi="Symbol" w:hint="default"/>
      </w:rPr>
    </w:lvl>
    <w:lvl w:ilvl="1" w:tplc="E1A2B1EE">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A271F0C"/>
    <w:multiLevelType w:val="hybridMultilevel"/>
    <w:tmpl w:val="85EE807C"/>
    <w:lvl w:ilvl="0" w:tplc="EBF00FF2">
      <w:start w:val="1"/>
      <w:numFmt w:val="bullet"/>
      <w:suff w:val="space"/>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DBD2BD7"/>
    <w:multiLevelType w:val="hybridMultilevel"/>
    <w:tmpl w:val="08D63466"/>
    <w:lvl w:ilvl="0" w:tplc="423C6786">
      <w:start w:val="1"/>
      <w:numFmt w:val="bullet"/>
      <w:suff w:val="space"/>
      <w:lvlText w:val=""/>
      <w:lvlJc w:val="left"/>
      <w:pPr>
        <w:ind w:left="1429"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EC686B"/>
    <w:multiLevelType w:val="hybridMultilevel"/>
    <w:tmpl w:val="9B940162"/>
    <w:lvl w:ilvl="0" w:tplc="B55E6574">
      <w:start w:val="1"/>
      <w:numFmt w:val="decimal"/>
      <w:suff w:val="space"/>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5551E75"/>
    <w:multiLevelType w:val="hybridMultilevel"/>
    <w:tmpl w:val="0DEC5ED2"/>
    <w:lvl w:ilvl="0" w:tplc="568495CC">
      <w:start w:val="1"/>
      <w:numFmt w:val="decimal"/>
      <w:suff w:val="space"/>
      <w:lvlText w:val="%1."/>
      <w:lvlJc w:val="left"/>
      <w:pPr>
        <w:ind w:left="927" w:hanging="360"/>
      </w:pPr>
      <w:rPr>
        <w:rFonts w:hint="default"/>
      </w:rPr>
    </w:lvl>
    <w:lvl w:ilvl="1" w:tplc="1D2EF8E6">
      <w:numFmt w:val="bullet"/>
      <w:lvlText w:val="-"/>
      <w:lvlJc w:val="left"/>
      <w:pPr>
        <w:ind w:left="2277" w:hanging="990"/>
      </w:pPr>
      <w:rPr>
        <w:rFonts w:ascii="Times New Roman" w:eastAsiaTheme="minorHAnsi" w:hAnsi="Times New Roman" w:cs="Times New Roman" w:hint="default"/>
      </w:r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15:restartNumberingAfterBreak="0">
    <w:nsid w:val="16ED32AB"/>
    <w:multiLevelType w:val="hybridMultilevel"/>
    <w:tmpl w:val="409A9F84"/>
    <w:lvl w:ilvl="0" w:tplc="00BEE434">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45432E"/>
    <w:multiLevelType w:val="hybridMultilevel"/>
    <w:tmpl w:val="7278081A"/>
    <w:lvl w:ilvl="0" w:tplc="A0DEFA4A">
      <w:start w:val="1"/>
      <w:numFmt w:val="bullet"/>
      <w:suff w:val="space"/>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A4A4254"/>
    <w:multiLevelType w:val="hybridMultilevel"/>
    <w:tmpl w:val="AFC4A6D6"/>
    <w:lvl w:ilvl="0" w:tplc="E1A2B1EE">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9" w15:restartNumberingAfterBreak="0">
    <w:nsid w:val="1E084DFC"/>
    <w:multiLevelType w:val="hybridMultilevel"/>
    <w:tmpl w:val="030AD02E"/>
    <w:lvl w:ilvl="0" w:tplc="957C6432">
      <w:start w:val="1"/>
      <w:numFmt w:val="bullet"/>
      <w:suff w:val="space"/>
      <w:lvlText w:val=""/>
      <w:lvlJc w:val="left"/>
      <w:pPr>
        <w:ind w:left="1440"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E6D0402"/>
    <w:multiLevelType w:val="hybridMultilevel"/>
    <w:tmpl w:val="16808032"/>
    <w:lvl w:ilvl="0" w:tplc="30B2AC72">
      <w:start w:val="1"/>
      <w:numFmt w:val="decimal"/>
      <w:suff w:val="space"/>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20BC1663"/>
    <w:multiLevelType w:val="hybridMultilevel"/>
    <w:tmpl w:val="32F6950C"/>
    <w:lvl w:ilvl="0" w:tplc="F5C090E6">
      <w:start w:val="1"/>
      <w:numFmt w:val="bullet"/>
      <w:suff w:val="space"/>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2C87870"/>
    <w:multiLevelType w:val="hybridMultilevel"/>
    <w:tmpl w:val="5C1C285C"/>
    <w:lvl w:ilvl="0" w:tplc="E1A2B1EE">
      <w:start w:val="1"/>
      <w:numFmt w:val="bullet"/>
      <w:lvlText w:val=""/>
      <w:lvlJc w:val="left"/>
      <w:pPr>
        <w:ind w:left="1429" w:hanging="360"/>
      </w:pPr>
      <w:rPr>
        <w:rFonts w:ascii="Symbol" w:hAnsi="Symbol" w:hint="default"/>
      </w:rPr>
    </w:lvl>
    <w:lvl w:ilvl="1" w:tplc="E1A2B1EE">
      <w:start w:val="1"/>
      <w:numFmt w:val="bullet"/>
      <w:lvlText w:val=""/>
      <w:lvlJc w:val="left"/>
      <w:pPr>
        <w:ind w:left="2149" w:hanging="360"/>
      </w:pPr>
      <w:rPr>
        <w:rFonts w:ascii="Symbol" w:hAnsi="Symbol" w:hint="default"/>
      </w:rPr>
    </w:lvl>
    <w:lvl w:ilvl="2" w:tplc="C1C400A0">
      <w:start w:val="1"/>
      <w:numFmt w:val="bullet"/>
      <w:suff w:val="space"/>
      <w:lvlText w:val=""/>
      <w:lvlJc w:val="left"/>
      <w:pPr>
        <w:ind w:left="2869" w:hanging="360"/>
      </w:pPr>
      <w:rPr>
        <w:rFonts w:ascii="Symbol" w:hAnsi="Symbol"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B813991"/>
    <w:multiLevelType w:val="hybridMultilevel"/>
    <w:tmpl w:val="80663406"/>
    <w:lvl w:ilvl="0" w:tplc="C3181D74">
      <w:start w:val="1"/>
      <w:numFmt w:val="bullet"/>
      <w:suff w:val="space"/>
      <w:lvlText w:val=""/>
      <w:lvlJc w:val="left"/>
      <w:pPr>
        <w:ind w:left="36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71F6A"/>
    <w:multiLevelType w:val="hybridMultilevel"/>
    <w:tmpl w:val="D1AA1734"/>
    <w:lvl w:ilvl="0" w:tplc="6368192E">
      <w:start w:val="1"/>
      <w:numFmt w:val="bullet"/>
      <w:suff w:val="space"/>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15:restartNumberingAfterBreak="0">
    <w:nsid w:val="3DD9745C"/>
    <w:multiLevelType w:val="hybridMultilevel"/>
    <w:tmpl w:val="0B889DAE"/>
    <w:lvl w:ilvl="0" w:tplc="B8149072">
      <w:start w:val="1"/>
      <w:numFmt w:val="bullet"/>
      <w:suff w:val="space"/>
      <w:lvlText w:val=""/>
      <w:lvlJc w:val="left"/>
      <w:pPr>
        <w:ind w:left="144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6" w15:restartNumberingAfterBreak="0">
    <w:nsid w:val="40F073E9"/>
    <w:multiLevelType w:val="hybridMultilevel"/>
    <w:tmpl w:val="052014A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82A0BA82">
      <w:start w:val="1"/>
      <w:numFmt w:val="bullet"/>
      <w:suff w:val="space"/>
      <w:lvlText w:val=""/>
      <w:lvlJc w:val="left"/>
      <w:pPr>
        <w:ind w:left="2869" w:hanging="360"/>
      </w:pPr>
      <w:rPr>
        <w:rFonts w:ascii="Symbol" w:hAnsi="Symbol"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2B25F20"/>
    <w:multiLevelType w:val="hybridMultilevel"/>
    <w:tmpl w:val="6FE8B652"/>
    <w:lvl w:ilvl="0" w:tplc="E1A2B1EE">
      <w:start w:val="1"/>
      <w:numFmt w:val="bullet"/>
      <w:lvlText w:val=""/>
      <w:lvlJc w:val="left"/>
      <w:pPr>
        <w:ind w:left="360" w:hanging="360"/>
      </w:pPr>
      <w:rPr>
        <w:rFonts w:ascii="Symbol" w:hAnsi="Symbol" w:hint="default"/>
      </w:rPr>
    </w:lvl>
    <w:lvl w:ilvl="1" w:tplc="0BD442AA">
      <w:numFmt w:val="bullet"/>
      <w:lvlText w:val="•"/>
      <w:lvlJc w:val="left"/>
      <w:pPr>
        <w:ind w:left="1080" w:hanging="360"/>
      </w:pPr>
      <w:rPr>
        <w:rFonts w:ascii="Times New Roman" w:eastAsiaTheme="minorHAnsi" w:hAnsi="Times New Roman" w:cs="Times New Roman" w:hint="default"/>
      </w:rPr>
    </w:lvl>
    <w:lvl w:ilvl="2" w:tplc="8062B580">
      <w:start w:val="1"/>
      <w:numFmt w:val="bullet"/>
      <w:suff w:val="space"/>
      <w:lvlText w:val=""/>
      <w:lvlJc w:val="left"/>
      <w:pPr>
        <w:ind w:left="2869"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037F76"/>
    <w:multiLevelType w:val="hybridMultilevel"/>
    <w:tmpl w:val="4882256A"/>
    <w:lvl w:ilvl="0" w:tplc="73E6CCC0">
      <w:start w:val="1"/>
      <w:numFmt w:val="bullet"/>
      <w:suff w:val="space"/>
      <w:lvlText w:val=""/>
      <w:lvlJc w:val="left"/>
      <w:pPr>
        <w:ind w:left="144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3AC72EE"/>
    <w:multiLevelType w:val="hybridMultilevel"/>
    <w:tmpl w:val="CEAC3554"/>
    <w:lvl w:ilvl="0" w:tplc="CF3E05B6">
      <w:start w:val="1"/>
      <w:numFmt w:val="bullet"/>
      <w:suff w:val="space"/>
      <w:lvlText w:val=""/>
      <w:lvlJc w:val="left"/>
      <w:pPr>
        <w:ind w:left="1429"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9DF3B8C"/>
    <w:multiLevelType w:val="hybridMultilevel"/>
    <w:tmpl w:val="6DC0DCA6"/>
    <w:lvl w:ilvl="0" w:tplc="E09A1A20">
      <w:start w:val="1"/>
      <w:numFmt w:val="bullet"/>
      <w:suff w:val="space"/>
      <w:lvlText w:val=""/>
      <w:lvlJc w:val="left"/>
      <w:pPr>
        <w:ind w:left="720" w:hanging="360"/>
      </w:pPr>
      <w:rPr>
        <w:rFonts w:ascii="Symbol" w:hAnsi="Symbol" w:hint="default"/>
        <w:b/>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1" w15:restartNumberingAfterBreak="0">
    <w:nsid w:val="4B11198F"/>
    <w:multiLevelType w:val="hybridMultilevel"/>
    <w:tmpl w:val="8FECF3CE"/>
    <w:lvl w:ilvl="0" w:tplc="0FC2DA42">
      <w:start w:val="1"/>
      <w:numFmt w:val="bullet"/>
      <w:suff w:val="space"/>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20368D"/>
    <w:multiLevelType w:val="hybridMultilevel"/>
    <w:tmpl w:val="E6F4BF12"/>
    <w:lvl w:ilvl="0" w:tplc="F4BC68EC">
      <w:start w:val="2"/>
      <w:numFmt w:val="bullet"/>
      <w:suff w:val="space"/>
      <w:lvlText w:val="•"/>
      <w:lvlJc w:val="left"/>
      <w:pPr>
        <w:ind w:left="720" w:hanging="360"/>
      </w:pPr>
      <w:rPr>
        <w:rFonts w:ascii="Times New Roman" w:eastAsia="Calibri" w:hAnsi="Times New Roman" w:cs="Times New Roman" w:hint="default"/>
        <w:b/>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3" w15:restartNumberingAfterBreak="0">
    <w:nsid w:val="4E972BCF"/>
    <w:multiLevelType w:val="hybridMultilevel"/>
    <w:tmpl w:val="C62ADCC6"/>
    <w:lvl w:ilvl="0" w:tplc="1E7A7DF6">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5D57F7"/>
    <w:multiLevelType w:val="hybridMultilevel"/>
    <w:tmpl w:val="D8001B18"/>
    <w:lvl w:ilvl="0" w:tplc="A0184A30">
      <w:start w:val="1"/>
      <w:numFmt w:val="bullet"/>
      <w:suff w:val="space"/>
      <w:lvlText w:val=""/>
      <w:lvlJc w:val="left"/>
      <w:pPr>
        <w:ind w:left="36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2300CC"/>
    <w:multiLevelType w:val="hybridMultilevel"/>
    <w:tmpl w:val="63F89172"/>
    <w:lvl w:ilvl="0" w:tplc="2E54AB92">
      <w:start w:val="1"/>
      <w:numFmt w:val="bullet"/>
      <w:suff w:val="space"/>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2734CD4"/>
    <w:multiLevelType w:val="hybridMultilevel"/>
    <w:tmpl w:val="EE282D30"/>
    <w:lvl w:ilvl="0" w:tplc="CA3AAF3A">
      <w:start w:val="1"/>
      <w:numFmt w:val="bullet"/>
      <w:suff w:val="space"/>
      <w:lvlText w:val=""/>
      <w:lvlJc w:val="left"/>
      <w:pPr>
        <w:ind w:left="1429"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7" w15:restartNumberingAfterBreak="0">
    <w:nsid w:val="55A905E3"/>
    <w:multiLevelType w:val="hybridMultilevel"/>
    <w:tmpl w:val="6B424518"/>
    <w:lvl w:ilvl="0" w:tplc="83582A9E">
      <w:start w:val="3"/>
      <w:numFmt w:val="bullet"/>
      <w:suff w:val="space"/>
      <w:lvlText w:val="-"/>
      <w:lvlJc w:val="left"/>
      <w:pPr>
        <w:ind w:left="1429"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291533"/>
    <w:multiLevelType w:val="hybridMultilevel"/>
    <w:tmpl w:val="03BA7740"/>
    <w:lvl w:ilvl="0" w:tplc="E1A2B1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EF8A172E">
      <w:start w:val="1"/>
      <w:numFmt w:val="bullet"/>
      <w:suff w:val="space"/>
      <w:lvlText w:val=""/>
      <w:lvlJc w:val="left"/>
      <w:pPr>
        <w:ind w:left="2869"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6CF6"/>
    <w:multiLevelType w:val="multilevel"/>
    <w:tmpl w:val="AB264CE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1247516"/>
    <w:multiLevelType w:val="hybridMultilevel"/>
    <w:tmpl w:val="EA38F39E"/>
    <w:lvl w:ilvl="0" w:tplc="FB6AC7D6">
      <w:start w:val="1"/>
      <w:numFmt w:val="bullet"/>
      <w:suff w:val="space"/>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62330A9A"/>
    <w:multiLevelType w:val="hybridMultilevel"/>
    <w:tmpl w:val="E2FA4640"/>
    <w:lvl w:ilvl="0" w:tplc="8C700A42">
      <w:start w:val="1"/>
      <w:numFmt w:val="bullet"/>
      <w:suff w:val="space"/>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65E70A4B"/>
    <w:multiLevelType w:val="multilevel"/>
    <w:tmpl w:val="0F94EB22"/>
    <w:lvl w:ilvl="0">
      <w:start w:val="1"/>
      <w:numFmt w:val="decimal"/>
      <w:suff w:val="space"/>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698443EF"/>
    <w:multiLevelType w:val="hybridMultilevel"/>
    <w:tmpl w:val="7DB610A6"/>
    <w:lvl w:ilvl="0" w:tplc="BA0CFF36">
      <w:start w:val="1"/>
      <w:numFmt w:val="bullet"/>
      <w:suff w:val="space"/>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34" w15:restartNumberingAfterBreak="0">
    <w:nsid w:val="73280984"/>
    <w:multiLevelType w:val="hybridMultilevel"/>
    <w:tmpl w:val="045212B4"/>
    <w:lvl w:ilvl="0" w:tplc="22AA377C">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771D5BED"/>
    <w:multiLevelType w:val="hybridMultilevel"/>
    <w:tmpl w:val="9AFAE7CE"/>
    <w:lvl w:ilvl="0" w:tplc="E7844CF0">
      <w:start w:val="1"/>
      <w:numFmt w:val="bullet"/>
      <w:suff w:val="space"/>
      <w:lvlText w:val=""/>
      <w:lvlJc w:val="left"/>
      <w:pPr>
        <w:ind w:left="1429" w:hanging="360"/>
      </w:pPr>
      <w:rPr>
        <w:rFonts w:ascii="Symbol" w:hAnsi="Symbol" w:hint="default"/>
        <w:b/>
        <w:sz w:val="20"/>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36" w15:restartNumberingAfterBreak="0">
    <w:nsid w:val="7FA541BD"/>
    <w:multiLevelType w:val="hybridMultilevel"/>
    <w:tmpl w:val="41688084"/>
    <w:lvl w:ilvl="0" w:tplc="02CCB9F8">
      <w:start w:val="1"/>
      <w:numFmt w:val="bullet"/>
      <w:suff w:val="space"/>
      <w:lvlText w:val=""/>
      <w:lvlJc w:val="left"/>
      <w:pPr>
        <w:ind w:left="1440"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10"/>
  </w:num>
  <w:num w:numId="4">
    <w:abstractNumId w:val="15"/>
  </w:num>
  <w:num w:numId="5">
    <w:abstractNumId w:val="14"/>
  </w:num>
  <w:num w:numId="6">
    <w:abstractNumId w:val="27"/>
  </w:num>
  <w:num w:numId="7">
    <w:abstractNumId w:val="2"/>
  </w:num>
  <w:num w:numId="8">
    <w:abstractNumId w:val="35"/>
  </w:num>
  <w:num w:numId="9">
    <w:abstractNumId w:val="33"/>
  </w:num>
  <w:num w:numId="10">
    <w:abstractNumId w:val="4"/>
  </w:num>
  <w:num w:numId="11">
    <w:abstractNumId w:val="32"/>
  </w:num>
  <w:num w:numId="12">
    <w:abstractNumId w:val="23"/>
  </w:num>
  <w:num w:numId="13">
    <w:abstractNumId w:val="26"/>
  </w:num>
  <w:num w:numId="14">
    <w:abstractNumId w:val="34"/>
  </w:num>
  <w:num w:numId="15">
    <w:abstractNumId w:val="7"/>
  </w:num>
  <w:num w:numId="16">
    <w:abstractNumId w:val="25"/>
  </w:num>
  <w:num w:numId="17">
    <w:abstractNumId w:val="11"/>
  </w:num>
  <w:num w:numId="18">
    <w:abstractNumId w:val="31"/>
  </w:num>
  <w:num w:numId="19">
    <w:abstractNumId w:val="3"/>
  </w:num>
  <w:num w:numId="20">
    <w:abstractNumId w:val="21"/>
  </w:num>
  <w:num w:numId="21">
    <w:abstractNumId w:val="22"/>
  </w:num>
  <w:num w:numId="22">
    <w:abstractNumId w:val="18"/>
  </w:num>
  <w:num w:numId="23">
    <w:abstractNumId w:val="9"/>
  </w:num>
  <w:num w:numId="24">
    <w:abstractNumId w:val="36"/>
  </w:num>
  <w:num w:numId="25">
    <w:abstractNumId w:val="19"/>
  </w:num>
  <w:num w:numId="26">
    <w:abstractNumId w:val="16"/>
  </w:num>
  <w:num w:numId="27">
    <w:abstractNumId w:val="28"/>
  </w:num>
  <w:num w:numId="28">
    <w:abstractNumId w:val="17"/>
  </w:num>
  <w:num w:numId="29">
    <w:abstractNumId w:val="12"/>
  </w:num>
  <w:num w:numId="30">
    <w:abstractNumId w:val="1"/>
  </w:num>
  <w:num w:numId="31">
    <w:abstractNumId w:val="30"/>
  </w:num>
  <w:num w:numId="32">
    <w:abstractNumId w:val="0"/>
  </w:num>
  <w:num w:numId="33">
    <w:abstractNumId w:val="24"/>
  </w:num>
  <w:num w:numId="34">
    <w:abstractNumId w:val="13"/>
  </w:num>
  <w:num w:numId="35">
    <w:abstractNumId w:val="8"/>
  </w:num>
  <w:num w:numId="36">
    <w:abstractNumId w:val="20"/>
  </w:num>
  <w:num w:numId="37">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14"/>
    <w:rsid w:val="00000DF1"/>
    <w:rsid w:val="00003E3B"/>
    <w:rsid w:val="000048E8"/>
    <w:rsid w:val="00005839"/>
    <w:rsid w:val="00005AE6"/>
    <w:rsid w:val="00006260"/>
    <w:rsid w:val="00007E11"/>
    <w:rsid w:val="0001344C"/>
    <w:rsid w:val="000139AB"/>
    <w:rsid w:val="00013D69"/>
    <w:rsid w:val="0001506E"/>
    <w:rsid w:val="00015CD9"/>
    <w:rsid w:val="00015E9F"/>
    <w:rsid w:val="00016470"/>
    <w:rsid w:val="000177EB"/>
    <w:rsid w:val="00021E1F"/>
    <w:rsid w:val="00023C4C"/>
    <w:rsid w:val="00024537"/>
    <w:rsid w:val="00025FCF"/>
    <w:rsid w:val="000260D8"/>
    <w:rsid w:val="00027081"/>
    <w:rsid w:val="0002712B"/>
    <w:rsid w:val="0002714F"/>
    <w:rsid w:val="00027A89"/>
    <w:rsid w:val="00033EAA"/>
    <w:rsid w:val="00033FCE"/>
    <w:rsid w:val="00034352"/>
    <w:rsid w:val="000347E9"/>
    <w:rsid w:val="00034846"/>
    <w:rsid w:val="000351BA"/>
    <w:rsid w:val="00035B04"/>
    <w:rsid w:val="00041019"/>
    <w:rsid w:val="00044352"/>
    <w:rsid w:val="000449EE"/>
    <w:rsid w:val="00044B23"/>
    <w:rsid w:val="00044D1D"/>
    <w:rsid w:val="000457BA"/>
    <w:rsid w:val="0005064D"/>
    <w:rsid w:val="0005563F"/>
    <w:rsid w:val="00056321"/>
    <w:rsid w:val="00057155"/>
    <w:rsid w:val="00061EF5"/>
    <w:rsid w:val="0006376D"/>
    <w:rsid w:val="00065093"/>
    <w:rsid w:val="0006615D"/>
    <w:rsid w:val="00066764"/>
    <w:rsid w:val="00066CAF"/>
    <w:rsid w:val="0007054C"/>
    <w:rsid w:val="00070EE0"/>
    <w:rsid w:val="00071BB2"/>
    <w:rsid w:val="00071F9E"/>
    <w:rsid w:val="0007250D"/>
    <w:rsid w:val="00072A0B"/>
    <w:rsid w:val="00072DF1"/>
    <w:rsid w:val="0007473B"/>
    <w:rsid w:val="00074CCD"/>
    <w:rsid w:val="0008070E"/>
    <w:rsid w:val="000827E7"/>
    <w:rsid w:val="0008313F"/>
    <w:rsid w:val="00086D3C"/>
    <w:rsid w:val="00087397"/>
    <w:rsid w:val="00090E04"/>
    <w:rsid w:val="0009127D"/>
    <w:rsid w:val="000919AF"/>
    <w:rsid w:val="00092443"/>
    <w:rsid w:val="00095405"/>
    <w:rsid w:val="000960B8"/>
    <w:rsid w:val="00097EEA"/>
    <w:rsid w:val="000A06AC"/>
    <w:rsid w:val="000A1222"/>
    <w:rsid w:val="000A2E08"/>
    <w:rsid w:val="000A398E"/>
    <w:rsid w:val="000A5841"/>
    <w:rsid w:val="000B1237"/>
    <w:rsid w:val="000B38E7"/>
    <w:rsid w:val="000B3A78"/>
    <w:rsid w:val="000B550D"/>
    <w:rsid w:val="000B5F8F"/>
    <w:rsid w:val="000B61AE"/>
    <w:rsid w:val="000B6C79"/>
    <w:rsid w:val="000C1DBB"/>
    <w:rsid w:val="000C3CA8"/>
    <w:rsid w:val="000C3EB8"/>
    <w:rsid w:val="000C5507"/>
    <w:rsid w:val="000D0F36"/>
    <w:rsid w:val="000D12CD"/>
    <w:rsid w:val="000D2A3F"/>
    <w:rsid w:val="000D2A56"/>
    <w:rsid w:val="000D3030"/>
    <w:rsid w:val="000D325E"/>
    <w:rsid w:val="000D3C4C"/>
    <w:rsid w:val="000D5031"/>
    <w:rsid w:val="000D60D0"/>
    <w:rsid w:val="000D7EFF"/>
    <w:rsid w:val="000E0901"/>
    <w:rsid w:val="000E44A9"/>
    <w:rsid w:val="000E599C"/>
    <w:rsid w:val="000E6545"/>
    <w:rsid w:val="000E6D62"/>
    <w:rsid w:val="000F0916"/>
    <w:rsid w:val="000F0F2A"/>
    <w:rsid w:val="000F1324"/>
    <w:rsid w:val="000F1990"/>
    <w:rsid w:val="000F308C"/>
    <w:rsid w:val="000F483E"/>
    <w:rsid w:val="000F5F41"/>
    <w:rsid w:val="000F5FEC"/>
    <w:rsid w:val="000F6F22"/>
    <w:rsid w:val="00100580"/>
    <w:rsid w:val="00103365"/>
    <w:rsid w:val="00103623"/>
    <w:rsid w:val="00103AF0"/>
    <w:rsid w:val="00104101"/>
    <w:rsid w:val="0010572F"/>
    <w:rsid w:val="0010671D"/>
    <w:rsid w:val="0010735D"/>
    <w:rsid w:val="0011142A"/>
    <w:rsid w:val="00111AE8"/>
    <w:rsid w:val="001126AE"/>
    <w:rsid w:val="00113DDF"/>
    <w:rsid w:val="001164C9"/>
    <w:rsid w:val="00116EF4"/>
    <w:rsid w:val="00117111"/>
    <w:rsid w:val="001172C8"/>
    <w:rsid w:val="00120BC5"/>
    <w:rsid w:val="0012355B"/>
    <w:rsid w:val="0012451F"/>
    <w:rsid w:val="0012655A"/>
    <w:rsid w:val="00127EF5"/>
    <w:rsid w:val="00130353"/>
    <w:rsid w:val="00131A49"/>
    <w:rsid w:val="00131E17"/>
    <w:rsid w:val="00132742"/>
    <w:rsid w:val="00132DE6"/>
    <w:rsid w:val="00133955"/>
    <w:rsid w:val="001345A6"/>
    <w:rsid w:val="001347C5"/>
    <w:rsid w:val="00134F35"/>
    <w:rsid w:val="00136952"/>
    <w:rsid w:val="001369FC"/>
    <w:rsid w:val="001374A0"/>
    <w:rsid w:val="001417CC"/>
    <w:rsid w:val="00144BF5"/>
    <w:rsid w:val="00145116"/>
    <w:rsid w:val="001466D5"/>
    <w:rsid w:val="001467CD"/>
    <w:rsid w:val="001503DF"/>
    <w:rsid w:val="00152174"/>
    <w:rsid w:val="00152760"/>
    <w:rsid w:val="001530AD"/>
    <w:rsid w:val="00154430"/>
    <w:rsid w:val="00157B49"/>
    <w:rsid w:val="0016041C"/>
    <w:rsid w:val="00161696"/>
    <w:rsid w:val="00161D94"/>
    <w:rsid w:val="001622B8"/>
    <w:rsid w:val="00162927"/>
    <w:rsid w:val="00162A1D"/>
    <w:rsid w:val="001664F9"/>
    <w:rsid w:val="001665E8"/>
    <w:rsid w:val="00166657"/>
    <w:rsid w:val="00166F7C"/>
    <w:rsid w:val="001704F7"/>
    <w:rsid w:val="00170FA9"/>
    <w:rsid w:val="00172B76"/>
    <w:rsid w:val="00174426"/>
    <w:rsid w:val="00174CBD"/>
    <w:rsid w:val="00175922"/>
    <w:rsid w:val="0017682E"/>
    <w:rsid w:val="00176B14"/>
    <w:rsid w:val="001779C9"/>
    <w:rsid w:val="00180C28"/>
    <w:rsid w:val="001817F0"/>
    <w:rsid w:val="00182544"/>
    <w:rsid w:val="0018344A"/>
    <w:rsid w:val="001864F3"/>
    <w:rsid w:val="0018687A"/>
    <w:rsid w:val="00191C71"/>
    <w:rsid w:val="00192C26"/>
    <w:rsid w:val="001933A2"/>
    <w:rsid w:val="0019413E"/>
    <w:rsid w:val="001973DE"/>
    <w:rsid w:val="001A0803"/>
    <w:rsid w:val="001A17EE"/>
    <w:rsid w:val="001A1948"/>
    <w:rsid w:val="001A24FF"/>
    <w:rsid w:val="001A27A8"/>
    <w:rsid w:val="001A36F4"/>
    <w:rsid w:val="001A3FD0"/>
    <w:rsid w:val="001A634A"/>
    <w:rsid w:val="001A63BB"/>
    <w:rsid w:val="001A6787"/>
    <w:rsid w:val="001A7257"/>
    <w:rsid w:val="001B03AC"/>
    <w:rsid w:val="001B06B9"/>
    <w:rsid w:val="001B2D21"/>
    <w:rsid w:val="001B32A3"/>
    <w:rsid w:val="001B35C5"/>
    <w:rsid w:val="001B382F"/>
    <w:rsid w:val="001B4178"/>
    <w:rsid w:val="001B5031"/>
    <w:rsid w:val="001B5FEA"/>
    <w:rsid w:val="001C0396"/>
    <w:rsid w:val="001C2913"/>
    <w:rsid w:val="001C4AAF"/>
    <w:rsid w:val="001C5E0D"/>
    <w:rsid w:val="001C7CA3"/>
    <w:rsid w:val="001D1583"/>
    <w:rsid w:val="001D1695"/>
    <w:rsid w:val="001D16FF"/>
    <w:rsid w:val="001D17BF"/>
    <w:rsid w:val="001D2776"/>
    <w:rsid w:val="001D3D5E"/>
    <w:rsid w:val="001D4FF3"/>
    <w:rsid w:val="001D66FA"/>
    <w:rsid w:val="001D7F04"/>
    <w:rsid w:val="001E04A4"/>
    <w:rsid w:val="001E0E36"/>
    <w:rsid w:val="001E27F8"/>
    <w:rsid w:val="001E3E86"/>
    <w:rsid w:val="001E563D"/>
    <w:rsid w:val="001E6F49"/>
    <w:rsid w:val="001E79B6"/>
    <w:rsid w:val="001E7F95"/>
    <w:rsid w:val="001F035F"/>
    <w:rsid w:val="001F0918"/>
    <w:rsid w:val="001F1369"/>
    <w:rsid w:val="001F16C8"/>
    <w:rsid w:val="001F2700"/>
    <w:rsid w:val="001F2DBA"/>
    <w:rsid w:val="001F4E30"/>
    <w:rsid w:val="001F5592"/>
    <w:rsid w:val="00201F2B"/>
    <w:rsid w:val="00210407"/>
    <w:rsid w:val="00212632"/>
    <w:rsid w:val="00212C0A"/>
    <w:rsid w:val="00212C1E"/>
    <w:rsid w:val="002130A6"/>
    <w:rsid w:val="002174C9"/>
    <w:rsid w:val="002203CD"/>
    <w:rsid w:val="002208A4"/>
    <w:rsid w:val="00220ADB"/>
    <w:rsid w:val="0022118A"/>
    <w:rsid w:val="00221489"/>
    <w:rsid w:val="00222EF6"/>
    <w:rsid w:val="002240ED"/>
    <w:rsid w:val="00227275"/>
    <w:rsid w:val="002273BB"/>
    <w:rsid w:val="00227FBA"/>
    <w:rsid w:val="00230754"/>
    <w:rsid w:val="00230806"/>
    <w:rsid w:val="00230F31"/>
    <w:rsid w:val="0023243C"/>
    <w:rsid w:val="00236C4C"/>
    <w:rsid w:val="00240E10"/>
    <w:rsid w:val="002417A9"/>
    <w:rsid w:val="002418AD"/>
    <w:rsid w:val="00241C50"/>
    <w:rsid w:val="002422E9"/>
    <w:rsid w:val="002452E7"/>
    <w:rsid w:val="002472B6"/>
    <w:rsid w:val="00250889"/>
    <w:rsid w:val="002509D9"/>
    <w:rsid w:val="00251F8F"/>
    <w:rsid w:val="00252468"/>
    <w:rsid w:val="0025257E"/>
    <w:rsid w:val="00254129"/>
    <w:rsid w:val="00255995"/>
    <w:rsid w:val="002602C9"/>
    <w:rsid w:val="00260869"/>
    <w:rsid w:val="00262B78"/>
    <w:rsid w:val="00262C62"/>
    <w:rsid w:val="002638A5"/>
    <w:rsid w:val="002642E6"/>
    <w:rsid w:val="00264B10"/>
    <w:rsid w:val="00265506"/>
    <w:rsid w:val="00266650"/>
    <w:rsid w:val="00271898"/>
    <w:rsid w:val="002727E2"/>
    <w:rsid w:val="00272CEE"/>
    <w:rsid w:val="00272D7B"/>
    <w:rsid w:val="002754A4"/>
    <w:rsid w:val="00275AB7"/>
    <w:rsid w:val="002762F8"/>
    <w:rsid w:val="00281307"/>
    <w:rsid w:val="002824C6"/>
    <w:rsid w:val="00282FC0"/>
    <w:rsid w:val="00284071"/>
    <w:rsid w:val="00286020"/>
    <w:rsid w:val="00286E96"/>
    <w:rsid w:val="00287384"/>
    <w:rsid w:val="00287987"/>
    <w:rsid w:val="0029067A"/>
    <w:rsid w:val="00290F11"/>
    <w:rsid w:val="00292C7F"/>
    <w:rsid w:val="00292E42"/>
    <w:rsid w:val="00294316"/>
    <w:rsid w:val="0029455E"/>
    <w:rsid w:val="002975FE"/>
    <w:rsid w:val="002A0C10"/>
    <w:rsid w:val="002A1441"/>
    <w:rsid w:val="002A24F5"/>
    <w:rsid w:val="002A3567"/>
    <w:rsid w:val="002A594A"/>
    <w:rsid w:val="002A5C1C"/>
    <w:rsid w:val="002A5F70"/>
    <w:rsid w:val="002A606E"/>
    <w:rsid w:val="002A6FA0"/>
    <w:rsid w:val="002B01CA"/>
    <w:rsid w:val="002B0CAE"/>
    <w:rsid w:val="002B1BD3"/>
    <w:rsid w:val="002B2E4F"/>
    <w:rsid w:val="002B407E"/>
    <w:rsid w:val="002B443D"/>
    <w:rsid w:val="002B6687"/>
    <w:rsid w:val="002B73D7"/>
    <w:rsid w:val="002C0464"/>
    <w:rsid w:val="002C136F"/>
    <w:rsid w:val="002C1EC8"/>
    <w:rsid w:val="002C389D"/>
    <w:rsid w:val="002C44F4"/>
    <w:rsid w:val="002C5726"/>
    <w:rsid w:val="002C5CFE"/>
    <w:rsid w:val="002C63A4"/>
    <w:rsid w:val="002C6E2F"/>
    <w:rsid w:val="002C72C0"/>
    <w:rsid w:val="002C7DA5"/>
    <w:rsid w:val="002D08D7"/>
    <w:rsid w:val="002D2C16"/>
    <w:rsid w:val="002D30F1"/>
    <w:rsid w:val="002D333C"/>
    <w:rsid w:val="002D36F1"/>
    <w:rsid w:val="002D47DE"/>
    <w:rsid w:val="002D49B7"/>
    <w:rsid w:val="002D5573"/>
    <w:rsid w:val="002D57D7"/>
    <w:rsid w:val="002D7287"/>
    <w:rsid w:val="002E0801"/>
    <w:rsid w:val="002E0A89"/>
    <w:rsid w:val="002E15D8"/>
    <w:rsid w:val="002E1C7B"/>
    <w:rsid w:val="002E1D66"/>
    <w:rsid w:val="002E39E2"/>
    <w:rsid w:val="002E4492"/>
    <w:rsid w:val="002E46C4"/>
    <w:rsid w:val="002E51FD"/>
    <w:rsid w:val="002E6B3B"/>
    <w:rsid w:val="002E7418"/>
    <w:rsid w:val="002E7FDE"/>
    <w:rsid w:val="002F184D"/>
    <w:rsid w:val="002F4FF7"/>
    <w:rsid w:val="002F6C3D"/>
    <w:rsid w:val="002F7FD6"/>
    <w:rsid w:val="00301347"/>
    <w:rsid w:val="00301E5F"/>
    <w:rsid w:val="003026AE"/>
    <w:rsid w:val="00302A82"/>
    <w:rsid w:val="00303C4E"/>
    <w:rsid w:val="003059CB"/>
    <w:rsid w:val="0030618C"/>
    <w:rsid w:val="00307A60"/>
    <w:rsid w:val="00310087"/>
    <w:rsid w:val="00310484"/>
    <w:rsid w:val="00311711"/>
    <w:rsid w:val="003128CD"/>
    <w:rsid w:val="00312B24"/>
    <w:rsid w:val="00313773"/>
    <w:rsid w:val="00314093"/>
    <w:rsid w:val="00314BBF"/>
    <w:rsid w:val="00315749"/>
    <w:rsid w:val="00315EE0"/>
    <w:rsid w:val="00316261"/>
    <w:rsid w:val="00316D5E"/>
    <w:rsid w:val="00321ED9"/>
    <w:rsid w:val="00322E46"/>
    <w:rsid w:val="00323244"/>
    <w:rsid w:val="00323BA8"/>
    <w:rsid w:val="00324321"/>
    <w:rsid w:val="00324944"/>
    <w:rsid w:val="00324E10"/>
    <w:rsid w:val="0032549E"/>
    <w:rsid w:val="00325D95"/>
    <w:rsid w:val="00326EDC"/>
    <w:rsid w:val="00327A36"/>
    <w:rsid w:val="00330661"/>
    <w:rsid w:val="00330A46"/>
    <w:rsid w:val="00332193"/>
    <w:rsid w:val="00332B1D"/>
    <w:rsid w:val="00332CB1"/>
    <w:rsid w:val="00332F7B"/>
    <w:rsid w:val="0033393D"/>
    <w:rsid w:val="00333B6D"/>
    <w:rsid w:val="0033580A"/>
    <w:rsid w:val="00335CD6"/>
    <w:rsid w:val="0033615F"/>
    <w:rsid w:val="0033699F"/>
    <w:rsid w:val="00337FAC"/>
    <w:rsid w:val="0034053C"/>
    <w:rsid w:val="003409C0"/>
    <w:rsid w:val="00342777"/>
    <w:rsid w:val="003444E2"/>
    <w:rsid w:val="003452BC"/>
    <w:rsid w:val="00346B94"/>
    <w:rsid w:val="00346C00"/>
    <w:rsid w:val="00352273"/>
    <w:rsid w:val="00353A87"/>
    <w:rsid w:val="00355243"/>
    <w:rsid w:val="003566EA"/>
    <w:rsid w:val="00356771"/>
    <w:rsid w:val="00360E0A"/>
    <w:rsid w:val="00361086"/>
    <w:rsid w:val="0036359A"/>
    <w:rsid w:val="003637AA"/>
    <w:rsid w:val="00363E00"/>
    <w:rsid w:val="0036448A"/>
    <w:rsid w:val="00365287"/>
    <w:rsid w:val="0036544C"/>
    <w:rsid w:val="00365638"/>
    <w:rsid w:val="003660A4"/>
    <w:rsid w:val="0036620F"/>
    <w:rsid w:val="00366260"/>
    <w:rsid w:val="003664B5"/>
    <w:rsid w:val="003664C7"/>
    <w:rsid w:val="003739FD"/>
    <w:rsid w:val="00373C28"/>
    <w:rsid w:val="003742EB"/>
    <w:rsid w:val="00374734"/>
    <w:rsid w:val="0037592A"/>
    <w:rsid w:val="00380B4B"/>
    <w:rsid w:val="00380D94"/>
    <w:rsid w:val="00380F81"/>
    <w:rsid w:val="00381750"/>
    <w:rsid w:val="00383E32"/>
    <w:rsid w:val="003840D3"/>
    <w:rsid w:val="00385735"/>
    <w:rsid w:val="00385D32"/>
    <w:rsid w:val="00386F69"/>
    <w:rsid w:val="00387DBA"/>
    <w:rsid w:val="00390C02"/>
    <w:rsid w:val="003915F2"/>
    <w:rsid w:val="00392229"/>
    <w:rsid w:val="003936C6"/>
    <w:rsid w:val="0039487C"/>
    <w:rsid w:val="00395A08"/>
    <w:rsid w:val="00396230"/>
    <w:rsid w:val="003969D6"/>
    <w:rsid w:val="00397AE8"/>
    <w:rsid w:val="003A0CC1"/>
    <w:rsid w:val="003A1667"/>
    <w:rsid w:val="003A1859"/>
    <w:rsid w:val="003A18D0"/>
    <w:rsid w:val="003A208E"/>
    <w:rsid w:val="003A62E6"/>
    <w:rsid w:val="003B11AD"/>
    <w:rsid w:val="003B3EFB"/>
    <w:rsid w:val="003B5C6A"/>
    <w:rsid w:val="003C117A"/>
    <w:rsid w:val="003C28FD"/>
    <w:rsid w:val="003C3B23"/>
    <w:rsid w:val="003C3BB0"/>
    <w:rsid w:val="003C3BEA"/>
    <w:rsid w:val="003C5CCA"/>
    <w:rsid w:val="003C7370"/>
    <w:rsid w:val="003D23FD"/>
    <w:rsid w:val="003D2B63"/>
    <w:rsid w:val="003D4D13"/>
    <w:rsid w:val="003D5432"/>
    <w:rsid w:val="003D6290"/>
    <w:rsid w:val="003D7183"/>
    <w:rsid w:val="003D7C7E"/>
    <w:rsid w:val="003E0343"/>
    <w:rsid w:val="003E2133"/>
    <w:rsid w:val="003E2981"/>
    <w:rsid w:val="003E373B"/>
    <w:rsid w:val="003E3A8F"/>
    <w:rsid w:val="003E3DDB"/>
    <w:rsid w:val="003E44FA"/>
    <w:rsid w:val="003E4C58"/>
    <w:rsid w:val="003E4D62"/>
    <w:rsid w:val="003E615B"/>
    <w:rsid w:val="003E6291"/>
    <w:rsid w:val="003E6623"/>
    <w:rsid w:val="003E7BEE"/>
    <w:rsid w:val="003F0F82"/>
    <w:rsid w:val="003F1A96"/>
    <w:rsid w:val="003F2834"/>
    <w:rsid w:val="003F7F67"/>
    <w:rsid w:val="00401397"/>
    <w:rsid w:val="00401A60"/>
    <w:rsid w:val="004035C6"/>
    <w:rsid w:val="004049F0"/>
    <w:rsid w:val="00407AB5"/>
    <w:rsid w:val="00410B04"/>
    <w:rsid w:val="00411667"/>
    <w:rsid w:val="00413ACB"/>
    <w:rsid w:val="00414CE2"/>
    <w:rsid w:val="00415D6E"/>
    <w:rsid w:val="00420B63"/>
    <w:rsid w:val="00422AE0"/>
    <w:rsid w:val="00423089"/>
    <w:rsid w:val="00424B16"/>
    <w:rsid w:val="004255CB"/>
    <w:rsid w:val="004260FB"/>
    <w:rsid w:val="00427CD8"/>
    <w:rsid w:val="0043052A"/>
    <w:rsid w:val="00432340"/>
    <w:rsid w:val="00434148"/>
    <w:rsid w:val="00434210"/>
    <w:rsid w:val="00436639"/>
    <w:rsid w:val="00436CB6"/>
    <w:rsid w:val="00437143"/>
    <w:rsid w:val="00437190"/>
    <w:rsid w:val="004410C9"/>
    <w:rsid w:val="00442706"/>
    <w:rsid w:val="00442CA6"/>
    <w:rsid w:val="00442E46"/>
    <w:rsid w:val="00442FE2"/>
    <w:rsid w:val="00444A67"/>
    <w:rsid w:val="004463E3"/>
    <w:rsid w:val="00451ACA"/>
    <w:rsid w:val="00451F97"/>
    <w:rsid w:val="0045203F"/>
    <w:rsid w:val="0045215B"/>
    <w:rsid w:val="004528CC"/>
    <w:rsid w:val="00453EAB"/>
    <w:rsid w:val="00455233"/>
    <w:rsid w:val="004552C7"/>
    <w:rsid w:val="0045627E"/>
    <w:rsid w:val="00457EE0"/>
    <w:rsid w:val="0046019D"/>
    <w:rsid w:val="004605EF"/>
    <w:rsid w:val="00460F41"/>
    <w:rsid w:val="004615EB"/>
    <w:rsid w:val="00461CDA"/>
    <w:rsid w:val="004623CC"/>
    <w:rsid w:val="004628C8"/>
    <w:rsid w:val="00462C4D"/>
    <w:rsid w:val="00463E01"/>
    <w:rsid w:val="00464029"/>
    <w:rsid w:val="00465168"/>
    <w:rsid w:val="00466583"/>
    <w:rsid w:val="0046671B"/>
    <w:rsid w:val="00467876"/>
    <w:rsid w:val="00467BF0"/>
    <w:rsid w:val="004710CD"/>
    <w:rsid w:val="00471445"/>
    <w:rsid w:val="00471894"/>
    <w:rsid w:val="00472FEF"/>
    <w:rsid w:val="00473000"/>
    <w:rsid w:val="00474745"/>
    <w:rsid w:val="00474C7D"/>
    <w:rsid w:val="00475230"/>
    <w:rsid w:val="00475588"/>
    <w:rsid w:val="00475790"/>
    <w:rsid w:val="004765BE"/>
    <w:rsid w:val="0047685B"/>
    <w:rsid w:val="00476CF5"/>
    <w:rsid w:val="004773DE"/>
    <w:rsid w:val="00480370"/>
    <w:rsid w:val="0048118F"/>
    <w:rsid w:val="00482505"/>
    <w:rsid w:val="00483059"/>
    <w:rsid w:val="00486713"/>
    <w:rsid w:val="0048695E"/>
    <w:rsid w:val="004878F9"/>
    <w:rsid w:val="00490FAA"/>
    <w:rsid w:val="004924E7"/>
    <w:rsid w:val="0049412C"/>
    <w:rsid w:val="004943DB"/>
    <w:rsid w:val="004952BB"/>
    <w:rsid w:val="0049564C"/>
    <w:rsid w:val="0049666E"/>
    <w:rsid w:val="00496A2B"/>
    <w:rsid w:val="00496FCB"/>
    <w:rsid w:val="00497CD7"/>
    <w:rsid w:val="004A0455"/>
    <w:rsid w:val="004A09F8"/>
    <w:rsid w:val="004A0A39"/>
    <w:rsid w:val="004A1017"/>
    <w:rsid w:val="004A1FC5"/>
    <w:rsid w:val="004A3235"/>
    <w:rsid w:val="004A34DF"/>
    <w:rsid w:val="004A4468"/>
    <w:rsid w:val="004A4ACC"/>
    <w:rsid w:val="004A565A"/>
    <w:rsid w:val="004A5E06"/>
    <w:rsid w:val="004A6473"/>
    <w:rsid w:val="004B0285"/>
    <w:rsid w:val="004B0C41"/>
    <w:rsid w:val="004B4255"/>
    <w:rsid w:val="004B49CE"/>
    <w:rsid w:val="004B5DF9"/>
    <w:rsid w:val="004B5F00"/>
    <w:rsid w:val="004B6CF4"/>
    <w:rsid w:val="004B730A"/>
    <w:rsid w:val="004B75A7"/>
    <w:rsid w:val="004C222B"/>
    <w:rsid w:val="004C3EC0"/>
    <w:rsid w:val="004C45C3"/>
    <w:rsid w:val="004C57C7"/>
    <w:rsid w:val="004C5BB0"/>
    <w:rsid w:val="004D008D"/>
    <w:rsid w:val="004D0AC1"/>
    <w:rsid w:val="004D11AB"/>
    <w:rsid w:val="004D14CF"/>
    <w:rsid w:val="004D1DBA"/>
    <w:rsid w:val="004D299E"/>
    <w:rsid w:val="004D2A88"/>
    <w:rsid w:val="004D3113"/>
    <w:rsid w:val="004D3E30"/>
    <w:rsid w:val="004D7F50"/>
    <w:rsid w:val="004E0717"/>
    <w:rsid w:val="004E1513"/>
    <w:rsid w:val="004E345A"/>
    <w:rsid w:val="004E3FDD"/>
    <w:rsid w:val="004E5481"/>
    <w:rsid w:val="004E61B6"/>
    <w:rsid w:val="004E7F62"/>
    <w:rsid w:val="004F13B3"/>
    <w:rsid w:val="004F1A96"/>
    <w:rsid w:val="004F35A1"/>
    <w:rsid w:val="004F4D2F"/>
    <w:rsid w:val="004F5874"/>
    <w:rsid w:val="004F60F4"/>
    <w:rsid w:val="005008E0"/>
    <w:rsid w:val="005037B3"/>
    <w:rsid w:val="0050478E"/>
    <w:rsid w:val="00504A2F"/>
    <w:rsid w:val="005053DD"/>
    <w:rsid w:val="00510CED"/>
    <w:rsid w:val="00510E0D"/>
    <w:rsid w:val="005118E3"/>
    <w:rsid w:val="005126D2"/>
    <w:rsid w:val="0051297F"/>
    <w:rsid w:val="00513949"/>
    <w:rsid w:val="00514DB0"/>
    <w:rsid w:val="00514DD2"/>
    <w:rsid w:val="0051544F"/>
    <w:rsid w:val="0051785A"/>
    <w:rsid w:val="00520B69"/>
    <w:rsid w:val="005217FD"/>
    <w:rsid w:val="00527AD5"/>
    <w:rsid w:val="00531A8B"/>
    <w:rsid w:val="00531C9D"/>
    <w:rsid w:val="00532C2A"/>
    <w:rsid w:val="005332D4"/>
    <w:rsid w:val="0053475E"/>
    <w:rsid w:val="00534AF2"/>
    <w:rsid w:val="00536B97"/>
    <w:rsid w:val="005403B0"/>
    <w:rsid w:val="00540979"/>
    <w:rsid w:val="005435AC"/>
    <w:rsid w:val="00544BCE"/>
    <w:rsid w:val="005455B0"/>
    <w:rsid w:val="005471CC"/>
    <w:rsid w:val="005476A2"/>
    <w:rsid w:val="0055078F"/>
    <w:rsid w:val="00551776"/>
    <w:rsid w:val="0055233D"/>
    <w:rsid w:val="005525FC"/>
    <w:rsid w:val="00553310"/>
    <w:rsid w:val="00553585"/>
    <w:rsid w:val="0055363C"/>
    <w:rsid w:val="00553661"/>
    <w:rsid w:val="00553757"/>
    <w:rsid w:val="00555ACD"/>
    <w:rsid w:val="00556E2C"/>
    <w:rsid w:val="00557401"/>
    <w:rsid w:val="00557531"/>
    <w:rsid w:val="00557C65"/>
    <w:rsid w:val="0056044F"/>
    <w:rsid w:val="005604DA"/>
    <w:rsid w:val="00560570"/>
    <w:rsid w:val="00561054"/>
    <w:rsid w:val="0056260A"/>
    <w:rsid w:val="0056433A"/>
    <w:rsid w:val="005644D8"/>
    <w:rsid w:val="00565915"/>
    <w:rsid w:val="00567665"/>
    <w:rsid w:val="0056776E"/>
    <w:rsid w:val="005702B9"/>
    <w:rsid w:val="0057055C"/>
    <w:rsid w:val="00571333"/>
    <w:rsid w:val="00571550"/>
    <w:rsid w:val="00572130"/>
    <w:rsid w:val="00572895"/>
    <w:rsid w:val="00572EF9"/>
    <w:rsid w:val="00575396"/>
    <w:rsid w:val="00575683"/>
    <w:rsid w:val="00577430"/>
    <w:rsid w:val="00577DFB"/>
    <w:rsid w:val="00580DB3"/>
    <w:rsid w:val="0058106D"/>
    <w:rsid w:val="0058186C"/>
    <w:rsid w:val="005833BD"/>
    <w:rsid w:val="00583A66"/>
    <w:rsid w:val="00583B70"/>
    <w:rsid w:val="00583CF6"/>
    <w:rsid w:val="00584332"/>
    <w:rsid w:val="00584DB4"/>
    <w:rsid w:val="00585E2E"/>
    <w:rsid w:val="00586A3D"/>
    <w:rsid w:val="00587530"/>
    <w:rsid w:val="0058798F"/>
    <w:rsid w:val="005879E5"/>
    <w:rsid w:val="00587D9C"/>
    <w:rsid w:val="00587DD6"/>
    <w:rsid w:val="00591B22"/>
    <w:rsid w:val="00591CB8"/>
    <w:rsid w:val="005924AF"/>
    <w:rsid w:val="00593863"/>
    <w:rsid w:val="00594BEC"/>
    <w:rsid w:val="005A18B4"/>
    <w:rsid w:val="005A1BE4"/>
    <w:rsid w:val="005A2E16"/>
    <w:rsid w:val="005A34C1"/>
    <w:rsid w:val="005A46F0"/>
    <w:rsid w:val="005A4E02"/>
    <w:rsid w:val="005A704F"/>
    <w:rsid w:val="005B03E8"/>
    <w:rsid w:val="005B0914"/>
    <w:rsid w:val="005B2D68"/>
    <w:rsid w:val="005B3323"/>
    <w:rsid w:val="005B4387"/>
    <w:rsid w:val="005B4E5C"/>
    <w:rsid w:val="005B5342"/>
    <w:rsid w:val="005B53AC"/>
    <w:rsid w:val="005C015D"/>
    <w:rsid w:val="005C2ADE"/>
    <w:rsid w:val="005C315E"/>
    <w:rsid w:val="005C4017"/>
    <w:rsid w:val="005C4299"/>
    <w:rsid w:val="005C47FD"/>
    <w:rsid w:val="005C4E77"/>
    <w:rsid w:val="005C6633"/>
    <w:rsid w:val="005C6730"/>
    <w:rsid w:val="005C71DE"/>
    <w:rsid w:val="005D00E6"/>
    <w:rsid w:val="005D13B5"/>
    <w:rsid w:val="005D2820"/>
    <w:rsid w:val="005D586D"/>
    <w:rsid w:val="005E22DE"/>
    <w:rsid w:val="005E4A0A"/>
    <w:rsid w:val="005E5381"/>
    <w:rsid w:val="005E626E"/>
    <w:rsid w:val="005E69F7"/>
    <w:rsid w:val="005F1E65"/>
    <w:rsid w:val="005F2115"/>
    <w:rsid w:val="005F35B0"/>
    <w:rsid w:val="005F5BE3"/>
    <w:rsid w:val="005F5D88"/>
    <w:rsid w:val="005F5DE2"/>
    <w:rsid w:val="005F6E05"/>
    <w:rsid w:val="00602E44"/>
    <w:rsid w:val="006059A7"/>
    <w:rsid w:val="00605E63"/>
    <w:rsid w:val="00611168"/>
    <w:rsid w:val="00611376"/>
    <w:rsid w:val="00611A4E"/>
    <w:rsid w:val="00612FBC"/>
    <w:rsid w:val="006131A0"/>
    <w:rsid w:val="00613EE2"/>
    <w:rsid w:val="0061415E"/>
    <w:rsid w:val="00620D18"/>
    <w:rsid w:val="00621796"/>
    <w:rsid w:val="0062225B"/>
    <w:rsid w:val="006224E9"/>
    <w:rsid w:val="00622A71"/>
    <w:rsid w:val="00624208"/>
    <w:rsid w:val="00626D89"/>
    <w:rsid w:val="00627ECA"/>
    <w:rsid w:val="006302AD"/>
    <w:rsid w:val="0063145F"/>
    <w:rsid w:val="0063284A"/>
    <w:rsid w:val="0063330E"/>
    <w:rsid w:val="00633BFF"/>
    <w:rsid w:val="006347A8"/>
    <w:rsid w:val="00634C8B"/>
    <w:rsid w:val="00634F0E"/>
    <w:rsid w:val="006356FD"/>
    <w:rsid w:val="00635F35"/>
    <w:rsid w:val="00636520"/>
    <w:rsid w:val="00640AE6"/>
    <w:rsid w:val="006425A7"/>
    <w:rsid w:val="00643BFD"/>
    <w:rsid w:val="00644574"/>
    <w:rsid w:val="00644A14"/>
    <w:rsid w:val="006452A3"/>
    <w:rsid w:val="006465D4"/>
    <w:rsid w:val="00646D95"/>
    <w:rsid w:val="00655049"/>
    <w:rsid w:val="0065583F"/>
    <w:rsid w:val="00655FF0"/>
    <w:rsid w:val="00657435"/>
    <w:rsid w:val="00657FA3"/>
    <w:rsid w:val="00660B8A"/>
    <w:rsid w:val="0066131A"/>
    <w:rsid w:val="0066185D"/>
    <w:rsid w:val="00664FBF"/>
    <w:rsid w:val="006656CF"/>
    <w:rsid w:val="00665BF0"/>
    <w:rsid w:val="00666D8B"/>
    <w:rsid w:val="00667E07"/>
    <w:rsid w:val="00667FC8"/>
    <w:rsid w:val="00670786"/>
    <w:rsid w:val="00670BDE"/>
    <w:rsid w:val="00670F9A"/>
    <w:rsid w:val="00671179"/>
    <w:rsid w:val="00671629"/>
    <w:rsid w:val="006720B0"/>
    <w:rsid w:val="006734A9"/>
    <w:rsid w:val="0067621C"/>
    <w:rsid w:val="00677223"/>
    <w:rsid w:val="0067739F"/>
    <w:rsid w:val="0067759C"/>
    <w:rsid w:val="00677932"/>
    <w:rsid w:val="00681038"/>
    <w:rsid w:val="00681612"/>
    <w:rsid w:val="006831DD"/>
    <w:rsid w:val="006836F8"/>
    <w:rsid w:val="00686A55"/>
    <w:rsid w:val="00686D4D"/>
    <w:rsid w:val="00686FB5"/>
    <w:rsid w:val="0069038C"/>
    <w:rsid w:val="00690DB9"/>
    <w:rsid w:val="00691AFD"/>
    <w:rsid w:val="00693B56"/>
    <w:rsid w:val="00694089"/>
    <w:rsid w:val="00694816"/>
    <w:rsid w:val="006A05B9"/>
    <w:rsid w:val="006A2394"/>
    <w:rsid w:val="006A242F"/>
    <w:rsid w:val="006A3A66"/>
    <w:rsid w:val="006A46DE"/>
    <w:rsid w:val="006A5CC2"/>
    <w:rsid w:val="006A64E6"/>
    <w:rsid w:val="006B36B8"/>
    <w:rsid w:val="006B5C80"/>
    <w:rsid w:val="006B62F6"/>
    <w:rsid w:val="006B6531"/>
    <w:rsid w:val="006B6907"/>
    <w:rsid w:val="006B6EA4"/>
    <w:rsid w:val="006B7CB6"/>
    <w:rsid w:val="006C0281"/>
    <w:rsid w:val="006C1E28"/>
    <w:rsid w:val="006C2167"/>
    <w:rsid w:val="006C28A2"/>
    <w:rsid w:val="006C3A17"/>
    <w:rsid w:val="006C3C74"/>
    <w:rsid w:val="006C3ED6"/>
    <w:rsid w:val="006C4E7C"/>
    <w:rsid w:val="006C5188"/>
    <w:rsid w:val="006C6971"/>
    <w:rsid w:val="006C6C17"/>
    <w:rsid w:val="006C7B2F"/>
    <w:rsid w:val="006C7FC7"/>
    <w:rsid w:val="006D57C5"/>
    <w:rsid w:val="006D68EB"/>
    <w:rsid w:val="006D72C8"/>
    <w:rsid w:val="006D768D"/>
    <w:rsid w:val="006D7ADC"/>
    <w:rsid w:val="006E072C"/>
    <w:rsid w:val="006E11A6"/>
    <w:rsid w:val="006E1256"/>
    <w:rsid w:val="006E1F1A"/>
    <w:rsid w:val="006E359D"/>
    <w:rsid w:val="006E3669"/>
    <w:rsid w:val="006E66EA"/>
    <w:rsid w:val="006E7480"/>
    <w:rsid w:val="006E7644"/>
    <w:rsid w:val="006F2A43"/>
    <w:rsid w:val="006F39CA"/>
    <w:rsid w:val="006F39FE"/>
    <w:rsid w:val="006F4650"/>
    <w:rsid w:val="006F4BB4"/>
    <w:rsid w:val="006F539E"/>
    <w:rsid w:val="006F6A21"/>
    <w:rsid w:val="006F7014"/>
    <w:rsid w:val="006F749F"/>
    <w:rsid w:val="00701E91"/>
    <w:rsid w:val="00701F18"/>
    <w:rsid w:val="007024B1"/>
    <w:rsid w:val="0070275C"/>
    <w:rsid w:val="00703010"/>
    <w:rsid w:val="007057DF"/>
    <w:rsid w:val="00707191"/>
    <w:rsid w:val="0071070C"/>
    <w:rsid w:val="00710EAE"/>
    <w:rsid w:val="0071196E"/>
    <w:rsid w:val="007136FA"/>
    <w:rsid w:val="007138F4"/>
    <w:rsid w:val="007139A2"/>
    <w:rsid w:val="007146F7"/>
    <w:rsid w:val="0071503A"/>
    <w:rsid w:val="007157C4"/>
    <w:rsid w:val="00715C44"/>
    <w:rsid w:val="0072000F"/>
    <w:rsid w:val="0072088F"/>
    <w:rsid w:val="0072129E"/>
    <w:rsid w:val="00722624"/>
    <w:rsid w:val="0072383A"/>
    <w:rsid w:val="00724509"/>
    <w:rsid w:val="0072474D"/>
    <w:rsid w:val="00725A43"/>
    <w:rsid w:val="007274D0"/>
    <w:rsid w:val="00731A22"/>
    <w:rsid w:val="00732296"/>
    <w:rsid w:val="00732A0A"/>
    <w:rsid w:val="007338A9"/>
    <w:rsid w:val="00734A93"/>
    <w:rsid w:val="0073706E"/>
    <w:rsid w:val="00737D2F"/>
    <w:rsid w:val="007404FA"/>
    <w:rsid w:val="0074302F"/>
    <w:rsid w:val="00743710"/>
    <w:rsid w:val="00743904"/>
    <w:rsid w:val="0074476A"/>
    <w:rsid w:val="00744BD5"/>
    <w:rsid w:val="0074503E"/>
    <w:rsid w:val="00745646"/>
    <w:rsid w:val="0074720C"/>
    <w:rsid w:val="00747870"/>
    <w:rsid w:val="00751BCE"/>
    <w:rsid w:val="00752383"/>
    <w:rsid w:val="00752CB0"/>
    <w:rsid w:val="00752DE8"/>
    <w:rsid w:val="007546DC"/>
    <w:rsid w:val="007549E0"/>
    <w:rsid w:val="0075604B"/>
    <w:rsid w:val="00761A7F"/>
    <w:rsid w:val="007634C4"/>
    <w:rsid w:val="00765272"/>
    <w:rsid w:val="00765BDA"/>
    <w:rsid w:val="00767868"/>
    <w:rsid w:val="007714D5"/>
    <w:rsid w:val="00771709"/>
    <w:rsid w:val="00773590"/>
    <w:rsid w:val="00774238"/>
    <w:rsid w:val="007742CA"/>
    <w:rsid w:val="00774920"/>
    <w:rsid w:val="00774CCA"/>
    <w:rsid w:val="007766E2"/>
    <w:rsid w:val="00777B18"/>
    <w:rsid w:val="007818CD"/>
    <w:rsid w:val="00783F99"/>
    <w:rsid w:val="00785F90"/>
    <w:rsid w:val="00786885"/>
    <w:rsid w:val="00790032"/>
    <w:rsid w:val="007919E1"/>
    <w:rsid w:val="007938A8"/>
    <w:rsid w:val="00795EAC"/>
    <w:rsid w:val="00797B2C"/>
    <w:rsid w:val="007A0089"/>
    <w:rsid w:val="007A0E7E"/>
    <w:rsid w:val="007A18CA"/>
    <w:rsid w:val="007A1A46"/>
    <w:rsid w:val="007A2994"/>
    <w:rsid w:val="007A2DE9"/>
    <w:rsid w:val="007A47F9"/>
    <w:rsid w:val="007A49EB"/>
    <w:rsid w:val="007A4F41"/>
    <w:rsid w:val="007A5238"/>
    <w:rsid w:val="007A529A"/>
    <w:rsid w:val="007A6589"/>
    <w:rsid w:val="007A6F14"/>
    <w:rsid w:val="007A7672"/>
    <w:rsid w:val="007A7BC4"/>
    <w:rsid w:val="007B1185"/>
    <w:rsid w:val="007B1628"/>
    <w:rsid w:val="007B32D1"/>
    <w:rsid w:val="007B3958"/>
    <w:rsid w:val="007B3EE2"/>
    <w:rsid w:val="007B47D4"/>
    <w:rsid w:val="007B480F"/>
    <w:rsid w:val="007B4F0A"/>
    <w:rsid w:val="007B5F75"/>
    <w:rsid w:val="007B78ED"/>
    <w:rsid w:val="007B7CDD"/>
    <w:rsid w:val="007C13F1"/>
    <w:rsid w:val="007C1FC5"/>
    <w:rsid w:val="007C33E9"/>
    <w:rsid w:val="007C3520"/>
    <w:rsid w:val="007C395D"/>
    <w:rsid w:val="007C397A"/>
    <w:rsid w:val="007C5050"/>
    <w:rsid w:val="007D0D05"/>
    <w:rsid w:val="007D329B"/>
    <w:rsid w:val="007D3FA6"/>
    <w:rsid w:val="007D4E4B"/>
    <w:rsid w:val="007D55B6"/>
    <w:rsid w:val="007D68AB"/>
    <w:rsid w:val="007E0DDB"/>
    <w:rsid w:val="007E16E5"/>
    <w:rsid w:val="007E3981"/>
    <w:rsid w:val="007E3A74"/>
    <w:rsid w:val="007E537B"/>
    <w:rsid w:val="007E6695"/>
    <w:rsid w:val="007F015E"/>
    <w:rsid w:val="007F1345"/>
    <w:rsid w:val="007F3273"/>
    <w:rsid w:val="007F4B63"/>
    <w:rsid w:val="007F7835"/>
    <w:rsid w:val="00800555"/>
    <w:rsid w:val="00801194"/>
    <w:rsid w:val="00801A8E"/>
    <w:rsid w:val="008029D4"/>
    <w:rsid w:val="008030AD"/>
    <w:rsid w:val="008036D0"/>
    <w:rsid w:val="00803EEA"/>
    <w:rsid w:val="0080428B"/>
    <w:rsid w:val="00805125"/>
    <w:rsid w:val="00805EF0"/>
    <w:rsid w:val="0080670D"/>
    <w:rsid w:val="0080710C"/>
    <w:rsid w:val="008071E6"/>
    <w:rsid w:val="00807BE9"/>
    <w:rsid w:val="0081161D"/>
    <w:rsid w:val="00812683"/>
    <w:rsid w:val="008131ED"/>
    <w:rsid w:val="00814C81"/>
    <w:rsid w:val="00814FBC"/>
    <w:rsid w:val="008156E8"/>
    <w:rsid w:val="0081728C"/>
    <w:rsid w:val="00817D0B"/>
    <w:rsid w:val="00820A66"/>
    <w:rsid w:val="00824132"/>
    <w:rsid w:val="00824FF2"/>
    <w:rsid w:val="00825621"/>
    <w:rsid w:val="00825906"/>
    <w:rsid w:val="008272BC"/>
    <w:rsid w:val="00827B1E"/>
    <w:rsid w:val="00830684"/>
    <w:rsid w:val="00830A6B"/>
    <w:rsid w:val="00833380"/>
    <w:rsid w:val="0083348E"/>
    <w:rsid w:val="00833772"/>
    <w:rsid w:val="00835281"/>
    <w:rsid w:val="00836AD4"/>
    <w:rsid w:val="00841C96"/>
    <w:rsid w:val="0084334E"/>
    <w:rsid w:val="00843FB5"/>
    <w:rsid w:val="0084432B"/>
    <w:rsid w:val="0084438F"/>
    <w:rsid w:val="008445C5"/>
    <w:rsid w:val="008447C4"/>
    <w:rsid w:val="00844B68"/>
    <w:rsid w:val="008478D7"/>
    <w:rsid w:val="00850238"/>
    <w:rsid w:val="008520EB"/>
    <w:rsid w:val="008543E2"/>
    <w:rsid w:val="00854C1A"/>
    <w:rsid w:val="00856561"/>
    <w:rsid w:val="00856E3A"/>
    <w:rsid w:val="00857D2B"/>
    <w:rsid w:val="008606FD"/>
    <w:rsid w:val="008607C2"/>
    <w:rsid w:val="00864087"/>
    <w:rsid w:val="008643B9"/>
    <w:rsid w:val="00865A5A"/>
    <w:rsid w:val="008702B9"/>
    <w:rsid w:val="008711C7"/>
    <w:rsid w:val="008719CA"/>
    <w:rsid w:val="00871DBE"/>
    <w:rsid w:val="0087214C"/>
    <w:rsid w:val="00872519"/>
    <w:rsid w:val="008768CD"/>
    <w:rsid w:val="008817CE"/>
    <w:rsid w:val="0088240D"/>
    <w:rsid w:val="00883313"/>
    <w:rsid w:val="00883898"/>
    <w:rsid w:val="00884B64"/>
    <w:rsid w:val="008868F6"/>
    <w:rsid w:val="00886EF4"/>
    <w:rsid w:val="00891AE9"/>
    <w:rsid w:val="00892F9E"/>
    <w:rsid w:val="00894F35"/>
    <w:rsid w:val="00895295"/>
    <w:rsid w:val="00896F1C"/>
    <w:rsid w:val="00896F43"/>
    <w:rsid w:val="008970B2"/>
    <w:rsid w:val="00897938"/>
    <w:rsid w:val="008A06F0"/>
    <w:rsid w:val="008A142B"/>
    <w:rsid w:val="008A152C"/>
    <w:rsid w:val="008A3CD4"/>
    <w:rsid w:val="008A3D7C"/>
    <w:rsid w:val="008A5A47"/>
    <w:rsid w:val="008A747B"/>
    <w:rsid w:val="008A761F"/>
    <w:rsid w:val="008A7E4B"/>
    <w:rsid w:val="008A7F83"/>
    <w:rsid w:val="008B15A6"/>
    <w:rsid w:val="008B1A2C"/>
    <w:rsid w:val="008B2048"/>
    <w:rsid w:val="008B292A"/>
    <w:rsid w:val="008B4D0D"/>
    <w:rsid w:val="008B4D45"/>
    <w:rsid w:val="008C01F7"/>
    <w:rsid w:val="008C0D72"/>
    <w:rsid w:val="008C2120"/>
    <w:rsid w:val="008C38B5"/>
    <w:rsid w:val="008C5740"/>
    <w:rsid w:val="008D0059"/>
    <w:rsid w:val="008D05C4"/>
    <w:rsid w:val="008D0637"/>
    <w:rsid w:val="008D1BF5"/>
    <w:rsid w:val="008D3CC0"/>
    <w:rsid w:val="008D46B5"/>
    <w:rsid w:val="008D6622"/>
    <w:rsid w:val="008D73F0"/>
    <w:rsid w:val="008D7FA5"/>
    <w:rsid w:val="008E0F95"/>
    <w:rsid w:val="008E3021"/>
    <w:rsid w:val="008E30F0"/>
    <w:rsid w:val="008E3DFE"/>
    <w:rsid w:val="008E4173"/>
    <w:rsid w:val="008E46C5"/>
    <w:rsid w:val="008E5B52"/>
    <w:rsid w:val="008E5C50"/>
    <w:rsid w:val="008E692B"/>
    <w:rsid w:val="008E7D16"/>
    <w:rsid w:val="008F012D"/>
    <w:rsid w:val="008F0A24"/>
    <w:rsid w:val="008F0F48"/>
    <w:rsid w:val="008F1A1A"/>
    <w:rsid w:val="008F52D2"/>
    <w:rsid w:val="008F583B"/>
    <w:rsid w:val="008F67C0"/>
    <w:rsid w:val="008F6BFB"/>
    <w:rsid w:val="008F6D49"/>
    <w:rsid w:val="008F702B"/>
    <w:rsid w:val="009001D5"/>
    <w:rsid w:val="00900922"/>
    <w:rsid w:val="00900FB5"/>
    <w:rsid w:val="00901674"/>
    <w:rsid w:val="00906EA6"/>
    <w:rsid w:val="00907066"/>
    <w:rsid w:val="00907CAB"/>
    <w:rsid w:val="00912DF0"/>
    <w:rsid w:val="00913388"/>
    <w:rsid w:val="0091371F"/>
    <w:rsid w:val="00914118"/>
    <w:rsid w:val="0091562F"/>
    <w:rsid w:val="00916162"/>
    <w:rsid w:val="00922DE8"/>
    <w:rsid w:val="00923413"/>
    <w:rsid w:val="0092350A"/>
    <w:rsid w:val="00925630"/>
    <w:rsid w:val="009259EA"/>
    <w:rsid w:val="00925FB8"/>
    <w:rsid w:val="0093044A"/>
    <w:rsid w:val="0093583F"/>
    <w:rsid w:val="0093621A"/>
    <w:rsid w:val="00937298"/>
    <w:rsid w:val="00937453"/>
    <w:rsid w:val="009376D6"/>
    <w:rsid w:val="00940D9C"/>
    <w:rsid w:val="00941033"/>
    <w:rsid w:val="00941050"/>
    <w:rsid w:val="0094143A"/>
    <w:rsid w:val="00943465"/>
    <w:rsid w:val="009451DB"/>
    <w:rsid w:val="009459D7"/>
    <w:rsid w:val="009461BA"/>
    <w:rsid w:val="009508CA"/>
    <w:rsid w:val="00950C2C"/>
    <w:rsid w:val="0095392E"/>
    <w:rsid w:val="00953D15"/>
    <w:rsid w:val="009573E5"/>
    <w:rsid w:val="00957611"/>
    <w:rsid w:val="00962E2A"/>
    <w:rsid w:val="00965085"/>
    <w:rsid w:val="0096628A"/>
    <w:rsid w:val="0096798F"/>
    <w:rsid w:val="00967EC2"/>
    <w:rsid w:val="00970526"/>
    <w:rsid w:val="009710D0"/>
    <w:rsid w:val="00972439"/>
    <w:rsid w:val="00973C97"/>
    <w:rsid w:val="009751B8"/>
    <w:rsid w:val="00976124"/>
    <w:rsid w:val="0097615C"/>
    <w:rsid w:val="0097658D"/>
    <w:rsid w:val="009800A4"/>
    <w:rsid w:val="00982732"/>
    <w:rsid w:val="00982D96"/>
    <w:rsid w:val="00991C26"/>
    <w:rsid w:val="00991F99"/>
    <w:rsid w:val="0099384D"/>
    <w:rsid w:val="00993E64"/>
    <w:rsid w:val="009945CE"/>
    <w:rsid w:val="009948D3"/>
    <w:rsid w:val="009A0312"/>
    <w:rsid w:val="009A1200"/>
    <w:rsid w:val="009A2121"/>
    <w:rsid w:val="009A33CB"/>
    <w:rsid w:val="009A3AF4"/>
    <w:rsid w:val="009A4476"/>
    <w:rsid w:val="009A52D5"/>
    <w:rsid w:val="009A5F48"/>
    <w:rsid w:val="009B0083"/>
    <w:rsid w:val="009B08CF"/>
    <w:rsid w:val="009B4A6B"/>
    <w:rsid w:val="009B4FAC"/>
    <w:rsid w:val="009B5559"/>
    <w:rsid w:val="009B7354"/>
    <w:rsid w:val="009C00BC"/>
    <w:rsid w:val="009C0652"/>
    <w:rsid w:val="009C1747"/>
    <w:rsid w:val="009C2326"/>
    <w:rsid w:val="009C315E"/>
    <w:rsid w:val="009C3EEB"/>
    <w:rsid w:val="009C4713"/>
    <w:rsid w:val="009C6B06"/>
    <w:rsid w:val="009C79B0"/>
    <w:rsid w:val="009C7E75"/>
    <w:rsid w:val="009C7EFB"/>
    <w:rsid w:val="009D0C2F"/>
    <w:rsid w:val="009D182D"/>
    <w:rsid w:val="009D1C30"/>
    <w:rsid w:val="009D22DC"/>
    <w:rsid w:val="009D2334"/>
    <w:rsid w:val="009D2A30"/>
    <w:rsid w:val="009D3211"/>
    <w:rsid w:val="009D36BC"/>
    <w:rsid w:val="009D3FB3"/>
    <w:rsid w:val="009D40F2"/>
    <w:rsid w:val="009D4A6F"/>
    <w:rsid w:val="009D7B6C"/>
    <w:rsid w:val="009E0892"/>
    <w:rsid w:val="009E3C85"/>
    <w:rsid w:val="009E3E31"/>
    <w:rsid w:val="009E45BD"/>
    <w:rsid w:val="009E5F8A"/>
    <w:rsid w:val="009E6ECA"/>
    <w:rsid w:val="009E7208"/>
    <w:rsid w:val="009F0A47"/>
    <w:rsid w:val="009F2048"/>
    <w:rsid w:val="009F2865"/>
    <w:rsid w:val="009F41E8"/>
    <w:rsid w:val="009F5B60"/>
    <w:rsid w:val="009F5EA1"/>
    <w:rsid w:val="009F6088"/>
    <w:rsid w:val="009F69FC"/>
    <w:rsid w:val="009F78D4"/>
    <w:rsid w:val="00A00F68"/>
    <w:rsid w:val="00A029ED"/>
    <w:rsid w:val="00A0339E"/>
    <w:rsid w:val="00A04B4C"/>
    <w:rsid w:val="00A04B52"/>
    <w:rsid w:val="00A05122"/>
    <w:rsid w:val="00A054E2"/>
    <w:rsid w:val="00A056C3"/>
    <w:rsid w:val="00A10ADA"/>
    <w:rsid w:val="00A11784"/>
    <w:rsid w:val="00A12162"/>
    <w:rsid w:val="00A1549E"/>
    <w:rsid w:val="00A15538"/>
    <w:rsid w:val="00A15855"/>
    <w:rsid w:val="00A20187"/>
    <w:rsid w:val="00A20210"/>
    <w:rsid w:val="00A21C2F"/>
    <w:rsid w:val="00A2210A"/>
    <w:rsid w:val="00A24E3F"/>
    <w:rsid w:val="00A263A2"/>
    <w:rsid w:val="00A270C0"/>
    <w:rsid w:val="00A303CF"/>
    <w:rsid w:val="00A30AF8"/>
    <w:rsid w:val="00A3266B"/>
    <w:rsid w:val="00A32EBE"/>
    <w:rsid w:val="00A34067"/>
    <w:rsid w:val="00A34655"/>
    <w:rsid w:val="00A34E11"/>
    <w:rsid w:val="00A3665B"/>
    <w:rsid w:val="00A41A27"/>
    <w:rsid w:val="00A42502"/>
    <w:rsid w:val="00A43D0D"/>
    <w:rsid w:val="00A44F63"/>
    <w:rsid w:val="00A466D1"/>
    <w:rsid w:val="00A46859"/>
    <w:rsid w:val="00A470F3"/>
    <w:rsid w:val="00A47EA6"/>
    <w:rsid w:val="00A5098C"/>
    <w:rsid w:val="00A51C8F"/>
    <w:rsid w:val="00A51CF9"/>
    <w:rsid w:val="00A52F79"/>
    <w:rsid w:val="00A53A36"/>
    <w:rsid w:val="00A53A63"/>
    <w:rsid w:val="00A53D94"/>
    <w:rsid w:val="00A549E9"/>
    <w:rsid w:val="00A551EE"/>
    <w:rsid w:val="00A55A60"/>
    <w:rsid w:val="00A5723D"/>
    <w:rsid w:val="00A605AE"/>
    <w:rsid w:val="00A61BFD"/>
    <w:rsid w:val="00A638D6"/>
    <w:rsid w:val="00A64597"/>
    <w:rsid w:val="00A64C8C"/>
    <w:rsid w:val="00A660C8"/>
    <w:rsid w:val="00A668C3"/>
    <w:rsid w:val="00A668F7"/>
    <w:rsid w:val="00A70CC6"/>
    <w:rsid w:val="00A70D2E"/>
    <w:rsid w:val="00A71BC6"/>
    <w:rsid w:val="00A71CC9"/>
    <w:rsid w:val="00A73F3B"/>
    <w:rsid w:val="00A744E8"/>
    <w:rsid w:val="00A749DF"/>
    <w:rsid w:val="00A81DDF"/>
    <w:rsid w:val="00A81F05"/>
    <w:rsid w:val="00A83A2E"/>
    <w:rsid w:val="00A84E0A"/>
    <w:rsid w:val="00A8617D"/>
    <w:rsid w:val="00A90182"/>
    <w:rsid w:val="00A90634"/>
    <w:rsid w:val="00A917BF"/>
    <w:rsid w:val="00A931E7"/>
    <w:rsid w:val="00A9449A"/>
    <w:rsid w:val="00A944BC"/>
    <w:rsid w:val="00A97453"/>
    <w:rsid w:val="00A97946"/>
    <w:rsid w:val="00A97991"/>
    <w:rsid w:val="00AA13DC"/>
    <w:rsid w:val="00AA1E9C"/>
    <w:rsid w:val="00AA2C23"/>
    <w:rsid w:val="00AA5891"/>
    <w:rsid w:val="00AA6D5F"/>
    <w:rsid w:val="00AA7068"/>
    <w:rsid w:val="00AA7767"/>
    <w:rsid w:val="00AB3E4E"/>
    <w:rsid w:val="00AB46B6"/>
    <w:rsid w:val="00AC097B"/>
    <w:rsid w:val="00AC22EF"/>
    <w:rsid w:val="00AC2C6F"/>
    <w:rsid w:val="00AC481B"/>
    <w:rsid w:val="00AC49B5"/>
    <w:rsid w:val="00AC7E58"/>
    <w:rsid w:val="00AD04EE"/>
    <w:rsid w:val="00AD0AEC"/>
    <w:rsid w:val="00AD0FDB"/>
    <w:rsid w:val="00AD40E3"/>
    <w:rsid w:val="00AD552C"/>
    <w:rsid w:val="00AE12F4"/>
    <w:rsid w:val="00AE15F5"/>
    <w:rsid w:val="00AE1686"/>
    <w:rsid w:val="00AE2950"/>
    <w:rsid w:val="00AE364D"/>
    <w:rsid w:val="00AE46A6"/>
    <w:rsid w:val="00AE4B0A"/>
    <w:rsid w:val="00AE6A81"/>
    <w:rsid w:val="00AE7889"/>
    <w:rsid w:val="00AF1D30"/>
    <w:rsid w:val="00AF2BB0"/>
    <w:rsid w:val="00AF3AC3"/>
    <w:rsid w:val="00AF454C"/>
    <w:rsid w:val="00AF620B"/>
    <w:rsid w:val="00AF69F7"/>
    <w:rsid w:val="00AF7BFF"/>
    <w:rsid w:val="00AF7EB2"/>
    <w:rsid w:val="00B00270"/>
    <w:rsid w:val="00B02A4B"/>
    <w:rsid w:val="00B036B8"/>
    <w:rsid w:val="00B03832"/>
    <w:rsid w:val="00B04B45"/>
    <w:rsid w:val="00B060EF"/>
    <w:rsid w:val="00B06819"/>
    <w:rsid w:val="00B10238"/>
    <w:rsid w:val="00B11326"/>
    <w:rsid w:val="00B11584"/>
    <w:rsid w:val="00B11691"/>
    <w:rsid w:val="00B12566"/>
    <w:rsid w:val="00B127DA"/>
    <w:rsid w:val="00B1418C"/>
    <w:rsid w:val="00B14B2B"/>
    <w:rsid w:val="00B15AB4"/>
    <w:rsid w:val="00B16208"/>
    <w:rsid w:val="00B2119F"/>
    <w:rsid w:val="00B222BB"/>
    <w:rsid w:val="00B22A4B"/>
    <w:rsid w:val="00B23B3B"/>
    <w:rsid w:val="00B23CF1"/>
    <w:rsid w:val="00B240E0"/>
    <w:rsid w:val="00B262DA"/>
    <w:rsid w:val="00B26FAD"/>
    <w:rsid w:val="00B26FF8"/>
    <w:rsid w:val="00B27F38"/>
    <w:rsid w:val="00B30037"/>
    <w:rsid w:val="00B30DE0"/>
    <w:rsid w:val="00B30E56"/>
    <w:rsid w:val="00B31E47"/>
    <w:rsid w:val="00B31E64"/>
    <w:rsid w:val="00B3468C"/>
    <w:rsid w:val="00B369BC"/>
    <w:rsid w:val="00B36A81"/>
    <w:rsid w:val="00B36DCA"/>
    <w:rsid w:val="00B37B2E"/>
    <w:rsid w:val="00B37C5B"/>
    <w:rsid w:val="00B41110"/>
    <w:rsid w:val="00B428D8"/>
    <w:rsid w:val="00B434BB"/>
    <w:rsid w:val="00B438CE"/>
    <w:rsid w:val="00B4402C"/>
    <w:rsid w:val="00B44894"/>
    <w:rsid w:val="00B449D0"/>
    <w:rsid w:val="00B4628D"/>
    <w:rsid w:val="00B47EDC"/>
    <w:rsid w:val="00B54A02"/>
    <w:rsid w:val="00B55545"/>
    <w:rsid w:val="00B56CF9"/>
    <w:rsid w:val="00B574D2"/>
    <w:rsid w:val="00B608BA"/>
    <w:rsid w:val="00B62B1D"/>
    <w:rsid w:val="00B634CF"/>
    <w:rsid w:val="00B64034"/>
    <w:rsid w:val="00B6407E"/>
    <w:rsid w:val="00B64592"/>
    <w:rsid w:val="00B64ECB"/>
    <w:rsid w:val="00B65967"/>
    <w:rsid w:val="00B67774"/>
    <w:rsid w:val="00B72916"/>
    <w:rsid w:val="00B730A2"/>
    <w:rsid w:val="00B741C9"/>
    <w:rsid w:val="00B76658"/>
    <w:rsid w:val="00B76B0A"/>
    <w:rsid w:val="00B777AD"/>
    <w:rsid w:val="00B80C2E"/>
    <w:rsid w:val="00B82C65"/>
    <w:rsid w:val="00B83CFF"/>
    <w:rsid w:val="00B84289"/>
    <w:rsid w:val="00B84CCA"/>
    <w:rsid w:val="00B84D6C"/>
    <w:rsid w:val="00B85223"/>
    <w:rsid w:val="00B87D2F"/>
    <w:rsid w:val="00B9004C"/>
    <w:rsid w:val="00B92136"/>
    <w:rsid w:val="00B92BF8"/>
    <w:rsid w:val="00B941F4"/>
    <w:rsid w:val="00B94DD0"/>
    <w:rsid w:val="00B95252"/>
    <w:rsid w:val="00B96BEA"/>
    <w:rsid w:val="00B96E5F"/>
    <w:rsid w:val="00B974FC"/>
    <w:rsid w:val="00BA040A"/>
    <w:rsid w:val="00BA23F8"/>
    <w:rsid w:val="00BA252F"/>
    <w:rsid w:val="00BA332B"/>
    <w:rsid w:val="00BA34DA"/>
    <w:rsid w:val="00BA40C2"/>
    <w:rsid w:val="00BA449D"/>
    <w:rsid w:val="00BA50BC"/>
    <w:rsid w:val="00BA51B8"/>
    <w:rsid w:val="00BA56E3"/>
    <w:rsid w:val="00BA5722"/>
    <w:rsid w:val="00BA636A"/>
    <w:rsid w:val="00BB0504"/>
    <w:rsid w:val="00BB14C0"/>
    <w:rsid w:val="00BB1511"/>
    <w:rsid w:val="00BB1D0E"/>
    <w:rsid w:val="00BB2923"/>
    <w:rsid w:val="00BB2BBB"/>
    <w:rsid w:val="00BB2EE5"/>
    <w:rsid w:val="00BB54B9"/>
    <w:rsid w:val="00BB6C89"/>
    <w:rsid w:val="00BB788C"/>
    <w:rsid w:val="00BC05FC"/>
    <w:rsid w:val="00BC0C5D"/>
    <w:rsid w:val="00BC548C"/>
    <w:rsid w:val="00BC5A05"/>
    <w:rsid w:val="00BC5D0A"/>
    <w:rsid w:val="00BC6534"/>
    <w:rsid w:val="00BC6F3D"/>
    <w:rsid w:val="00BC734D"/>
    <w:rsid w:val="00BD252C"/>
    <w:rsid w:val="00BD3721"/>
    <w:rsid w:val="00BE1E17"/>
    <w:rsid w:val="00BE29E8"/>
    <w:rsid w:val="00BE2D21"/>
    <w:rsid w:val="00BE41A2"/>
    <w:rsid w:val="00BE5EF2"/>
    <w:rsid w:val="00BE61A8"/>
    <w:rsid w:val="00BE6735"/>
    <w:rsid w:val="00BF0998"/>
    <w:rsid w:val="00BF1814"/>
    <w:rsid w:val="00BF2A30"/>
    <w:rsid w:val="00BF3AD8"/>
    <w:rsid w:val="00BF43EE"/>
    <w:rsid w:val="00BF6D75"/>
    <w:rsid w:val="00BF6E59"/>
    <w:rsid w:val="00BF75D1"/>
    <w:rsid w:val="00BF79F5"/>
    <w:rsid w:val="00C001F7"/>
    <w:rsid w:val="00C00358"/>
    <w:rsid w:val="00C004BD"/>
    <w:rsid w:val="00C01018"/>
    <w:rsid w:val="00C01383"/>
    <w:rsid w:val="00C018A4"/>
    <w:rsid w:val="00C01D92"/>
    <w:rsid w:val="00C0290D"/>
    <w:rsid w:val="00C02E49"/>
    <w:rsid w:val="00C038DA"/>
    <w:rsid w:val="00C04659"/>
    <w:rsid w:val="00C04BE7"/>
    <w:rsid w:val="00C04F98"/>
    <w:rsid w:val="00C057DB"/>
    <w:rsid w:val="00C06BC1"/>
    <w:rsid w:val="00C073A9"/>
    <w:rsid w:val="00C07A6C"/>
    <w:rsid w:val="00C10709"/>
    <w:rsid w:val="00C12381"/>
    <w:rsid w:val="00C12E6B"/>
    <w:rsid w:val="00C14EA1"/>
    <w:rsid w:val="00C1707A"/>
    <w:rsid w:val="00C217F7"/>
    <w:rsid w:val="00C21985"/>
    <w:rsid w:val="00C22A20"/>
    <w:rsid w:val="00C22CB6"/>
    <w:rsid w:val="00C231B2"/>
    <w:rsid w:val="00C24951"/>
    <w:rsid w:val="00C2536D"/>
    <w:rsid w:val="00C257A4"/>
    <w:rsid w:val="00C25B4C"/>
    <w:rsid w:val="00C26BA3"/>
    <w:rsid w:val="00C323B0"/>
    <w:rsid w:val="00C333E6"/>
    <w:rsid w:val="00C35411"/>
    <w:rsid w:val="00C36638"/>
    <w:rsid w:val="00C372F7"/>
    <w:rsid w:val="00C37648"/>
    <w:rsid w:val="00C4060B"/>
    <w:rsid w:val="00C409BB"/>
    <w:rsid w:val="00C40F7E"/>
    <w:rsid w:val="00C41896"/>
    <w:rsid w:val="00C42283"/>
    <w:rsid w:val="00C44751"/>
    <w:rsid w:val="00C4531D"/>
    <w:rsid w:val="00C47289"/>
    <w:rsid w:val="00C512CA"/>
    <w:rsid w:val="00C51DC6"/>
    <w:rsid w:val="00C529D6"/>
    <w:rsid w:val="00C53BEC"/>
    <w:rsid w:val="00C55F6A"/>
    <w:rsid w:val="00C57AB2"/>
    <w:rsid w:val="00C57D21"/>
    <w:rsid w:val="00C61316"/>
    <w:rsid w:val="00C61B27"/>
    <w:rsid w:val="00C6327C"/>
    <w:rsid w:val="00C636A2"/>
    <w:rsid w:val="00C651F5"/>
    <w:rsid w:val="00C65F74"/>
    <w:rsid w:val="00C667DC"/>
    <w:rsid w:val="00C66D07"/>
    <w:rsid w:val="00C676CD"/>
    <w:rsid w:val="00C67B38"/>
    <w:rsid w:val="00C704E2"/>
    <w:rsid w:val="00C70688"/>
    <w:rsid w:val="00C70723"/>
    <w:rsid w:val="00C733C0"/>
    <w:rsid w:val="00C74166"/>
    <w:rsid w:val="00C749B3"/>
    <w:rsid w:val="00C764AC"/>
    <w:rsid w:val="00C766ED"/>
    <w:rsid w:val="00C8112A"/>
    <w:rsid w:val="00C8161D"/>
    <w:rsid w:val="00C8213A"/>
    <w:rsid w:val="00C824AC"/>
    <w:rsid w:val="00C8273D"/>
    <w:rsid w:val="00C82B5D"/>
    <w:rsid w:val="00C86D46"/>
    <w:rsid w:val="00C90B35"/>
    <w:rsid w:val="00C917CF"/>
    <w:rsid w:val="00C925FF"/>
    <w:rsid w:val="00C938C0"/>
    <w:rsid w:val="00C93C6D"/>
    <w:rsid w:val="00C9542E"/>
    <w:rsid w:val="00C955DB"/>
    <w:rsid w:val="00C95BAA"/>
    <w:rsid w:val="00C9699B"/>
    <w:rsid w:val="00C97143"/>
    <w:rsid w:val="00C9730E"/>
    <w:rsid w:val="00CA0D4E"/>
    <w:rsid w:val="00CA473F"/>
    <w:rsid w:val="00CA5F68"/>
    <w:rsid w:val="00CA6C2B"/>
    <w:rsid w:val="00CA7783"/>
    <w:rsid w:val="00CA7ED5"/>
    <w:rsid w:val="00CB3116"/>
    <w:rsid w:val="00CB47A5"/>
    <w:rsid w:val="00CB48E6"/>
    <w:rsid w:val="00CB556E"/>
    <w:rsid w:val="00CB6ABD"/>
    <w:rsid w:val="00CB6C3C"/>
    <w:rsid w:val="00CB7184"/>
    <w:rsid w:val="00CC02C8"/>
    <w:rsid w:val="00CC19FC"/>
    <w:rsid w:val="00CC27B1"/>
    <w:rsid w:val="00CC3616"/>
    <w:rsid w:val="00CC7E0E"/>
    <w:rsid w:val="00CD0B5D"/>
    <w:rsid w:val="00CD10CA"/>
    <w:rsid w:val="00CD10D3"/>
    <w:rsid w:val="00CD31FC"/>
    <w:rsid w:val="00CD3674"/>
    <w:rsid w:val="00CD3F7B"/>
    <w:rsid w:val="00CD4C0B"/>
    <w:rsid w:val="00CD5DF5"/>
    <w:rsid w:val="00CD70FC"/>
    <w:rsid w:val="00CD781B"/>
    <w:rsid w:val="00CD7B1C"/>
    <w:rsid w:val="00CE021C"/>
    <w:rsid w:val="00CE064A"/>
    <w:rsid w:val="00CE37FA"/>
    <w:rsid w:val="00CE71EA"/>
    <w:rsid w:val="00CE7217"/>
    <w:rsid w:val="00CE7AA8"/>
    <w:rsid w:val="00CF0016"/>
    <w:rsid w:val="00CF2636"/>
    <w:rsid w:val="00CF303C"/>
    <w:rsid w:val="00CF36C9"/>
    <w:rsid w:val="00CF41C9"/>
    <w:rsid w:val="00CF57CE"/>
    <w:rsid w:val="00D0177B"/>
    <w:rsid w:val="00D03F41"/>
    <w:rsid w:val="00D04796"/>
    <w:rsid w:val="00D04D8C"/>
    <w:rsid w:val="00D04E34"/>
    <w:rsid w:val="00D06D21"/>
    <w:rsid w:val="00D1178F"/>
    <w:rsid w:val="00D1189D"/>
    <w:rsid w:val="00D11DE1"/>
    <w:rsid w:val="00D12551"/>
    <w:rsid w:val="00D13B16"/>
    <w:rsid w:val="00D1415C"/>
    <w:rsid w:val="00D15D8A"/>
    <w:rsid w:val="00D16E5A"/>
    <w:rsid w:val="00D20B14"/>
    <w:rsid w:val="00D20CDF"/>
    <w:rsid w:val="00D20D7E"/>
    <w:rsid w:val="00D20E07"/>
    <w:rsid w:val="00D20E3E"/>
    <w:rsid w:val="00D218F0"/>
    <w:rsid w:val="00D220E7"/>
    <w:rsid w:val="00D2273C"/>
    <w:rsid w:val="00D22C4D"/>
    <w:rsid w:val="00D22E53"/>
    <w:rsid w:val="00D25C2E"/>
    <w:rsid w:val="00D30582"/>
    <w:rsid w:val="00D30A50"/>
    <w:rsid w:val="00D3141C"/>
    <w:rsid w:val="00D338FC"/>
    <w:rsid w:val="00D34602"/>
    <w:rsid w:val="00D35DB7"/>
    <w:rsid w:val="00D36D96"/>
    <w:rsid w:val="00D40613"/>
    <w:rsid w:val="00D406FC"/>
    <w:rsid w:val="00D4101B"/>
    <w:rsid w:val="00D43844"/>
    <w:rsid w:val="00D43E72"/>
    <w:rsid w:val="00D442E4"/>
    <w:rsid w:val="00D450B9"/>
    <w:rsid w:val="00D47290"/>
    <w:rsid w:val="00D50F67"/>
    <w:rsid w:val="00D52A96"/>
    <w:rsid w:val="00D52F7A"/>
    <w:rsid w:val="00D531A9"/>
    <w:rsid w:val="00D5527B"/>
    <w:rsid w:val="00D55B68"/>
    <w:rsid w:val="00D55BC5"/>
    <w:rsid w:val="00D5618E"/>
    <w:rsid w:val="00D571A8"/>
    <w:rsid w:val="00D57311"/>
    <w:rsid w:val="00D6129F"/>
    <w:rsid w:val="00D620DA"/>
    <w:rsid w:val="00D62A5E"/>
    <w:rsid w:val="00D631CE"/>
    <w:rsid w:val="00D637E5"/>
    <w:rsid w:val="00D63D59"/>
    <w:rsid w:val="00D66BE0"/>
    <w:rsid w:val="00D67392"/>
    <w:rsid w:val="00D705A6"/>
    <w:rsid w:val="00D717B7"/>
    <w:rsid w:val="00D729A8"/>
    <w:rsid w:val="00D76F95"/>
    <w:rsid w:val="00D7761B"/>
    <w:rsid w:val="00D77F74"/>
    <w:rsid w:val="00D92167"/>
    <w:rsid w:val="00D92C01"/>
    <w:rsid w:val="00D92E62"/>
    <w:rsid w:val="00D93718"/>
    <w:rsid w:val="00D95EF6"/>
    <w:rsid w:val="00D96031"/>
    <w:rsid w:val="00D96DC1"/>
    <w:rsid w:val="00D975B2"/>
    <w:rsid w:val="00DA007D"/>
    <w:rsid w:val="00DA284A"/>
    <w:rsid w:val="00DA3EF4"/>
    <w:rsid w:val="00DA7563"/>
    <w:rsid w:val="00DB08A5"/>
    <w:rsid w:val="00DB105B"/>
    <w:rsid w:val="00DB2D90"/>
    <w:rsid w:val="00DB2FF2"/>
    <w:rsid w:val="00DB3104"/>
    <w:rsid w:val="00DB4587"/>
    <w:rsid w:val="00DB6B05"/>
    <w:rsid w:val="00DC1127"/>
    <w:rsid w:val="00DC1ED1"/>
    <w:rsid w:val="00DC22C0"/>
    <w:rsid w:val="00DC348E"/>
    <w:rsid w:val="00DC3B22"/>
    <w:rsid w:val="00DC3BED"/>
    <w:rsid w:val="00DC3EEE"/>
    <w:rsid w:val="00DC496B"/>
    <w:rsid w:val="00DC7A93"/>
    <w:rsid w:val="00DD19DE"/>
    <w:rsid w:val="00DD3355"/>
    <w:rsid w:val="00DD381D"/>
    <w:rsid w:val="00DD4475"/>
    <w:rsid w:val="00DD58FE"/>
    <w:rsid w:val="00DD6578"/>
    <w:rsid w:val="00DD6BCF"/>
    <w:rsid w:val="00DD740D"/>
    <w:rsid w:val="00DD7E01"/>
    <w:rsid w:val="00DE0D11"/>
    <w:rsid w:val="00DE13B2"/>
    <w:rsid w:val="00DE175B"/>
    <w:rsid w:val="00DE211D"/>
    <w:rsid w:val="00DE235C"/>
    <w:rsid w:val="00DE2E12"/>
    <w:rsid w:val="00DE3BC8"/>
    <w:rsid w:val="00DE3C0B"/>
    <w:rsid w:val="00DE4094"/>
    <w:rsid w:val="00DE4228"/>
    <w:rsid w:val="00DE4C8A"/>
    <w:rsid w:val="00DE4FB8"/>
    <w:rsid w:val="00DE58EF"/>
    <w:rsid w:val="00DE7BB5"/>
    <w:rsid w:val="00DF353A"/>
    <w:rsid w:val="00DF35FF"/>
    <w:rsid w:val="00DF38E8"/>
    <w:rsid w:val="00DF4A21"/>
    <w:rsid w:val="00DF4C78"/>
    <w:rsid w:val="00DF5A3D"/>
    <w:rsid w:val="00DF75D0"/>
    <w:rsid w:val="00DF788F"/>
    <w:rsid w:val="00E00633"/>
    <w:rsid w:val="00E00736"/>
    <w:rsid w:val="00E01D0E"/>
    <w:rsid w:val="00E01E49"/>
    <w:rsid w:val="00E020A2"/>
    <w:rsid w:val="00E0234A"/>
    <w:rsid w:val="00E02DAD"/>
    <w:rsid w:val="00E039AA"/>
    <w:rsid w:val="00E04D39"/>
    <w:rsid w:val="00E05A44"/>
    <w:rsid w:val="00E05A7D"/>
    <w:rsid w:val="00E06D6E"/>
    <w:rsid w:val="00E075E1"/>
    <w:rsid w:val="00E077DE"/>
    <w:rsid w:val="00E14886"/>
    <w:rsid w:val="00E1713A"/>
    <w:rsid w:val="00E22A99"/>
    <w:rsid w:val="00E24926"/>
    <w:rsid w:val="00E24A2A"/>
    <w:rsid w:val="00E2536B"/>
    <w:rsid w:val="00E26DB7"/>
    <w:rsid w:val="00E30BE5"/>
    <w:rsid w:val="00E30BFC"/>
    <w:rsid w:val="00E30C76"/>
    <w:rsid w:val="00E31D67"/>
    <w:rsid w:val="00E32BF9"/>
    <w:rsid w:val="00E330CE"/>
    <w:rsid w:val="00E33D95"/>
    <w:rsid w:val="00E40D2D"/>
    <w:rsid w:val="00E41E3B"/>
    <w:rsid w:val="00E42714"/>
    <w:rsid w:val="00E4278E"/>
    <w:rsid w:val="00E434D8"/>
    <w:rsid w:val="00E435D6"/>
    <w:rsid w:val="00E45CB7"/>
    <w:rsid w:val="00E460F1"/>
    <w:rsid w:val="00E466F0"/>
    <w:rsid w:val="00E472B2"/>
    <w:rsid w:val="00E4764E"/>
    <w:rsid w:val="00E51400"/>
    <w:rsid w:val="00E53D9A"/>
    <w:rsid w:val="00E5420D"/>
    <w:rsid w:val="00E551CA"/>
    <w:rsid w:val="00E5786E"/>
    <w:rsid w:val="00E60E63"/>
    <w:rsid w:val="00E6446A"/>
    <w:rsid w:val="00E64ACA"/>
    <w:rsid w:val="00E64F69"/>
    <w:rsid w:val="00E65AD1"/>
    <w:rsid w:val="00E67135"/>
    <w:rsid w:val="00E673FC"/>
    <w:rsid w:val="00E6769E"/>
    <w:rsid w:val="00E71039"/>
    <w:rsid w:val="00E711F5"/>
    <w:rsid w:val="00E722E9"/>
    <w:rsid w:val="00E73393"/>
    <w:rsid w:val="00E746E4"/>
    <w:rsid w:val="00E75017"/>
    <w:rsid w:val="00E75252"/>
    <w:rsid w:val="00E758BA"/>
    <w:rsid w:val="00E77198"/>
    <w:rsid w:val="00E81A0A"/>
    <w:rsid w:val="00E81ADF"/>
    <w:rsid w:val="00E82B3E"/>
    <w:rsid w:val="00E83C13"/>
    <w:rsid w:val="00E84514"/>
    <w:rsid w:val="00E873E0"/>
    <w:rsid w:val="00E9190B"/>
    <w:rsid w:val="00E92551"/>
    <w:rsid w:val="00E92899"/>
    <w:rsid w:val="00E928EF"/>
    <w:rsid w:val="00E940FF"/>
    <w:rsid w:val="00E94CB3"/>
    <w:rsid w:val="00E950FD"/>
    <w:rsid w:val="00EA339B"/>
    <w:rsid w:val="00EA3459"/>
    <w:rsid w:val="00EA502A"/>
    <w:rsid w:val="00EA5735"/>
    <w:rsid w:val="00EA705E"/>
    <w:rsid w:val="00EA7219"/>
    <w:rsid w:val="00EB1B23"/>
    <w:rsid w:val="00EB387E"/>
    <w:rsid w:val="00EB3A1F"/>
    <w:rsid w:val="00EB3C5B"/>
    <w:rsid w:val="00EB49F1"/>
    <w:rsid w:val="00EB4A49"/>
    <w:rsid w:val="00EB7FCF"/>
    <w:rsid w:val="00EC26D3"/>
    <w:rsid w:val="00EC398E"/>
    <w:rsid w:val="00EC419F"/>
    <w:rsid w:val="00EC52FD"/>
    <w:rsid w:val="00EC5B05"/>
    <w:rsid w:val="00ED0922"/>
    <w:rsid w:val="00ED1AC1"/>
    <w:rsid w:val="00ED225F"/>
    <w:rsid w:val="00ED2722"/>
    <w:rsid w:val="00ED35FA"/>
    <w:rsid w:val="00ED3D34"/>
    <w:rsid w:val="00ED4560"/>
    <w:rsid w:val="00ED514F"/>
    <w:rsid w:val="00EE0D2F"/>
    <w:rsid w:val="00EE1235"/>
    <w:rsid w:val="00EE18E7"/>
    <w:rsid w:val="00EE1F0A"/>
    <w:rsid w:val="00EE2AD2"/>
    <w:rsid w:val="00EE6CF5"/>
    <w:rsid w:val="00EE6EF3"/>
    <w:rsid w:val="00EF3104"/>
    <w:rsid w:val="00EF5C6B"/>
    <w:rsid w:val="00EF6549"/>
    <w:rsid w:val="00EF6785"/>
    <w:rsid w:val="00EF7732"/>
    <w:rsid w:val="00F02E41"/>
    <w:rsid w:val="00F02F0F"/>
    <w:rsid w:val="00F03E22"/>
    <w:rsid w:val="00F0431B"/>
    <w:rsid w:val="00F0457A"/>
    <w:rsid w:val="00F04D3E"/>
    <w:rsid w:val="00F05C50"/>
    <w:rsid w:val="00F06583"/>
    <w:rsid w:val="00F10CA7"/>
    <w:rsid w:val="00F1243C"/>
    <w:rsid w:val="00F12F57"/>
    <w:rsid w:val="00F13962"/>
    <w:rsid w:val="00F1586A"/>
    <w:rsid w:val="00F16943"/>
    <w:rsid w:val="00F179C6"/>
    <w:rsid w:val="00F20F7F"/>
    <w:rsid w:val="00F21C57"/>
    <w:rsid w:val="00F22B63"/>
    <w:rsid w:val="00F22EF4"/>
    <w:rsid w:val="00F23386"/>
    <w:rsid w:val="00F23747"/>
    <w:rsid w:val="00F23DDA"/>
    <w:rsid w:val="00F24207"/>
    <w:rsid w:val="00F24777"/>
    <w:rsid w:val="00F25EA8"/>
    <w:rsid w:val="00F27A9F"/>
    <w:rsid w:val="00F31490"/>
    <w:rsid w:val="00F31608"/>
    <w:rsid w:val="00F32BBD"/>
    <w:rsid w:val="00F335B5"/>
    <w:rsid w:val="00F3385C"/>
    <w:rsid w:val="00F348DB"/>
    <w:rsid w:val="00F352F3"/>
    <w:rsid w:val="00F35754"/>
    <w:rsid w:val="00F361BD"/>
    <w:rsid w:val="00F40E01"/>
    <w:rsid w:val="00F42971"/>
    <w:rsid w:val="00F434F1"/>
    <w:rsid w:val="00F446B3"/>
    <w:rsid w:val="00F4640B"/>
    <w:rsid w:val="00F46DC1"/>
    <w:rsid w:val="00F52160"/>
    <w:rsid w:val="00F52A54"/>
    <w:rsid w:val="00F54D81"/>
    <w:rsid w:val="00F56057"/>
    <w:rsid w:val="00F56A88"/>
    <w:rsid w:val="00F571E8"/>
    <w:rsid w:val="00F6010A"/>
    <w:rsid w:val="00F61346"/>
    <w:rsid w:val="00F61505"/>
    <w:rsid w:val="00F6182F"/>
    <w:rsid w:val="00F6313A"/>
    <w:rsid w:val="00F63FDD"/>
    <w:rsid w:val="00F64565"/>
    <w:rsid w:val="00F64A63"/>
    <w:rsid w:val="00F6648C"/>
    <w:rsid w:val="00F66BE8"/>
    <w:rsid w:val="00F702F0"/>
    <w:rsid w:val="00F7319F"/>
    <w:rsid w:val="00F73B90"/>
    <w:rsid w:val="00F76803"/>
    <w:rsid w:val="00F773B9"/>
    <w:rsid w:val="00F77925"/>
    <w:rsid w:val="00F816C1"/>
    <w:rsid w:val="00F8199D"/>
    <w:rsid w:val="00F81D2E"/>
    <w:rsid w:val="00F821F9"/>
    <w:rsid w:val="00F8253B"/>
    <w:rsid w:val="00F8447F"/>
    <w:rsid w:val="00F85D06"/>
    <w:rsid w:val="00F86AC9"/>
    <w:rsid w:val="00F87427"/>
    <w:rsid w:val="00F87501"/>
    <w:rsid w:val="00F8757D"/>
    <w:rsid w:val="00F87C08"/>
    <w:rsid w:val="00F90BFD"/>
    <w:rsid w:val="00F90E7D"/>
    <w:rsid w:val="00F94E69"/>
    <w:rsid w:val="00F9554C"/>
    <w:rsid w:val="00F95A49"/>
    <w:rsid w:val="00F96FAA"/>
    <w:rsid w:val="00FA00B4"/>
    <w:rsid w:val="00FA16C0"/>
    <w:rsid w:val="00FA2210"/>
    <w:rsid w:val="00FA286E"/>
    <w:rsid w:val="00FA2AF2"/>
    <w:rsid w:val="00FA2FEB"/>
    <w:rsid w:val="00FA4F3E"/>
    <w:rsid w:val="00FA5FF7"/>
    <w:rsid w:val="00FA7E37"/>
    <w:rsid w:val="00FB0A09"/>
    <w:rsid w:val="00FB249B"/>
    <w:rsid w:val="00FB2B28"/>
    <w:rsid w:val="00FB2CE1"/>
    <w:rsid w:val="00FB3567"/>
    <w:rsid w:val="00FB3F2B"/>
    <w:rsid w:val="00FB42DC"/>
    <w:rsid w:val="00FB49E3"/>
    <w:rsid w:val="00FB54EE"/>
    <w:rsid w:val="00FB59DC"/>
    <w:rsid w:val="00FC0001"/>
    <w:rsid w:val="00FC233C"/>
    <w:rsid w:val="00FC3414"/>
    <w:rsid w:val="00FC4F57"/>
    <w:rsid w:val="00FC613D"/>
    <w:rsid w:val="00FC6B42"/>
    <w:rsid w:val="00FC792F"/>
    <w:rsid w:val="00FC7DB4"/>
    <w:rsid w:val="00FC7F92"/>
    <w:rsid w:val="00FD0293"/>
    <w:rsid w:val="00FD0DF3"/>
    <w:rsid w:val="00FD35E3"/>
    <w:rsid w:val="00FD3AD4"/>
    <w:rsid w:val="00FE29A9"/>
    <w:rsid w:val="00FE39B7"/>
    <w:rsid w:val="00FE45F5"/>
    <w:rsid w:val="00FF192F"/>
    <w:rsid w:val="00FF2A50"/>
    <w:rsid w:val="00FF3295"/>
    <w:rsid w:val="00FF46BE"/>
    <w:rsid w:val="00FF5E1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ED83"/>
  <w15:chartTrackingRefBased/>
  <w15:docId w15:val="{2A5F8F05-5334-4034-AF9A-99FD2BF1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530"/>
    <w:pPr>
      <w:spacing w:after="0" w:line="240" w:lineRule="auto"/>
    </w:pPr>
    <w:rPr>
      <w:rFonts w:ascii="Calibri" w:hAnsi="Calibri" w:cs="Calibri"/>
      <w:lang w:eastAsia="bg-BG"/>
    </w:rPr>
  </w:style>
  <w:style w:type="paragraph" w:styleId="Heading1">
    <w:name w:val="heading 1"/>
    <w:basedOn w:val="Normal"/>
    <w:next w:val="Normal"/>
    <w:link w:val="Heading1Char"/>
    <w:uiPriority w:val="9"/>
    <w:qFormat/>
    <w:rsid w:val="00E42714"/>
    <w:pPr>
      <w:keepNext/>
      <w:keepLines/>
      <w:spacing w:before="480" w:line="259" w:lineRule="auto"/>
      <w:outlineLvl w:val="0"/>
    </w:pPr>
    <w:rPr>
      <w:rFonts w:asciiTheme="majorHAnsi" w:eastAsiaTheme="majorEastAsia" w:hAnsiTheme="majorHAnsi" w:cstheme="majorBidi"/>
      <w:b/>
      <w:bCs/>
      <w:color w:val="2E74B5" w:themeColor="accent1" w:themeShade="BF"/>
      <w:sz w:val="28"/>
      <w:szCs w:val="28"/>
      <w:lang w:val="en-US" w:eastAsia="en-US"/>
    </w:rPr>
  </w:style>
  <w:style w:type="paragraph" w:styleId="Heading2">
    <w:name w:val="heading 2"/>
    <w:basedOn w:val="Normal"/>
    <w:next w:val="Normal"/>
    <w:link w:val="Heading2Char"/>
    <w:uiPriority w:val="9"/>
    <w:semiHidden/>
    <w:unhideWhenUsed/>
    <w:qFormat/>
    <w:rsid w:val="0063284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US" w:eastAsia="en-US"/>
    </w:rPr>
  </w:style>
  <w:style w:type="paragraph" w:styleId="Heading3">
    <w:name w:val="heading 3"/>
    <w:basedOn w:val="Normal"/>
    <w:next w:val="Normal"/>
    <w:link w:val="Heading3Char"/>
    <w:uiPriority w:val="9"/>
    <w:semiHidden/>
    <w:unhideWhenUsed/>
    <w:qFormat/>
    <w:rsid w:val="004035C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42714"/>
    <w:pPr>
      <w:keepNext/>
      <w:keepLines/>
      <w:spacing w:before="40"/>
      <w:outlineLvl w:val="3"/>
    </w:pPr>
    <w:rPr>
      <w:rFonts w:asciiTheme="majorHAnsi" w:eastAsiaTheme="majorEastAsia" w:hAnsiTheme="majorHAnsi" w:cstheme="majorBidi"/>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714"/>
    <w:rPr>
      <w:rFonts w:asciiTheme="majorHAnsi" w:eastAsiaTheme="majorEastAsia" w:hAnsiTheme="majorHAnsi" w:cstheme="majorBidi"/>
      <w:b/>
      <w:bCs/>
      <w:color w:val="2E74B5" w:themeColor="accent1" w:themeShade="BF"/>
      <w:sz w:val="28"/>
      <w:szCs w:val="28"/>
      <w:lang w:val="en-US"/>
    </w:rPr>
  </w:style>
  <w:style w:type="character" w:customStyle="1" w:styleId="Heading4Char">
    <w:name w:val="Heading 4 Char"/>
    <w:basedOn w:val="DefaultParagraphFont"/>
    <w:link w:val="Heading4"/>
    <w:uiPriority w:val="9"/>
    <w:semiHidden/>
    <w:rsid w:val="00E42714"/>
    <w:rPr>
      <w:rFonts w:asciiTheme="majorHAnsi" w:eastAsiaTheme="majorEastAsia" w:hAnsiTheme="majorHAnsi" w:cstheme="majorBidi"/>
      <w:i/>
      <w:iCs/>
      <w:color w:val="2E74B5" w:themeColor="accent1" w:themeShade="BF"/>
      <w:lang w:val="en-US"/>
    </w:rPr>
  </w:style>
  <w:style w:type="paragraph" w:styleId="ListParagraph">
    <w:name w:val="List Paragraph"/>
    <w:basedOn w:val="Normal"/>
    <w:link w:val="ListParagraphChar"/>
    <w:uiPriority w:val="34"/>
    <w:qFormat/>
    <w:rsid w:val="00E42714"/>
    <w:pPr>
      <w:suppressAutoHyphens/>
      <w:autoSpaceDN w:val="0"/>
      <w:spacing w:after="200" w:line="276" w:lineRule="auto"/>
      <w:ind w:left="720"/>
      <w:textAlignment w:val="baseline"/>
    </w:pPr>
    <w:rPr>
      <w:rFonts w:eastAsia="Times New Roman" w:cs="Times New Roman"/>
      <w:lang w:val="en-US" w:eastAsia="en-US"/>
    </w:rPr>
  </w:style>
  <w:style w:type="paragraph" w:customStyle="1" w:styleId="ChapterBodyCopy">
    <w:name w:val="Chapter Body Copy"/>
    <w:basedOn w:val="Normal"/>
    <w:qFormat/>
    <w:rsid w:val="00E42714"/>
    <w:pPr>
      <w:spacing w:before="120" w:after="120" w:line="252" w:lineRule="auto"/>
    </w:pPr>
    <w:rPr>
      <w:rFonts w:ascii="Cambria" w:eastAsia="Cambria" w:hAnsi="Cambria" w:cs="Times New Roman"/>
      <w:color w:val="000000"/>
      <w:lang w:eastAsia="en-US"/>
    </w:rPr>
  </w:style>
  <w:style w:type="character" w:styleId="CommentReference">
    <w:name w:val="annotation reference"/>
    <w:basedOn w:val="DefaultParagraphFont"/>
    <w:uiPriority w:val="99"/>
    <w:semiHidden/>
    <w:unhideWhenUsed/>
    <w:rsid w:val="00E42714"/>
    <w:rPr>
      <w:sz w:val="16"/>
      <w:szCs w:val="16"/>
    </w:rPr>
  </w:style>
  <w:style w:type="paragraph" w:customStyle="1" w:styleId="CommentText1">
    <w:name w:val="Comment Text1"/>
    <w:basedOn w:val="Normal"/>
    <w:next w:val="CommentText"/>
    <w:link w:val="CommentTextChar"/>
    <w:uiPriority w:val="99"/>
    <w:semiHidden/>
    <w:unhideWhenUsed/>
    <w:rsid w:val="00E42714"/>
    <w:pPr>
      <w:ind w:firstLine="720"/>
      <w:jc w:val="both"/>
    </w:pPr>
    <w:rPr>
      <w:rFonts w:ascii="Times New Roman" w:hAnsi="Times New Roman"/>
      <w:sz w:val="20"/>
      <w:szCs w:val="20"/>
    </w:rPr>
  </w:style>
  <w:style w:type="character" w:customStyle="1" w:styleId="CommentTextChar">
    <w:name w:val="Comment Text Char"/>
    <w:basedOn w:val="DefaultParagraphFont"/>
    <w:link w:val="CommentText1"/>
    <w:uiPriority w:val="99"/>
    <w:semiHidden/>
    <w:rsid w:val="00E42714"/>
    <w:rPr>
      <w:rFonts w:ascii="Times New Roman" w:hAnsi="Times New Roman"/>
      <w:sz w:val="20"/>
      <w:szCs w:val="20"/>
    </w:rPr>
  </w:style>
  <w:style w:type="paragraph" w:styleId="CommentText">
    <w:name w:val="annotation text"/>
    <w:basedOn w:val="Normal"/>
    <w:link w:val="CommentTextChar1"/>
    <w:uiPriority w:val="99"/>
    <w:unhideWhenUsed/>
    <w:rsid w:val="00E42714"/>
    <w:pPr>
      <w:spacing w:after="160"/>
    </w:pPr>
    <w:rPr>
      <w:rFonts w:asciiTheme="minorHAnsi" w:hAnsiTheme="minorHAnsi" w:cstheme="minorBidi"/>
      <w:sz w:val="20"/>
      <w:szCs w:val="20"/>
      <w:lang w:val="en-US" w:eastAsia="en-US"/>
    </w:rPr>
  </w:style>
  <w:style w:type="character" w:customStyle="1" w:styleId="CommentTextChar1">
    <w:name w:val="Comment Text Char1"/>
    <w:basedOn w:val="DefaultParagraphFont"/>
    <w:link w:val="CommentText"/>
    <w:uiPriority w:val="99"/>
    <w:rsid w:val="00E42714"/>
    <w:rPr>
      <w:sz w:val="20"/>
      <w:szCs w:val="20"/>
      <w:lang w:val="en-US"/>
    </w:rPr>
  </w:style>
  <w:style w:type="paragraph" w:styleId="BalloonText">
    <w:name w:val="Balloon Text"/>
    <w:basedOn w:val="Normal"/>
    <w:link w:val="BalloonTextChar"/>
    <w:uiPriority w:val="99"/>
    <w:semiHidden/>
    <w:unhideWhenUsed/>
    <w:rsid w:val="00E42714"/>
    <w:rPr>
      <w:rFonts w:ascii="Segoe U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E42714"/>
    <w:rPr>
      <w:rFonts w:ascii="Segoe UI" w:hAnsi="Segoe UI" w:cs="Segoe UI"/>
      <w:sz w:val="18"/>
      <w:szCs w:val="18"/>
      <w:lang w:val="en-US"/>
    </w:rPr>
  </w:style>
  <w:style w:type="paragraph" w:customStyle="1" w:styleId="-">
    <w:name w:val="Рамка - съдържание"/>
    <w:basedOn w:val="Normal"/>
    <w:qFormat/>
    <w:rsid w:val="00E42714"/>
    <w:pPr>
      <w:spacing w:after="200" w:line="276" w:lineRule="auto"/>
    </w:pPr>
    <w:rPr>
      <w:rFonts w:asciiTheme="minorHAnsi" w:hAnsiTheme="minorHAnsi" w:cstheme="minorBidi"/>
      <w:lang w:val="en-US" w:eastAsia="en-US"/>
    </w:rPr>
  </w:style>
  <w:style w:type="paragraph" w:customStyle="1" w:styleId="Style3">
    <w:name w:val="Style3"/>
    <w:basedOn w:val="Normal"/>
    <w:uiPriority w:val="99"/>
    <w:rsid w:val="00E42714"/>
    <w:pPr>
      <w:widowControl w:val="0"/>
      <w:autoSpaceDE w:val="0"/>
      <w:autoSpaceDN w:val="0"/>
      <w:adjustRightInd w:val="0"/>
      <w:spacing w:line="317" w:lineRule="exact"/>
      <w:jc w:val="both"/>
    </w:pPr>
    <w:rPr>
      <w:rFonts w:ascii="Times New Roman" w:eastAsia="Times New Roman" w:hAnsi="Times New Roman" w:cs="Times New Roman"/>
      <w:sz w:val="24"/>
      <w:szCs w:val="24"/>
    </w:rPr>
  </w:style>
  <w:style w:type="character" w:customStyle="1" w:styleId="FontStyle18">
    <w:name w:val="Font Style18"/>
    <w:uiPriority w:val="99"/>
    <w:rsid w:val="00E42714"/>
    <w:rPr>
      <w:rFonts w:ascii="Times New Roman" w:hAnsi="Times New Roman" w:cs="Times New Roman" w:hint="default"/>
      <w:sz w:val="24"/>
      <w:szCs w:val="24"/>
    </w:rPr>
  </w:style>
  <w:style w:type="character" w:styleId="Strong">
    <w:name w:val="Strong"/>
    <w:basedOn w:val="DefaultParagraphFont"/>
    <w:uiPriority w:val="22"/>
    <w:qFormat/>
    <w:rsid w:val="00E42714"/>
    <w:rPr>
      <w:b/>
      <w:bCs/>
    </w:rPr>
  </w:style>
  <w:style w:type="paragraph" w:styleId="CommentSubject">
    <w:name w:val="annotation subject"/>
    <w:basedOn w:val="CommentText"/>
    <w:next w:val="CommentText"/>
    <w:link w:val="CommentSubjectChar"/>
    <w:uiPriority w:val="99"/>
    <w:semiHidden/>
    <w:unhideWhenUsed/>
    <w:rsid w:val="00E42714"/>
    <w:pPr>
      <w:suppressAutoHyphens/>
      <w:autoSpaceDN w:val="0"/>
      <w:spacing w:after="200"/>
      <w:textAlignment w:val="baseline"/>
    </w:pPr>
    <w:rPr>
      <w:rFonts w:ascii="Calibri" w:eastAsia="Calibri" w:hAnsi="Calibri" w:cs="Times New Roman"/>
      <w:b/>
      <w:bCs/>
      <w:lang w:val="bg-BG"/>
    </w:rPr>
  </w:style>
  <w:style w:type="character" w:customStyle="1" w:styleId="CommentSubjectChar">
    <w:name w:val="Comment Subject Char"/>
    <w:basedOn w:val="CommentTextChar1"/>
    <w:link w:val="CommentSubject"/>
    <w:uiPriority w:val="99"/>
    <w:semiHidden/>
    <w:rsid w:val="00E42714"/>
    <w:rPr>
      <w:rFonts w:ascii="Calibri" w:eastAsia="Calibri" w:hAnsi="Calibri" w:cs="Times New Roman"/>
      <w:b/>
      <w:bCs/>
      <w:sz w:val="20"/>
      <w:szCs w:val="20"/>
      <w:lang w:val="en-US"/>
    </w:rPr>
  </w:style>
  <w:style w:type="paragraph" w:customStyle="1" w:styleId="Style">
    <w:name w:val="Style"/>
    <w:uiPriority w:val="99"/>
    <w:rsid w:val="00E42714"/>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E42714"/>
    <w:pPr>
      <w:tabs>
        <w:tab w:val="center" w:pos="4536"/>
        <w:tab w:val="right" w:pos="9072"/>
      </w:tabs>
      <w:suppressAutoHyphens/>
      <w:autoSpaceDN w:val="0"/>
      <w:textAlignment w:val="baseline"/>
    </w:pPr>
    <w:rPr>
      <w:rFonts w:eastAsia="Calibri" w:cs="Times New Roman"/>
      <w:lang w:eastAsia="en-US"/>
    </w:rPr>
  </w:style>
  <w:style w:type="character" w:customStyle="1" w:styleId="HeaderChar">
    <w:name w:val="Header Char"/>
    <w:basedOn w:val="DefaultParagraphFont"/>
    <w:link w:val="Header"/>
    <w:uiPriority w:val="99"/>
    <w:rsid w:val="00E42714"/>
    <w:rPr>
      <w:rFonts w:ascii="Calibri" w:eastAsia="Calibri" w:hAnsi="Calibri" w:cs="Times New Roman"/>
    </w:rPr>
  </w:style>
  <w:style w:type="paragraph" w:styleId="Footer">
    <w:name w:val="footer"/>
    <w:basedOn w:val="Normal"/>
    <w:link w:val="FooterChar"/>
    <w:uiPriority w:val="99"/>
    <w:unhideWhenUsed/>
    <w:rsid w:val="00E42714"/>
    <w:pPr>
      <w:tabs>
        <w:tab w:val="center" w:pos="4536"/>
        <w:tab w:val="right" w:pos="9072"/>
      </w:tabs>
      <w:suppressAutoHyphens/>
      <w:autoSpaceDN w:val="0"/>
      <w:textAlignment w:val="baseline"/>
    </w:pPr>
    <w:rPr>
      <w:rFonts w:eastAsia="Calibri" w:cs="Times New Roman"/>
      <w:lang w:eastAsia="en-US"/>
    </w:rPr>
  </w:style>
  <w:style w:type="character" w:customStyle="1" w:styleId="FooterChar">
    <w:name w:val="Footer Char"/>
    <w:basedOn w:val="DefaultParagraphFont"/>
    <w:link w:val="Footer"/>
    <w:uiPriority w:val="99"/>
    <w:rsid w:val="00E42714"/>
    <w:rPr>
      <w:rFonts w:ascii="Calibri" w:eastAsia="Calibri" w:hAnsi="Calibri" w:cs="Times New Roman"/>
    </w:rPr>
  </w:style>
  <w:style w:type="character" w:customStyle="1" w:styleId="st1">
    <w:name w:val="st1"/>
    <w:basedOn w:val="DefaultParagraphFont"/>
    <w:rsid w:val="00E42714"/>
  </w:style>
  <w:style w:type="paragraph" w:styleId="NormalWeb">
    <w:name w:val="Normal (Web)"/>
    <w:basedOn w:val="Normal"/>
    <w:uiPriority w:val="99"/>
    <w:unhideWhenUsed/>
    <w:rsid w:val="00E42714"/>
    <w:pPr>
      <w:spacing w:before="100" w:beforeAutospacing="1" w:after="100" w:afterAutospacing="1"/>
    </w:pPr>
    <w:rPr>
      <w:rFonts w:ascii="Times New Roman" w:hAnsi="Times New Roman" w:cs="Times New Roman"/>
      <w:sz w:val="24"/>
      <w:szCs w:val="24"/>
    </w:rPr>
  </w:style>
  <w:style w:type="paragraph" w:customStyle="1" w:styleId="Style8">
    <w:name w:val="Style8"/>
    <w:basedOn w:val="Normal"/>
    <w:uiPriority w:val="99"/>
    <w:rsid w:val="00E42714"/>
    <w:pPr>
      <w:autoSpaceDE w:val="0"/>
      <w:autoSpaceDN w:val="0"/>
      <w:spacing w:line="283" w:lineRule="exact"/>
      <w:ind w:firstLine="691"/>
      <w:jc w:val="both"/>
    </w:pPr>
    <w:rPr>
      <w:rFonts w:ascii="Impact" w:eastAsia="Calibri" w:hAnsi="Impact" w:cs="Times New Roman"/>
      <w:sz w:val="24"/>
      <w:szCs w:val="24"/>
    </w:rPr>
  </w:style>
  <w:style w:type="character" w:customStyle="1" w:styleId="st">
    <w:name w:val="st"/>
    <w:rsid w:val="00E42714"/>
  </w:style>
  <w:style w:type="character" w:customStyle="1" w:styleId="FontStyle14">
    <w:name w:val="Font Style14"/>
    <w:rsid w:val="00E42714"/>
    <w:rPr>
      <w:rFonts w:ascii="Times New Roman" w:hAnsi="Times New Roman" w:cs="Times New Roman" w:hint="default"/>
      <w:sz w:val="24"/>
      <w:szCs w:val="24"/>
    </w:rPr>
  </w:style>
  <w:style w:type="character" w:customStyle="1" w:styleId="BodyTextChar1">
    <w:name w:val="Body Text Char1"/>
    <w:basedOn w:val="DefaultParagraphFont"/>
    <w:link w:val="BodyText"/>
    <w:uiPriority w:val="99"/>
    <w:locked/>
    <w:rsid w:val="00E42714"/>
    <w:rPr>
      <w:rFonts w:ascii="Times New Roman" w:hAnsi="Times New Roman" w:cs="Times New Roman"/>
      <w:spacing w:val="4"/>
      <w:sz w:val="20"/>
      <w:szCs w:val="20"/>
      <w:shd w:val="clear" w:color="auto" w:fill="FFFFFF"/>
    </w:rPr>
  </w:style>
  <w:style w:type="paragraph" w:styleId="BodyText">
    <w:name w:val="Body Text"/>
    <w:basedOn w:val="Normal"/>
    <w:link w:val="BodyTextChar1"/>
    <w:uiPriority w:val="99"/>
    <w:rsid w:val="00E42714"/>
    <w:pPr>
      <w:widowControl w:val="0"/>
      <w:shd w:val="clear" w:color="auto" w:fill="FFFFFF"/>
      <w:spacing w:before="540" w:after="540" w:line="403" w:lineRule="exact"/>
      <w:ind w:firstLine="700"/>
      <w:jc w:val="both"/>
    </w:pPr>
    <w:rPr>
      <w:rFonts w:ascii="Times New Roman" w:hAnsi="Times New Roman" w:cs="Times New Roman"/>
      <w:spacing w:val="4"/>
      <w:sz w:val="20"/>
      <w:szCs w:val="20"/>
      <w:lang w:eastAsia="en-US"/>
    </w:rPr>
  </w:style>
  <w:style w:type="character" w:customStyle="1" w:styleId="BodyTextChar">
    <w:name w:val="Body Text Char"/>
    <w:basedOn w:val="DefaultParagraphFont"/>
    <w:uiPriority w:val="99"/>
    <w:semiHidden/>
    <w:rsid w:val="00E42714"/>
  </w:style>
  <w:style w:type="paragraph" w:customStyle="1" w:styleId="xmsonormal">
    <w:name w:val="x_msonormal"/>
    <w:basedOn w:val="Normal"/>
    <w:rsid w:val="00E4271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2714"/>
    <w:rPr>
      <w:color w:val="0563C1" w:themeColor="hyperlink"/>
      <w:u w:val="single"/>
    </w:rPr>
  </w:style>
  <w:style w:type="table" w:styleId="TableGrid">
    <w:name w:val="Table Grid"/>
    <w:basedOn w:val="TableNormal"/>
    <w:uiPriority w:val="59"/>
    <w:rsid w:val="00E42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42714"/>
    <w:rPr>
      <w:rFonts w:ascii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E42714"/>
    <w:rPr>
      <w:sz w:val="20"/>
      <w:szCs w:val="20"/>
      <w:lang w:val="en-US"/>
    </w:rPr>
  </w:style>
  <w:style w:type="character" w:styleId="FootnoteReference">
    <w:name w:val="footnote reference"/>
    <w:basedOn w:val="DefaultParagraphFont"/>
    <w:uiPriority w:val="99"/>
    <w:semiHidden/>
    <w:unhideWhenUsed/>
    <w:rsid w:val="00E42714"/>
    <w:rPr>
      <w:vertAlign w:val="superscript"/>
    </w:rPr>
  </w:style>
  <w:style w:type="paragraph" w:styleId="TOCHeading">
    <w:name w:val="TOC Heading"/>
    <w:basedOn w:val="Heading1"/>
    <w:next w:val="Normal"/>
    <w:uiPriority w:val="39"/>
    <w:semiHidden/>
    <w:unhideWhenUsed/>
    <w:qFormat/>
    <w:rsid w:val="00E42714"/>
    <w:pPr>
      <w:spacing w:line="276" w:lineRule="auto"/>
      <w:outlineLvl w:val="9"/>
    </w:pPr>
    <w:rPr>
      <w:lang w:val="bg-BG" w:eastAsia="bg-BG"/>
    </w:rPr>
  </w:style>
  <w:style w:type="paragraph" w:styleId="TOC1">
    <w:name w:val="toc 1"/>
    <w:basedOn w:val="Normal"/>
    <w:next w:val="Normal"/>
    <w:autoRedefine/>
    <w:uiPriority w:val="39"/>
    <w:unhideWhenUsed/>
    <w:rsid w:val="00436639"/>
    <w:pPr>
      <w:tabs>
        <w:tab w:val="right" w:leader="dot" w:pos="9345"/>
      </w:tabs>
      <w:spacing w:line="360" w:lineRule="auto"/>
      <w:ind w:left="709" w:hanging="709"/>
    </w:pPr>
    <w:rPr>
      <w:rFonts w:asciiTheme="minorHAnsi" w:hAnsiTheme="minorHAnsi" w:cstheme="minorBidi"/>
      <w:lang w:val="en-US" w:eastAsia="en-US"/>
    </w:rPr>
  </w:style>
  <w:style w:type="paragraph" w:styleId="Revision">
    <w:name w:val="Revision"/>
    <w:hidden/>
    <w:uiPriority w:val="99"/>
    <w:semiHidden/>
    <w:rsid w:val="00E42714"/>
    <w:pPr>
      <w:spacing w:after="0" w:line="240" w:lineRule="auto"/>
    </w:pPr>
    <w:rPr>
      <w:lang w:val="en-US"/>
    </w:rPr>
  </w:style>
  <w:style w:type="character" w:customStyle="1" w:styleId="ListParagraphChar">
    <w:name w:val="List Paragraph Char"/>
    <w:link w:val="ListParagraph"/>
    <w:uiPriority w:val="34"/>
    <w:locked/>
    <w:rsid w:val="00E42714"/>
    <w:rPr>
      <w:rFonts w:ascii="Calibri" w:eastAsia="Times New Roman" w:hAnsi="Calibri" w:cs="Times New Roman"/>
      <w:lang w:val="en-US"/>
    </w:rPr>
  </w:style>
  <w:style w:type="paragraph" w:customStyle="1" w:styleId="c38centregrasgrandespacement">
    <w:name w:val="c38centregrasgrandespacement"/>
    <w:basedOn w:val="Normal"/>
    <w:rsid w:val="00E42714"/>
    <w:pPr>
      <w:spacing w:before="100" w:beforeAutospacing="1" w:after="100" w:afterAutospacing="1"/>
    </w:pPr>
    <w:rPr>
      <w:rFonts w:ascii="Times New Roman" w:eastAsia="Times New Roman" w:hAnsi="Times New Roman" w:cs="Times New Roman"/>
      <w:sz w:val="24"/>
      <w:szCs w:val="24"/>
    </w:rPr>
  </w:style>
  <w:style w:type="character" w:customStyle="1" w:styleId="jlqj4b">
    <w:name w:val="jlqj4b"/>
    <w:basedOn w:val="DefaultParagraphFont"/>
    <w:rsid w:val="00E42714"/>
  </w:style>
  <w:style w:type="character" w:customStyle="1" w:styleId="viiyi">
    <w:name w:val="viiyi"/>
    <w:basedOn w:val="DefaultParagraphFont"/>
    <w:rsid w:val="00E42714"/>
  </w:style>
  <w:style w:type="character" w:customStyle="1" w:styleId="a">
    <w:name w:val="Основен текст_"/>
    <w:basedOn w:val="DefaultParagraphFont"/>
    <w:link w:val="a0"/>
    <w:rsid w:val="00E42714"/>
    <w:rPr>
      <w:rFonts w:ascii="Arial" w:eastAsia="Arial" w:hAnsi="Arial" w:cs="Arial"/>
      <w:sz w:val="26"/>
      <w:szCs w:val="26"/>
    </w:rPr>
  </w:style>
  <w:style w:type="paragraph" w:customStyle="1" w:styleId="a0">
    <w:name w:val="Основен текст"/>
    <w:basedOn w:val="Normal"/>
    <w:link w:val="a"/>
    <w:rsid w:val="00E42714"/>
    <w:pPr>
      <w:widowControl w:val="0"/>
      <w:spacing w:after="300"/>
      <w:ind w:firstLine="400"/>
    </w:pPr>
    <w:rPr>
      <w:rFonts w:ascii="Arial" w:eastAsia="Arial" w:hAnsi="Arial" w:cs="Arial"/>
      <w:sz w:val="26"/>
      <w:szCs w:val="26"/>
      <w:lang w:eastAsia="en-US"/>
    </w:rPr>
  </w:style>
  <w:style w:type="character" w:customStyle="1" w:styleId="Heading2Char">
    <w:name w:val="Heading 2 Char"/>
    <w:basedOn w:val="DefaultParagraphFont"/>
    <w:link w:val="Heading2"/>
    <w:uiPriority w:val="9"/>
    <w:semiHidden/>
    <w:rsid w:val="0063284A"/>
    <w:rPr>
      <w:rFonts w:asciiTheme="majorHAnsi" w:eastAsiaTheme="majorEastAsia" w:hAnsiTheme="majorHAnsi" w:cstheme="majorBidi"/>
      <w:color w:val="2E74B5" w:themeColor="accent1" w:themeShade="BF"/>
      <w:sz w:val="26"/>
      <w:szCs w:val="26"/>
      <w:lang w:val="en-US"/>
    </w:rPr>
  </w:style>
  <w:style w:type="character" w:customStyle="1" w:styleId="BodytextBold">
    <w:name w:val="Body text + Bold"/>
    <w:basedOn w:val="DefaultParagraphFont"/>
    <w:rsid w:val="0063284A"/>
    <w:rPr>
      <w:rFonts w:ascii="Times New Roman" w:eastAsia="Times New Roman" w:hAnsi="Times New Roman" w:cs="Times New Roman"/>
      <w:b/>
      <w:bCs/>
      <w:i w:val="0"/>
      <w:iCs w:val="0"/>
      <w:smallCaps w:val="0"/>
      <w:strike w:val="0"/>
      <w:spacing w:val="0"/>
      <w:sz w:val="23"/>
      <w:szCs w:val="23"/>
    </w:rPr>
  </w:style>
  <w:style w:type="character" w:customStyle="1" w:styleId="Bodytext2">
    <w:name w:val="Body text (2)_"/>
    <w:basedOn w:val="DefaultParagraphFont"/>
    <w:link w:val="Bodytext20"/>
    <w:rsid w:val="0063284A"/>
    <w:rPr>
      <w:rFonts w:ascii="Times New Roman" w:eastAsia="Times New Roman" w:hAnsi="Times New Roman" w:cs="Times New Roman"/>
      <w:sz w:val="23"/>
      <w:szCs w:val="23"/>
      <w:shd w:val="clear" w:color="auto" w:fill="FFFFFF"/>
    </w:rPr>
  </w:style>
  <w:style w:type="character" w:customStyle="1" w:styleId="Bodytext0">
    <w:name w:val="Body text_"/>
    <w:basedOn w:val="DefaultParagraphFont"/>
    <w:link w:val="BodyText1"/>
    <w:rsid w:val="0063284A"/>
    <w:rPr>
      <w:rFonts w:ascii="Times New Roman" w:eastAsia="Times New Roman" w:hAnsi="Times New Roman" w:cs="Times New Roman"/>
      <w:sz w:val="23"/>
      <w:szCs w:val="23"/>
      <w:shd w:val="clear" w:color="auto" w:fill="FFFFFF"/>
    </w:rPr>
  </w:style>
  <w:style w:type="paragraph" w:customStyle="1" w:styleId="Bodytext20">
    <w:name w:val="Body text (2)"/>
    <w:basedOn w:val="Normal"/>
    <w:link w:val="Bodytext2"/>
    <w:rsid w:val="0063284A"/>
    <w:pPr>
      <w:shd w:val="clear" w:color="auto" w:fill="FFFFFF"/>
      <w:spacing w:line="414" w:lineRule="exact"/>
      <w:ind w:firstLine="720"/>
      <w:jc w:val="both"/>
    </w:pPr>
    <w:rPr>
      <w:rFonts w:ascii="Times New Roman" w:eastAsia="Times New Roman" w:hAnsi="Times New Roman" w:cs="Times New Roman"/>
      <w:sz w:val="23"/>
      <w:szCs w:val="23"/>
      <w:lang w:eastAsia="en-US"/>
    </w:rPr>
  </w:style>
  <w:style w:type="paragraph" w:customStyle="1" w:styleId="BodyText1">
    <w:name w:val="Body Text1"/>
    <w:basedOn w:val="Normal"/>
    <w:link w:val="Bodytext0"/>
    <w:rsid w:val="0063284A"/>
    <w:pPr>
      <w:shd w:val="clear" w:color="auto" w:fill="FFFFFF"/>
      <w:spacing w:before="600" w:line="414" w:lineRule="exact"/>
      <w:ind w:hanging="700"/>
      <w:jc w:val="both"/>
    </w:pPr>
    <w:rPr>
      <w:rFonts w:ascii="Times New Roman" w:eastAsia="Times New Roman" w:hAnsi="Times New Roman" w:cs="Times New Roman"/>
      <w:sz w:val="23"/>
      <w:szCs w:val="23"/>
      <w:lang w:eastAsia="en-US"/>
    </w:rPr>
  </w:style>
  <w:style w:type="character" w:customStyle="1" w:styleId="FontStyle19">
    <w:name w:val="Font Style19"/>
    <w:uiPriority w:val="99"/>
    <w:rsid w:val="0063284A"/>
    <w:rPr>
      <w:rFonts w:ascii="Times New Roman" w:hAnsi="Times New Roman" w:cs="Times New Roman" w:hint="default"/>
      <w:b/>
      <w:bCs/>
      <w:sz w:val="24"/>
      <w:szCs w:val="24"/>
    </w:rPr>
  </w:style>
  <w:style w:type="character" w:customStyle="1" w:styleId="historyitem">
    <w:name w:val="historyitem"/>
    <w:basedOn w:val="DefaultParagraphFont"/>
    <w:rsid w:val="0063284A"/>
  </w:style>
  <w:style w:type="paragraph" w:styleId="NoSpacing">
    <w:name w:val="No Spacing"/>
    <w:uiPriority w:val="1"/>
    <w:qFormat/>
    <w:rsid w:val="0063284A"/>
    <w:pPr>
      <w:suppressAutoHyphens/>
      <w:autoSpaceDN w:val="0"/>
      <w:spacing w:after="0" w:line="240" w:lineRule="auto"/>
      <w:textAlignment w:val="baseline"/>
    </w:pPr>
    <w:rPr>
      <w:rFonts w:ascii="Calibri" w:eastAsia="Calibri" w:hAnsi="Calibri" w:cs="Times New Roman"/>
      <w:lang w:val="en-US"/>
    </w:rPr>
  </w:style>
  <w:style w:type="numbering" w:customStyle="1" w:styleId="NoList1">
    <w:name w:val="No List1"/>
    <w:next w:val="NoList"/>
    <w:uiPriority w:val="99"/>
    <w:semiHidden/>
    <w:unhideWhenUsed/>
    <w:rsid w:val="0063284A"/>
  </w:style>
  <w:style w:type="table" w:customStyle="1" w:styleId="TableGrid1">
    <w:name w:val="Table Grid1"/>
    <w:basedOn w:val="TableNormal"/>
    <w:next w:val="TableGrid"/>
    <w:uiPriority w:val="59"/>
    <w:rsid w:val="0063284A"/>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wysiwigparagraph">
    <w:name w:val="ep-wysiwig_paragraph"/>
    <w:basedOn w:val="Normal"/>
    <w:rsid w:val="00583CF6"/>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rynqvb">
    <w:name w:val="rynqvb"/>
    <w:basedOn w:val="DefaultParagraphFont"/>
    <w:rsid w:val="00982D96"/>
  </w:style>
  <w:style w:type="character" w:customStyle="1" w:styleId="Heading3Char">
    <w:name w:val="Heading 3 Char"/>
    <w:basedOn w:val="DefaultParagraphFont"/>
    <w:link w:val="Heading3"/>
    <w:uiPriority w:val="9"/>
    <w:semiHidden/>
    <w:rsid w:val="004035C6"/>
    <w:rPr>
      <w:rFonts w:asciiTheme="majorHAnsi" w:eastAsiaTheme="majorEastAsia" w:hAnsiTheme="majorHAnsi" w:cstheme="majorBidi"/>
      <w:color w:val="1F4D78" w:themeColor="accent1" w:themeShade="7F"/>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6733">
      <w:bodyDiv w:val="1"/>
      <w:marLeft w:val="0"/>
      <w:marRight w:val="0"/>
      <w:marTop w:val="0"/>
      <w:marBottom w:val="0"/>
      <w:divBdr>
        <w:top w:val="none" w:sz="0" w:space="0" w:color="auto"/>
        <w:left w:val="none" w:sz="0" w:space="0" w:color="auto"/>
        <w:bottom w:val="none" w:sz="0" w:space="0" w:color="auto"/>
        <w:right w:val="none" w:sz="0" w:space="0" w:color="auto"/>
      </w:divBdr>
    </w:div>
    <w:div w:id="299307684">
      <w:bodyDiv w:val="1"/>
      <w:marLeft w:val="0"/>
      <w:marRight w:val="0"/>
      <w:marTop w:val="0"/>
      <w:marBottom w:val="0"/>
      <w:divBdr>
        <w:top w:val="none" w:sz="0" w:space="0" w:color="auto"/>
        <w:left w:val="none" w:sz="0" w:space="0" w:color="auto"/>
        <w:bottom w:val="none" w:sz="0" w:space="0" w:color="auto"/>
        <w:right w:val="none" w:sz="0" w:space="0" w:color="auto"/>
      </w:divBdr>
    </w:div>
    <w:div w:id="391929352">
      <w:bodyDiv w:val="1"/>
      <w:marLeft w:val="0"/>
      <w:marRight w:val="0"/>
      <w:marTop w:val="0"/>
      <w:marBottom w:val="0"/>
      <w:divBdr>
        <w:top w:val="none" w:sz="0" w:space="0" w:color="auto"/>
        <w:left w:val="none" w:sz="0" w:space="0" w:color="auto"/>
        <w:bottom w:val="none" w:sz="0" w:space="0" w:color="auto"/>
        <w:right w:val="none" w:sz="0" w:space="0" w:color="auto"/>
      </w:divBdr>
    </w:div>
    <w:div w:id="445275857">
      <w:bodyDiv w:val="1"/>
      <w:marLeft w:val="0"/>
      <w:marRight w:val="0"/>
      <w:marTop w:val="0"/>
      <w:marBottom w:val="0"/>
      <w:divBdr>
        <w:top w:val="none" w:sz="0" w:space="0" w:color="auto"/>
        <w:left w:val="none" w:sz="0" w:space="0" w:color="auto"/>
        <w:bottom w:val="none" w:sz="0" w:space="0" w:color="auto"/>
        <w:right w:val="none" w:sz="0" w:space="0" w:color="auto"/>
      </w:divBdr>
    </w:div>
    <w:div w:id="561907466">
      <w:bodyDiv w:val="1"/>
      <w:marLeft w:val="0"/>
      <w:marRight w:val="0"/>
      <w:marTop w:val="0"/>
      <w:marBottom w:val="0"/>
      <w:divBdr>
        <w:top w:val="none" w:sz="0" w:space="0" w:color="auto"/>
        <w:left w:val="none" w:sz="0" w:space="0" w:color="auto"/>
        <w:bottom w:val="none" w:sz="0" w:space="0" w:color="auto"/>
        <w:right w:val="none" w:sz="0" w:space="0" w:color="auto"/>
      </w:divBdr>
    </w:div>
    <w:div w:id="667295440">
      <w:bodyDiv w:val="1"/>
      <w:marLeft w:val="0"/>
      <w:marRight w:val="0"/>
      <w:marTop w:val="0"/>
      <w:marBottom w:val="0"/>
      <w:divBdr>
        <w:top w:val="none" w:sz="0" w:space="0" w:color="auto"/>
        <w:left w:val="none" w:sz="0" w:space="0" w:color="auto"/>
        <w:bottom w:val="none" w:sz="0" w:space="0" w:color="auto"/>
        <w:right w:val="none" w:sz="0" w:space="0" w:color="auto"/>
      </w:divBdr>
    </w:div>
    <w:div w:id="690912950">
      <w:bodyDiv w:val="1"/>
      <w:marLeft w:val="0"/>
      <w:marRight w:val="0"/>
      <w:marTop w:val="0"/>
      <w:marBottom w:val="0"/>
      <w:divBdr>
        <w:top w:val="none" w:sz="0" w:space="0" w:color="auto"/>
        <w:left w:val="none" w:sz="0" w:space="0" w:color="auto"/>
        <w:bottom w:val="none" w:sz="0" w:space="0" w:color="auto"/>
        <w:right w:val="none" w:sz="0" w:space="0" w:color="auto"/>
      </w:divBdr>
    </w:div>
    <w:div w:id="741953993">
      <w:bodyDiv w:val="1"/>
      <w:marLeft w:val="0"/>
      <w:marRight w:val="0"/>
      <w:marTop w:val="0"/>
      <w:marBottom w:val="0"/>
      <w:divBdr>
        <w:top w:val="none" w:sz="0" w:space="0" w:color="auto"/>
        <w:left w:val="none" w:sz="0" w:space="0" w:color="auto"/>
        <w:bottom w:val="none" w:sz="0" w:space="0" w:color="auto"/>
        <w:right w:val="none" w:sz="0" w:space="0" w:color="auto"/>
      </w:divBdr>
    </w:div>
    <w:div w:id="743843569">
      <w:bodyDiv w:val="1"/>
      <w:marLeft w:val="0"/>
      <w:marRight w:val="0"/>
      <w:marTop w:val="0"/>
      <w:marBottom w:val="0"/>
      <w:divBdr>
        <w:top w:val="none" w:sz="0" w:space="0" w:color="auto"/>
        <w:left w:val="none" w:sz="0" w:space="0" w:color="auto"/>
        <w:bottom w:val="none" w:sz="0" w:space="0" w:color="auto"/>
        <w:right w:val="none" w:sz="0" w:space="0" w:color="auto"/>
      </w:divBdr>
    </w:div>
    <w:div w:id="754208512">
      <w:bodyDiv w:val="1"/>
      <w:marLeft w:val="0"/>
      <w:marRight w:val="0"/>
      <w:marTop w:val="0"/>
      <w:marBottom w:val="0"/>
      <w:divBdr>
        <w:top w:val="none" w:sz="0" w:space="0" w:color="auto"/>
        <w:left w:val="none" w:sz="0" w:space="0" w:color="auto"/>
        <w:bottom w:val="none" w:sz="0" w:space="0" w:color="auto"/>
        <w:right w:val="none" w:sz="0" w:space="0" w:color="auto"/>
      </w:divBdr>
    </w:div>
    <w:div w:id="982001011">
      <w:bodyDiv w:val="1"/>
      <w:marLeft w:val="0"/>
      <w:marRight w:val="0"/>
      <w:marTop w:val="0"/>
      <w:marBottom w:val="0"/>
      <w:divBdr>
        <w:top w:val="none" w:sz="0" w:space="0" w:color="auto"/>
        <w:left w:val="none" w:sz="0" w:space="0" w:color="auto"/>
        <w:bottom w:val="none" w:sz="0" w:space="0" w:color="auto"/>
        <w:right w:val="none" w:sz="0" w:space="0" w:color="auto"/>
      </w:divBdr>
    </w:div>
    <w:div w:id="1159344768">
      <w:bodyDiv w:val="1"/>
      <w:marLeft w:val="0"/>
      <w:marRight w:val="0"/>
      <w:marTop w:val="0"/>
      <w:marBottom w:val="0"/>
      <w:divBdr>
        <w:top w:val="none" w:sz="0" w:space="0" w:color="auto"/>
        <w:left w:val="none" w:sz="0" w:space="0" w:color="auto"/>
        <w:bottom w:val="none" w:sz="0" w:space="0" w:color="auto"/>
        <w:right w:val="none" w:sz="0" w:space="0" w:color="auto"/>
      </w:divBdr>
    </w:div>
    <w:div w:id="1192108085">
      <w:bodyDiv w:val="1"/>
      <w:marLeft w:val="0"/>
      <w:marRight w:val="0"/>
      <w:marTop w:val="0"/>
      <w:marBottom w:val="0"/>
      <w:divBdr>
        <w:top w:val="none" w:sz="0" w:space="0" w:color="auto"/>
        <w:left w:val="none" w:sz="0" w:space="0" w:color="auto"/>
        <w:bottom w:val="none" w:sz="0" w:space="0" w:color="auto"/>
        <w:right w:val="none" w:sz="0" w:space="0" w:color="auto"/>
      </w:divBdr>
    </w:div>
    <w:div w:id="1524050082">
      <w:bodyDiv w:val="1"/>
      <w:marLeft w:val="0"/>
      <w:marRight w:val="0"/>
      <w:marTop w:val="0"/>
      <w:marBottom w:val="0"/>
      <w:divBdr>
        <w:top w:val="none" w:sz="0" w:space="0" w:color="auto"/>
        <w:left w:val="none" w:sz="0" w:space="0" w:color="auto"/>
        <w:bottom w:val="none" w:sz="0" w:space="0" w:color="auto"/>
        <w:right w:val="none" w:sz="0" w:space="0" w:color="auto"/>
      </w:divBdr>
    </w:div>
    <w:div w:id="1585256818">
      <w:bodyDiv w:val="1"/>
      <w:marLeft w:val="0"/>
      <w:marRight w:val="0"/>
      <w:marTop w:val="0"/>
      <w:marBottom w:val="0"/>
      <w:divBdr>
        <w:top w:val="none" w:sz="0" w:space="0" w:color="auto"/>
        <w:left w:val="none" w:sz="0" w:space="0" w:color="auto"/>
        <w:bottom w:val="none" w:sz="0" w:space="0" w:color="auto"/>
        <w:right w:val="none" w:sz="0" w:space="0" w:color="auto"/>
      </w:divBdr>
    </w:div>
    <w:div w:id="1589341105">
      <w:bodyDiv w:val="1"/>
      <w:marLeft w:val="0"/>
      <w:marRight w:val="0"/>
      <w:marTop w:val="0"/>
      <w:marBottom w:val="0"/>
      <w:divBdr>
        <w:top w:val="none" w:sz="0" w:space="0" w:color="auto"/>
        <w:left w:val="none" w:sz="0" w:space="0" w:color="auto"/>
        <w:bottom w:val="none" w:sz="0" w:space="0" w:color="auto"/>
        <w:right w:val="none" w:sz="0" w:space="0" w:color="auto"/>
      </w:divBdr>
    </w:div>
    <w:div w:id="1615553905">
      <w:bodyDiv w:val="1"/>
      <w:marLeft w:val="0"/>
      <w:marRight w:val="0"/>
      <w:marTop w:val="0"/>
      <w:marBottom w:val="0"/>
      <w:divBdr>
        <w:top w:val="none" w:sz="0" w:space="0" w:color="auto"/>
        <w:left w:val="none" w:sz="0" w:space="0" w:color="auto"/>
        <w:bottom w:val="none" w:sz="0" w:space="0" w:color="auto"/>
        <w:right w:val="none" w:sz="0" w:space="0" w:color="auto"/>
      </w:divBdr>
    </w:div>
    <w:div w:id="1701735050">
      <w:bodyDiv w:val="1"/>
      <w:marLeft w:val="0"/>
      <w:marRight w:val="0"/>
      <w:marTop w:val="0"/>
      <w:marBottom w:val="0"/>
      <w:divBdr>
        <w:top w:val="none" w:sz="0" w:space="0" w:color="auto"/>
        <w:left w:val="none" w:sz="0" w:space="0" w:color="auto"/>
        <w:bottom w:val="none" w:sz="0" w:space="0" w:color="auto"/>
        <w:right w:val="none" w:sz="0" w:space="0" w:color="auto"/>
      </w:divBdr>
    </w:div>
    <w:div w:id="20979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customXml" Target="../customXml/item3.xml"/><Relationship Id="rId21" Type="http://schemas.openxmlformats.org/officeDocument/2006/relationships/chart" Target="charts/chart10.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13.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6.xml"/><Relationship Id="rId1" Type="http://schemas.microsoft.com/office/2011/relationships/chartStyle" Target="styl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7.xml"/><Relationship Id="rId1" Type="http://schemas.microsoft.com/office/2011/relationships/chartStyle" Target="style7.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6.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7.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mn-cs"/>
              </a:defRPr>
            </a:pPr>
            <a:r>
              <a:rPr lang="bg-BG" b="1" i="0" baseline="0">
                <a:solidFill>
                  <a:sysClr val="windowText" lastClr="000000"/>
                </a:solidFill>
                <a:latin typeface="Times New Roman" panose="02020603050405020304" pitchFamily="18" charset="0"/>
              </a:rPr>
              <a:t>Наложени корективни мерки и имуществени санкции</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mn-cs"/>
            </a:defRPr>
          </a:pPr>
          <a:endParaRPr lang="en-US"/>
        </a:p>
      </c:txPr>
    </c:title>
    <c:autoTitleDeleted val="0"/>
    <c:view3D>
      <c:rotX val="15"/>
      <c:rotY val="20"/>
      <c:depthPercent val="100"/>
      <c:rAngAx val="1"/>
    </c:view3D>
    <c:floor>
      <c:thickness val="0"/>
      <c:spPr>
        <a:solidFill>
          <a:schemeClr val="bg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584144373257678E-2"/>
          <c:y val="0.1680367312576494"/>
          <c:w val="0.89350120297462821"/>
          <c:h val="0.74430318851652977"/>
        </c:manualLayout>
      </c:layout>
      <c:bar3DChart>
        <c:barDir val="col"/>
        <c:grouping val="clustered"/>
        <c:varyColors val="0"/>
        <c:ser>
          <c:idx val="0"/>
          <c:order val="0"/>
          <c:tx>
            <c:strRef>
              <c:f>Sheet1!$A$2:$A$8</c:f>
              <c:strCache>
                <c:ptCount val="7"/>
                <c:pt idx="0">
                  <c:v>предупреждение по буква „а“</c:v>
                </c:pt>
                <c:pt idx="1">
                  <c:v>официално предупреждение по буква „б“</c:v>
                </c:pt>
                <c:pt idx="2">
                  <c:v>разпореждане по буква „в“</c:v>
                </c:pt>
                <c:pt idx="3">
                  <c:v>разпореждане по буква „г“</c:v>
                </c:pt>
                <c:pt idx="4">
                  <c:v>забрана на обработването на данни по буква „е“ </c:v>
                </c:pt>
                <c:pt idx="5">
                  <c:v>разпореждане по буква „ж“</c:v>
                </c:pt>
                <c:pt idx="6">
                  <c:v>имуществени санкции/глоби по буква „и“</c:v>
                </c:pt>
              </c:strCache>
            </c:strRef>
          </c:tx>
          <c:spPr>
            <a:solidFill>
              <a:schemeClr val="accent1"/>
            </a:solidFill>
            <a:ln>
              <a:noFill/>
            </a:ln>
            <a:effectLst/>
            <a:sp3d/>
          </c:spPr>
          <c:invertIfNegative val="0"/>
          <c:dPt>
            <c:idx val="0"/>
            <c:invertIfNegative val="0"/>
            <c:bubble3D val="0"/>
            <c:spPr>
              <a:solidFill>
                <a:schemeClr val="accent2">
                  <a:lumMod val="50000"/>
                </a:schemeClr>
              </a:solidFill>
              <a:ln>
                <a:noFill/>
              </a:ln>
              <a:effectLst/>
              <a:sp3d/>
            </c:spPr>
            <c:extLst>
              <c:ext xmlns:c16="http://schemas.microsoft.com/office/drawing/2014/chart" uri="{C3380CC4-5D6E-409C-BE32-E72D297353CC}">
                <c16:uniqueId val="{00000001-9911-4698-862A-65152D41345F}"/>
              </c:ext>
            </c:extLst>
          </c:dPt>
          <c:dPt>
            <c:idx val="1"/>
            <c:invertIfNegative val="0"/>
            <c:bubble3D val="0"/>
            <c:spPr>
              <a:solidFill>
                <a:srgbClr val="C00000"/>
              </a:solidFill>
              <a:ln>
                <a:noFill/>
              </a:ln>
              <a:effectLst/>
              <a:sp3d/>
            </c:spPr>
            <c:extLst>
              <c:ext xmlns:c16="http://schemas.microsoft.com/office/drawing/2014/chart" uri="{C3380CC4-5D6E-409C-BE32-E72D297353CC}">
                <c16:uniqueId val="{00000003-9911-4698-862A-65152D41345F}"/>
              </c:ext>
            </c:extLst>
          </c:dPt>
          <c:dPt>
            <c:idx val="2"/>
            <c:invertIfNegative val="0"/>
            <c:bubble3D val="0"/>
            <c:spPr>
              <a:solidFill>
                <a:srgbClr val="00B050"/>
              </a:solidFill>
              <a:ln>
                <a:noFill/>
              </a:ln>
              <a:effectLst/>
              <a:sp3d/>
            </c:spPr>
            <c:extLst>
              <c:ext xmlns:c16="http://schemas.microsoft.com/office/drawing/2014/chart" uri="{C3380CC4-5D6E-409C-BE32-E72D297353CC}">
                <c16:uniqueId val="{00000005-9911-4698-862A-65152D41345F}"/>
              </c:ext>
            </c:extLst>
          </c:dPt>
          <c:dPt>
            <c:idx val="3"/>
            <c:invertIfNegative val="0"/>
            <c:bubble3D val="0"/>
            <c:spPr>
              <a:solidFill>
                <a:srgbClr val="0070C0"/>
              </a:solidFill>
              <a:ln>
                <a:noFill/>
              </a:ln>
              <a:effectLst/>
              <a:sp3d/>
            </c:spPr>
            <c:extLst>
              <c:ext xmlns:c16="http://schemas.microsoft.com/office/drawing/2014/chart" uri="{C3380CC4-5D6E-409C-BE32-E72D297353CC}">
                <c16:uniqueId val="{00000007-9911-4698-862A-65152D41345F}"/>
              </c:ext>
            </c:extLst>
          </c:dPt>
          <c:dPt>
            <c:idx val="4"/>
            <c:invertIfNegative val="0"/>
            <c:bubble3D val="0"/>
            <c:spPr>
              <a:solidFill>
                <a:srgbClr val="7030A0"/>
              </a:solidFill>
              <a:ln>
                <a:noFill/>
              </a:ln>
              <a:effectLst/>
              <a:sp3d/>
            </c:spPr>
            <c:extLst>
              <c:ext xmlns:c16="http://schemas.microsoft.com/office/drawing/2014/chart" uri="{C3380CC4-5D6E-409C-BE32-E72D297353CC}">
                <c16:uniqueId val="{00000009-9911-4698-862A-65152D41345F}"/>
              </c:ext>
            </c:extLst>
          </c:dPt>
          <c:dPt>
            <c:idx val="5"/>
            <c:invertIfNegative val="0"/>
            <c:bubble3D val="0"/>
            <c:spPr>
              <a:solidFill>
                <a:srgbClr val="92D050"/>
              </a:solidFill>
              <a:ln>
                <a:noFill/>
              </a:ln>
              <a:effectLst/>
              <a:sp3d/>
            </c:spPr>
            <c:extLst>
              <c:ext xmlns:c16="http://schemas.microsoft.com/office/drawing/2014/chart" uri="{C3380CC4-5D6E-409C-BE32-E72D297353CC}">
                <c16:uniqueId val="{0000000B-9911-4698-862A-65152D41345F}"/>
              </c:ext>
            </c:extLst>
          </c:dPt>
          <c:dPt>
            <c:idx val="6"/>
            <c:invertIfNegative val="0"/>
            <c:bubble3D val="0"/>
            <c:spPr>
              <a:solidFill>
                <a:srgbClr val="FF0000"/>
              </a:solidFill>
              <a:ln>
                <a:noFill/>
              </a:ln>
              <a:effectLst/>
              <a:sp3d/>
            </c:spPr>
            <c:extLst>
              <c:ext xmlns:c16="http://schemas.microsoft.com/office/drawing/2014/chart" uri="{C3380CC4-5D6E-409C-BE32-E72D297353CC}">
                <c16:uniqueId val="{0000000D-9911-4698-862A-65152D41345F}"/>
              </c:ext>
            </c:extLst>
          </c:dPt>
          <c:dLbls>
            <c:dLbl>
              <c:idx val="0"/>
              <c:layout>
                <c:manualLayout>
                  <c:x val="1.2539184952978037E-2"/>
                  <c:y val="-1.27287191726333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11-4698-862A-65152D41345F}"/>
                </c:ext>
              </c:extLst>
            </c:dLbl>
            <c:dLbl>
              <c:idx val="1"/>
              <c:layout>
                <c:manualLayout>
                  <c:x val="1.0449320794148342E-2"/>
                  <c:y val="-1.27287191726332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11-4698-862A-65152D41345F}"/>
                </c:ext>
              </c:extLst>
            </c:dLbl>
            <c:dLbl>
              <c:idx val="2"/>
              <c:layout>
                <c:manualLayout>
                  <c:x val="1.0449320794148381E-2"/>
                  <c:y val="-1.27287191726332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911-4698-862A-65152D41345F}"/>
                </c:ext>
              </c:extLst>
            </c:dLbl>
            <c:dLbl>
              <c:idx val="3"/>
              <c:layout>
                <c:manualLayout>
                  <c:x val="6.269592476489028E-3"/>
                  <c:y val="-1.90930787589499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911-4698-862A-65152D41345F}"/>
                </c:ext>
              </c:extLst>
            </c:dLbl>
            <c:dLbl>
              <c:idx val="4"/>
              <c:layout>
                <c:manualLayout>
                  <c:x val="6.2695924764889516E-3"/>
                  <c:y val="-1.90930787589499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911-4698-862A-65152D41345F}"/>
                </c:ext>
              </c:extLst>
            </c:dLbl>
            <c:dLbl>
              <c:idx val="5"/>
              <c:layout>
                <c:manualLayout>
                  <c:x val="8.3594566353187051E-3"/>
                  <c:y val="-9.54653937947494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911-4698-862A-65152D41345F}"/>
                </c:ext>
              </c:extLst>
            </c:dLbl>
            <c:dLbl>
              <c:idx val="6"/>
              <c:layout>
                <c:manualLayout>
                  <c:x val="6.269592476489028E-3"/>
                  <c:y val="-2.54574383452665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911-4698-862A-65152D41345F}"/>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Sheet1!$A$2:$A$8</c:f>
              <c:strCache>
                <c:ptCount val="7"/>
                <c:pt idx="0">
                  <c:v>предупреждение по буква „а“</c:v>
                </c:pt>
                <c:pt idx="1">
                  <c:v>официално предупреждение по буква „б“</c:v>
                </c:pt>
                <c:pt idx="2">
                  <c:v>разпореждане по буква „в“</c:v>
                </c:pt>
                <c:pt idx="3">
                  <c:v>разпореждане по буква „г“</c:v>
                </c:pt>
                <c:pt idx="4">
                  <c:v>забрана на обработването на данни по буква „е“ </c:v>
                </c:pt>
                <c:pt idx="5">
                  <c:v>разпореждане по буква „ж“</c:v>
                </c:pt>
                <c:pt idx="6">
                  <c:v>имуществени санкции/глоби по буква „и“</c:v>
                </c:pt>
              </c:strCache>
            </c:strRef>
          </c:cat>
          <c:val>
            <c:numRef>
              <c:f>Sheet1!$B$2:$B$8</c:f>
              <c:numCache>
                <c:formatCode>General</c:formatCode>
                <c:ptCount val="7"/>
                <c:pt idx="0">
                  <c:v>9</c:v>
                </c:pt>
                <c:pt idx="1">
                  <c:v>32</c:v>
                </c:pt>
                <c:pt idx="2">
                  <c:v>7</c:v>
                </c:pt>
                <c:pt idx="3">
                  <c:v>89</c:v>
                </c:pt>
                <c:pt idx="4">
                  <c:v>1</c:v>
                </c:pt>
                <c:pt idx="5">
                  <c:v>1</c:v>
                </c:pt>
                <c:pt idx="6">
                  <c:v>34</c:v>
                </c:pt>
              </c:numCache>
            </c:numRef>
          </c:val>
          <c:shape val="cylinder"/>
          <c:extLst>
            <c:ext xmlns:c16="http://schemas.microsoft.com/office/drawing/2014/chart" uri="{C3380CC4-5D6E-409C-BE32-E72D297353CC}">
              <c16:uniqueId val="{0000000E-9911-4698-862A-65152D41345F}"/>
            </c:ext>
          </c:extLst>
        </c:ser>
        <c:dLbls>
          <c:showLegendKey val="0"/>
          <c:showVal val="1"/>
          <c:showCatName val="0"/>
          <c:showSerName val="0"/>
          <c:showPercent val="0"/>
          <c:showBubbleSize val="0"/>
        </c:dLbls>
        <c:gapWidth val="80"/>
        <c:shape val="box"/>
        <c:axId val="1632557776"/>
        <c:axId val="1632561040"/>
        <c:axId val="0"/>
      </c:bar3DChart>
      <c:catAx>
        <c:axId val="1632557776"/>
        <c:scaling>
          <c:orientation val="minMax"/>
        </c:scaling>
        <c:delete val="1"/>
        <c:axPos val="b"/>
        <c:numFmt formatCode="General" sourceLinked="1"/>
        <c:majorTickMark val="none"/>
        <c:minorTickMark val="none"/>
        <c:tickLblPos val="nextTo"/>
        <c:crossAx val="1632561040"/>
        <c:crosses val="autoZero"/>
        <c:auto val="1"/>
        <c:lblAlgn val="ctr"/>
        <c:lblOffset val="100"/>
        <c:noMultiLvlLbl val="0"/>
      </c:catAx>
      <c:valAx>
        <c:axId val="1632561040"/>
        <c:scaling>
          <c:orientation val="minMax"/>
          <c:max val="100"/>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632557776"/>
        <c:crosses val="autoZero"/>
        <c:crossBetween val="between"/>
      </c:valAx>
      <c:spPr>
        <a:noFill/>
        <a:ln>
          <a:noFill/>
        </a:ln>
        <a:effectLst/>
      </c:spPr>
    </c:plotArea>
    <c:legend>
      <c:legendPos val="l"/>
      <c:layout>
        <c:manualLayout>
          <c:xMode val="edge"/>
          <c:yMode val="edge"/>
          <c:x val="2.1024651444383764E-2"/>
          <c:y val="0.1203567286500188"/>
          <c:w val="0.42888872216920149"/>
          <c:h val="0.5136778309325135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en-US"/>
        </a:p>
      </c:txPr>
    </c:legend>
    <c:plotVisOnly val="1"/>
    <c:dispBlanksAs val="gap"/>
    <c:showDLblsOverMax val="0"/>
  </c:chart>
  <c:spPr>
    <a:gradFill>
      <a:gsLst>
        <a:gs pos="0">
          <a:srgbClr val="FFEFD1"/>
        </a:gs>
        <a:gs pos="100000">
          <a:srgbClr val="FFFFFF"/>
        </a:gs>
        <a:gs pos="100000">
          <a:schemeClr val="accent1">
            <a:lumMod val="45000"/>
            <a:lumOff val="55000"/>
          </a:schemeClr>
        </a:gs>
        <a:gs pos="100000">
          <a:schemeClr val="accent1">
            <a:lumMod val="30000"/>
            <a:lumOff val="70000"/>
          </a:schemeClr>
        </a:gs>
      </a:gsLst>
      <a:lin ang="16200000" scaled="0"/>
    </a:gradFill>
    <a:ln w="9525" cap="flat" cmpd="sng" algn="ctr">
      <a:solidFill>
        <a:schemeClr val="tx1">
          <a:lumMod val="15000"/>
          <a:lumOff val="85000"/>
        </a:schemeClr>
      </a:solidFill>
      <a:round/>
    </a:ln>
    <a:effectLst/>
    <a:scene3d>
      <a:camera prst="orthographicFront"/>
      <a:lightRig rig="threePt" dir="t"/>
    </a:scene3d>
    <a:sp3d>
      <a:bevelT prst="relaxedInset"/>
    </a:sp3d>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ln>
                  <a:noFill/>
                </a:ln>
                <a:solidFill>
                  <a:sysClr val="windowText" lastClr="000000"/>
                </a:solidFill>
                <a:latin typeface="Times New Roman" panose="02020603050405020304" pitchFamily="18" charset="0"/>
                <a:ea typeface="+mn-ea"/>
                <a:cs typeface="+mn-cs"/>
              </a:defRPr>
            </a:pPr>
            <a:r>
              <a:rPr lang="bg-BG" b="1" i="0" baseline="0">
                <a:solidFill>
                  <a:sysClr val="windowText" lastClr="000000"/>
                </a:solidFill>
                <a:latin typeface="Times New Roman" panose="02020603050405020304" pitchFamily="18" charset="0"/>
              </a:rPr>
              <a:t>Съотношение на определените нива на риск за получените в КЗЛД уведомления за нарушения на сигурността на данните по години</a:t>
            </a:r>
            <a:endParaRPr lang="bg-BG" sz="1000" b="1" i="0" baseline="0">
              <a:solidFill>
                <a:sysClr val="windowText" lastClr="000000"/>
              </a:solidFill>
              <a:latin typeface="Times New Roman" panose="02020603050405020304" pitchFamily="18" charset="0"/>
            </a:endParaRPr>
          </a:p>
        </c:rich>
      </c:tx>
      <c:layout>
        <c:manualLayout>
          <c:xMode val="edge"/>
          <c:yMode val="edge"/>
          <c:x val="0.13564814814814799"/>
          <c:y val="7.9365079365079395E-3"/>
        </c:manualLayout>
      </c:layout>
      <c:overlay val="0"/>
      <c:spPr>
        <a:noFill/>
        <a:ln>
          <a:noFill/>
        </a:ln>
        <a:effectLst/>
      </c:spPr>
      <c:txPr>
        <a:bodyPr rot="0" spcFirstLastPara="1" vertOverflow="ellipsis" vert="horz" wrap="square" anchor="ctr" anchorCtr="1"/>
        <a:lstStyle/>
        <a:p>
          <a:pPr>
            <a:defRPr sz="1400" b="1" i="0" u="none" strike="noStrike" kern="1200" spc="0" baseline="0">
              <a:ln>
                <a:noFill/>
              </a:ln>
              <a:solidFill>
                <a:sysClr val="windowText" lastClr="000000"/>
              </a:solidFill>
              <a:latin typeface="Times New Roman" panose="02020603050405020304" pitchFamily="18" charset="0"/>
              <a:ea typeface="+mn-ea"/>
              <a:cs typeface="+mn-cs"/>
            </a:defRPr>
          </a:pPr>
          <a:endParaRPr lang="en-US"/>
        </a:p>
      </c:txPr>
    </c:title>
    <c:autoTitleDeleted val="0"/>
    <c:view3D>
      <c:rotX val="10"/>
      <c:rotY val="0"/>
      <c:depthPercent val="50"/>
      <c:rAngAx val="0"/>
      <c:perspective val="0"/>
    </c:view3D>
    <c:floor>
      <c:thickness val="0"/>
      <c:spPr>
        <a:noFill/>
        <a:ln>
          <a:noFill/>
        </a:ln>
        <a:effectLst/>
        <a:sp3d/>
      </c:spPr>
    </c:floor>
    <c:sideWall>
      <c:thickness val="0"/>
      <c:spPr>
        <a:noFill/>
        <a:ln>
          <a:noFill/>
        </a:ln>
        <a:effectLst/>
        <a:scene3d>
          <a:camera prst="orthographicFront"/>
          <a:lightRig rig="threePt" dir="t"/>
        </a:scene3d>
        <a:sp3d/>
      </c:spPr>
    </c:sideWall>
    <c:backWall>
      <c:thickness val="0"/>
      <c:spPr>
        <a:noFill/>
        <a:ln>
          <a:noFill/>
        </a:ln>
        <a:effectLst/>
        <a:scene3d>
          <a:camera prst="orthographicFront"/>
          <a:lightRig rig="threePt" dir="t"/>
        </a:scene3d>
        <a:sp3d/>
      </c:spPr>
    </c:backWall>
    <c:plotArea>
      <c:layout>
        <c:manualLayout>
          <c:layoutTarget val="inner"/>
          <c:xMode val="edge"/>
          <c:yMode val="edge"/>
          <c:x val="7.4091389617964395E-2"/>
          <c:y val="0.18690476190476199"/>
          <c:w val="0.90507527704870205"/>
          <c:h val="0.62488126484189499"/>
        </c:manualLayout>
      </c:layout>
      <c:bar3DChart>
        <c:barDir val="col"/>
        <c:grouping val="clustered"/>
        <c:varyColors val="0"/>
        <c:ser>
          <c:idx val="0"/>
          <c:order val="0"/>
          <c:tx>
            <c:strRef>
              <c:f>Sheet1!$B$1</c:f>
              <c:strCache>
                <c:ptCount val="1"/>
                <c:pt idx="0">
                  <c:v>ниско</c:v>
                </c:pt>
              </c:strCache>
            </c:strRef>
          </c:tx>
          <c:spPr>
            <a:solidFill>
              <a:srgbClr val="00B050"/>
            </a:solidFill>
            <a:ln>
              <a:noFill/>
            </a:ln>
            <a:effectLst>
              <a:outerShdw dist="50800" dir="5400000" algn="ctr" rotWithShape="0">
                <a:schemeClr val="accent4">
                  <a:lumMod val="20000"/>
                  <a:lumOff val="80000"/>
                </a:schemeClr>
              </a:outerShdw>
            </a:effectLst>
            <a:scene3d>
              <a:camera prst="orthographicFront"/>
              <a:lightRig rig="threePt" dir="t"/>
            </a:scene3d>
            <a:sp3d/>
          </c:spPr>
          <c:invertIfNegative val="0"/>
          <c:dPt>
            <c:idx val="0"/>
            <c:invertIfNegative val="0"/>
            <c:bubble3D val="0"/>
            <c:spPr>
              <a:solidFill>
                <a:srgbClr val="00B050"/>
              </a:solidFill>
              <a:ln>
                <a:noFill/>
              </a:ln>
              <a:effectLst>
                <a:outerShdw dist="50800" dir="5400000" algn="ctr" rotWithShape="0">
                  <a:schemeClr val="accent4">
                    <a:lumMod val="20000"/>
                    <a:lumOff val="80000"/>
                  </a:schemeClr>
                </a:outerShdw>
              </a:effectLst>
              <a:scene3d>
                <a:camera prst="orthographicFront"/>
                <a:lightRig rig="threePt" dir="t"/>
              </a:scene3d>
              <a:sp3d/>
            </c:spPr>
            <c:extLst>
              <c:ext xmlns:c16="http://schemas.microsoft.com/office/drawing/2014/chart" uri="{C3380CC4-5D6E-409C-BE32-E72D297353CC}">
                <c16:uniqueId val="{00000001-C314-41B2-9018-15CB5A9A477C}"/>
              </c:ext>
            </c:extLst>
          </c:dPt>
          <c:dPt>
            <c:idx val="1"/>
            <c:invertIfNegative val="0"/>
            <c:bubble3D val="0"/>
            <c:spPr>
              <a:solidFill>
                <a:srgbClr val="00B050"/>
              </a:solidFill>
              <a:ln>
                <a:noFill/>
              </a:ln>
              <a:effectLst>
                <a:outerShdw dist="50800" dir="5400000" algn="ctr" rotWithShape="0">
                  <a:schemeClr val="accent4">
                    <a:lumMod val="20000"/>
                    <a:lumOff val="80000"/>
                  </a:schemeClr>
                </a:outerShdw>
              </a:effectLst>
              <a:scene3d>
                <a:camera prst="orthographicFront"/>
                <a:lightRig rig="threePt" dir="t"/>
              </a:scene3d>
              <a:sp3d>
                <a:bevelT w="0" h="0" prst="artDeco"/>
              </a:sp3d>
            </c:spPr>
            <c:extLst>
              <c:ext xmlns:c16="http://schemas.microsoft.com/office/drawing/2014/chart" uri="{C3380CC4-5D6E-409C-BE32-E72D297353CC}">
                <c16:uniqueId val="{00000003-C314-41B2-9018-15CB5A9A477C}"/>
              </c:ext>
            </c:extLst>
          </c:dPt>
          <c:dLbls>
            <c:dLbl>
              <c:idx val="0"/>
              <c:layout>
                <c:manualLayout>
                  <c:x val="0"/>
                  <c:y val="-1.19047619047619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314-41B2-9018-15CB5A9A477C}"/>
                </c:ext>
              </c:extLst>
            </c:dLbl>
            <c:dLbl>
              <c:idx val="1"/>
              <c:layout>
                <c:manualLayout>
                  <c:x val="2.3148148148148099E-3"/>
                  <c:y val="-7.93650793650797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314-41B2-9018-15CB5A9A477C}"/>
                </c:ext>
              </c:extLst>
            </c:dLbl>
            <c:spPr>
              <a:noFill/>
              <a:ln>
                <a:noFill/>
              </a:ln>
              <a:effectLst/>
            </c:spPr>
            <c:txPr>
              <a:bodyPr rot="0" spcFirstLastPara="1" vertOverflow="ellipsis" vert="horz" wrap="square" anchor="ctr" anchorCtr="1"/>
              <a:lstStyle/>
              <a:p>
                <a:pPr>
                  <a:defRPr sz="1200" b="1" i="0" u="none" strike="noStrike" kern="1200" baseline="0">
                    <a:ln>
                      <a:noFill/>
                    </a:ln>
                    <a:solidFill>
                      <a:sysClr val="windowText" lastClr="000000"/>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Sheet1!$B$2:$B$4</c:f>
              <c:numCache>
                <c:formatCode>General</c:formatCode>
                <c:ptCount val="3"/>
                <c:pt idx="0">
                  <c:v>16</c:v>
                </c:pt>
                <c:pt idx="1">
                  <c:v>10</c:v>
                </c:pt>
                <c:pt idx="2">
                  <c:v>16</c:v>
                </c:pt>
              </c:numCache>
            </c:numRef>
          </c:val>
          <c:shape val="cylinder"/>
          <c:extLst>
            <c:ext xmlns:c16="http://schemas.microsoft.com/office/drawing/2014/chart" uri="{C3380CC4-5D6E-409C-BE32-E72D297353CC}">
              <c16:uniqueId val="{00000004-C314-41B2-9018-15CB5A9A477C}"/>
            </c:ext>
          </c:extLst>
        </c:ser>
        <c:ser>
          <c:idx val="1"/>
          <c:order val="1"/>
          <c:tx>
            <c:strRef>
              <c:f>Sheet1!$C$1</c:f>
              <c:strCache>
                <c:ptCount val="1"/>
                <c:pt idx="0">
                  <c:v>средно</c:v>
                </c:pt>
              </c:strCache>
            </c:strRef>
          </c:tx>
          <c:spPr>
            <a:solidFill>
              <a:srgbClr val="FFC000"/>
            </a:solidFill>
            <a:ln>
              <a:noFill/>
            </a:ln>
            <a:effectLst/>
            <a:scene3d>
              <a:camera prst="orthographicFront"/>
              <a:lightRig rig="threePt" dir="t"/>
            </a:scene3d>
            <a:sp3d>
              <a:bevelT w="0" h="0"/>
              <a:bevelB w="0" h="0"/>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ln>
                      <a:noFill/>
                    </a:ln>
                    <a:solidFill>
                      <a:sysClr val="windowText" lastClr="000000"/>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Sheet1!$C$2:$C$4</c:f>
              <c:numCache>
                <c:formatCode>General</c:formatCode>
                <c:ptCount val="3"/>
                <c:pt idx="0">
                  <c:v>12</c:v>
                </c:pt>
                <c:pt idx="1">
                  <c:v>83</c:v>
                </c:pt>
                <c:pt idx="2">
                  <c:v>27</c:v>
                </c:pt>
              </c:numCache>
            </c:numRef>
          </c:val>
          <c:shape val="cylinder"/>
          <c:extLst>
            <c:ext xmlns:c16="http://schemas.microsoft.com/office/drawing/2014/chart" uri="{C3380CC4-5D6E-409C-BE32-E72D297353CC}">
              <c16:uniqueId val="{00000005-C314-41B2-9018-15CB5A9A477C}"/>
            </c:ext>
          </c:extLst>
        </c:ser>
        <c:ser>
          <c:idx val="2"/>
          <c:order val="2"/>
          <c:tx>
            <c:strRef>
              <c:f>Sheet1!$D$1</c:f>
              <c:strCache>
                <c:ptCount val="1"/>
                <c:pt idx="0">
                  <c:v>високо</c:v>
                </c:pt>
              </c:strCache>
            </c:strRef>
          </c:tx>
          <c:spPr>
            <a:solidFill>
              <a:srgbClr val="FF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ln>
                      <a:noFill/>
                    </a:ln>
                    <a:solidFill>
                      <a:sysClr val="windowText" lastClr="000000"/>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Sheet1!$D$2:$D$4</c:f>
              <c:numCache>
                <c:formatCode>General</c:formatCode>
                <c:ptCount val="3"/>
                <c:pt idx="0">
                  <c:v>13</c:v>
                </c:pt>
                <c:pt idx="1">
                  <c:v>6</c:v>
                </c:pt>
                <c:pt idx="2">
                  <c:v>8</c:v>
                </c:pt>
              </c:numCache>
            </c:numRef>
          </c:val>
          <c:shape val="cylinder"/>
          <c:extLst>
            <c:ext xmlns:c16="http://schemas.microsoft.com/office/drawing/2014/chart" uri="{C3380CC4-5D6E-409C-BE32-E72D297353CC}">
              <c16:uniqueId val="{00000006-C314-41B2-9018-15CB5A9A477C}"/>
            </c:ext>
          </c:extLst>
        </c:ser>
        <c:dLbls>
          <c:showLegendKey val="0"/>
          <c:showVal val="1"/>
          <c:showCatName val="0"/>
          <c:showSerName val="0"/>
          <c:showPercent val="0"/>
          <c:showBubbleSize val="0"/>
        </c:dLbls>
        <c:gapWidth val="66"/>
        <c:gapDepth val="8"/>
        <c:shape val="box"/>
        <c:axId val="1565388704"/>
        <c:axId val="1565385440"/>
        <c:axId val="0"/>
      </c:bar3DChart>
      <c:catAx>
        <c:axId val="1565388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ln>
                  <a:noFill/>
                </a:ln>
                <a:solidFill>
                  <a:sysClr val="windowText" lastClr="000000"/>
                </a:solidFill>
                <a:latin typeface="Times New Roman" panose="02020603050405020304" pitchFamily="18" charset="0"/>
                <a:ea typeface="+mn-ea"/>
                <a:cs typeface="+mn-cs"/>
              </a:defRPr>
            </a:pPr>
            <a:endParaRPr lang="en-US"/>
          </a:p>
        </c:txPr>
        <c:crossAx val="1565385440"/>
        <c:crossesAt val="0"/>
        <c:auto val="1"/>
        <c:lblAlgn val="ctr"/>
        <c:lblOffset val="100"/>
        <c:noMultiLvlLbl val="0"/>
      </c:catAx>
      <c:valAx>
        <c:axId val="1565385440"/>
        <c:scaling>
          <c:orientation val="minMax"/>
          <c:max val="100"/>
          <c:min val="0"/>
        </c:scaling>
        <c:delete val="0"/>
        <c:axPos val="l"/>
        <c:majorGridlines>
          <c:spPr>
            <a:ln w="9525" cap="flat" cmpd="sng" algn="ctr">
              <a:solidFill>
                <a:schemeClr val="tx1">
                  <a:lumMod val="15000"/>
                  <a:lumOff val="85000"/>
                </a:schemeClr>
              </a:solidFill>
              <a:round/>
            </a:ln>
            <a:effectLst>
              <a:outerShdw blurRad="50800" dist="50800" dir="5400000" algn="ctr" rotWithShape="0">
                <a:srgbClr val="000000">
                  <a:alpha val="70000"/>
                </a:srgbClr>
              </a:outerShdw>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ln>
                  <a:noFill/>
                </a:ln>
                <a:solidFill>
                  <a:sysClr val="windowText" lastClr="000000"/>
                </a:solidFill>
                <a:latin typeface="Times New Roman" panose="02020603050405020304" pitchFamily="18" charset="0"/>
                <a:ea typeface="+mn-ea"/>
                <a:cs typeface="+mn-cs"/>
              </a:defRPr>
            </a:pPr>
            <a:endParaRPr lang="en-US"/>
          </a:p>
        </c:txPr>
        <c:crossAx val="1565388704"/>
        <c:crosses val="autoZero"/>
        <c:crossBetween val="between"/>
        <c:majorUnit val="10"/>
        <c:minorUnit val="1"/>
      </c:valAx>
      <c:spPr>
        <a:noFill/>
        <a:ln>
          <a:noFill/>
        </a:ln>
        <a:effectLst/>
      </c:spPr>
    </c:plotArea>
    <c:legend>
      <c:legendPos val="b"/>
      <c:layout>
        <c:manualLayout>
          <c:xMode val="edge"/>
          <c:yMode val="edge"/>
          <c:x val="0.26121427529892099"/>
          <c:y val="0.91611260921151982"/>
          <c:w val="0.45905293088363952"/>
          <c:h val="6.1969582569302122E-2"/>
        </c:manualLayout>
      </c:layout>
      <c:overlay val="0"/>
      <c:spPr>
        <a:noFill/>
        <a:ln>
          <a:noFill/>
        </a:ln>
        <a:effectLst/>
      </c:spPr>
      <c:txPr>
        <a:bodyPr rot="0" spcFirstLastPara="1" vertOverflow="ellipsis" vert="horz" wrap="square" anchor="ctr" anchorCtr="1"/>
        <a:lstStyle/>
        <a:p>
          <a:pPr>
            <a:defRPr sz="1200" b="1" i="0" u="none" strike="noStrike" kern="1200" baseline="0">
              <a:ln>
                <a:noFill/>
              </a:ln>
              <a:solidFill>
                <a:sysClr val="windowText" lastClr="000000"/>
              </a:solidFill>
              <a:latin typeface="Times New Roman" panose="02020603050405020304" pitchFamily="18" charset="0"/>
              <a:ea typeface="+mn-ea"/>
              <a:cs typeface="+mn-cs"/>
            </a:defRPr>
          </a:pPr>
          <a:endParaRPr lang="en-US"/>
        </a:p>
      </c:txPr>
    </c:legend>
    <c:plotVisOnly val="1"/>
    <c:dispBlanksAs val="gap"/>
    <c:showDLblsOverMax val="0"/>
  </c:chart>
  <c:spPr>
    <a:gradFill>
      <a:gsLst>
        <a:gs pos="0">
          <a:srgbClr val="FFEFD1"/>
        </a:gs>
        <a:gs pos="100000">
          <a:srgbClr val="FFFFFF"/>
        </a:gs>
      </a:gsLst>
      <a:lin ang="16200000" scaled="0"/>
    </a:gradFill>
    <a:ln w="9525" cap="flat" cmpd="sng" algn="ctr">
      <a:solidFill>
        <a:schemeClr val="tx1">
          <a:lumMod val="15000"/>
          <a:lumOff val="85000"/>
        </a:schemeClr>
      </a:solidFill>
      <a:round/>
    </a:ln>
    <a:effectLst/>
    <a:scene3d>
      <a:camera prst="orthographicFront"/>
      <a:lightRig rig="threePt" dir="t"/>
    </a:scene3d>
    <a:sp3d>
      <a:bevelT prst="relaxedInset"/>
      <a:bevelB h="165100"/>
    </a:sp3d>
  </c:spPr>
  <c:txPr>
    <a:bodyPr/>
    <a:lstStyle/>
    <a:p>
      <a:pPr>
        <a:defRPr>
          <a:ln>
            <a:noFill/>
          </a:ln>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baseline="0">
                <a:solidFill>
                  <a:schemeClr val="accent1">
                    <a:lumMod val="75000"/>
                  </a:schemeClr>
                </a:solidFill>
                <a:latin typeface="Times New Roman" panose="02020603050405020304" pitchFamily="18" charset="0"/>
                <a:ea typeface="+mn-ea"/>
                <a:cs typeface="Times New Roman" panose="02020603050405020304" pitchFamily="18" charset="0"/>
              </a:defRPr>
            </a:pPr>
            <a:r>
              <a:rPr lang="bg-BG" sz="1400" cap="none">
                <a:solidFill>
                  <a:sysClr val="windowText" lastClr="000000"/>
                </a:solidFill>
                <a:latin typeface="Times New Roman" panose="02020603050405020304" pitchFamily="18" charset="0"/>
                <a:cs typeface="Times New Roman" panose="02020603050405020304" pitchFamily="18" charset="0"/>
              </a:rPr>
              <a:t>Основни причини за уведомяване по</a:t>
            </a:r>
            <a:r>
              <a:rPr lang="bg-BG" sz="1400" b="1"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rPr>
              <a:t> чл. </a:t>
            </a:r>
            <a:r>
              <a:rPr lang="bg-BG" sz="1400" cap="none">
                <a:solidFill>
                  <a:sysClr val="windowText" lastClr="000000"/>
                </a:solidFill>
                <a:latin typeface="Times New Roman" panose="02020603050405020304" pitchFamily="18" charset="0"/>
                <a:cs typeface="Times New Roman" panose="02020603050405020304" pitchFamily="18" charset="0"/>
              </a:rPr>
              <a:t>33 от Регламент 2016/679 за нарушения на сигурността на лични данни </a:t>
            </a:r>
          </a:p>
        </c:rich>
      </c:tx>
      <c:layout>
        <c:manualLayout>
          <c:xMode val="edge"/>
          <c:yMode val="edge"/>
          <c:x val="0.15785234899328901"/>
          <c:y val="2.7695299451205E-2"/>
        </c:manualLayout>
      </c:layout>
      <c:overlay val="0"/>
      <c:spPr>
        <a:noFill/>
        <a:ln>
          <a:noFill/>
        </a:ln>
        <a:effectLst/>
      </c:spPr>
    </c:title>
    <c:autoTitleDeleted val="0"/>
    <c:view3D>
      <c:rotX val="30"/>
      <c:rotY val="4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412579080881201"/>
          <c:y val="0.138289299898296"/>
          <c:w val="0.74035215447315295"/>
          <c:h val="0.84417709691050502"/>
        </c:manualLayout>
      </c:layout>
      <c:pie3DChart>
        <c:varyColors val="1"/>
        <c:ser>
          <c:idx val="0"/>
          <c:order val="0"/>
          <c:tx>
            <c:strRef>
              <c:f>Sheet1!$B$1</c:f>
              <c:strCache>
                <c:ptCount val="1"/>
                <c:pt idx="0">
                  <c:v>Основни причини за уведомяване по чл. 33 от Регламент 2016/679 за нарушения на сигурността на лични данни</c:v>
                </c:pt>
              </c:strCache>
            </c:strRef>
          </c:tx>
          <c:explosion val="25"/>
          <c:dPt>
            <c:idx val="0"/>
            <c:bubble3D val="0"/>
            <c:spPr>
              <a:solidFill>
                <a:srgbClr val="0070C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815-4AFF-99B3-E0CF4F77F3DF}"/>
              </c:ext>
            </c:extLst>
          </c:dPt>
          <c:dPt>
            <c:idx val="1"/>
            <c:bubble3D val="0"/>
            <c:explosion val="12"/>
            <c:spPr>
              <a:gradFill>
                <a:gsLst>
                  <a:gs pos="0">
                    <a:srgbClr val="C00000"/>
                  </a:gs>
                  <a:gs pos="98750">
                    <a:srgbClr val="F50F0F"/>
                  </a:gs>
                  <a:gs pos="100000">
                    <a:srgbClr val="F50F0F"/>
                  </a:gs>
                </a:gsLst>
                <a:lin ang="16200000" scaled="0"/>
              </a:gra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815-4AFF-99B3-E0CF4F77F3DF}"/>
              </c:ext>
            </c:extLst>
          </c:dPt>
          <c:dPt>
            <c:idx val="2"/>
            <c:bubble3D val="0"/>
            <c:explosion val="22"/>
            <c:spPr>
              <a:solidFill>
                <a:srgbClr val="FFC000"/>
              </a:solidFill>
              <a:scene3d>
                <a:camera prst="orthographicFront"/>
                <a:lightRig rig="threePt" dir="t"/>
              </a:scene3d>
              <a:sp3d>
                <a:bevelT w="127000" h="127000"/>
                <a:bevelB w="127000" h="127000"/>
              </a:sp3d>
            </c:spPr>
            <c:extLst>
              <c:ext xmlns:c16="http://schemas.microsoft.com/office/drawing/2014/chart" uri="{C3380CC4-5D6E-409C-BE32-E72D297353CC}">
                <c16:uniqueId val="{00000005-8815-4AFF-99B3-E0CF4F77F3DF}"/>
              </c:ext>
            </c:extLst>
          </c:dPt>
          <c:dPt>
            <c:idx val="3"/>
            <c:bubble3D val="0"/>
            <c:spPr>
              <a:solidFill>
                <a:srgbClr val="00B050"/>
              </a:solidFill>
              <a:scene3d>
                <a:camera prst="orthographicFront"/>
                <a:lightRig rig="threePt" dir="t"/>
              </a:scene3d>
              <a:sp3d>
                <a:bevelT w="127000" h="127000"/>
                <a:bevelB w="127000" h="127000"/>
              </a:sp3d>
            </c:spPr>
            <c:extLst>
              <c:ext xmlns:c16="http://schemas.microsoft.com/office/drawing/2014/chart" uri="{C3380CC4-5D6E-409C-BE32-E72D297353CC}">
                <c16:uniqueId val="{00000007-8815-4AFF-99B3-E0CF4F77F3DF}"/>
              </c:ext>
            </c:extLst>
          </c:dPt>
          <c:dLbls>
            <c:dLbl>
              <c:idx val="0"/>
              <c:layout>
                <c:manualLayout>
                  <c:x val="0.11836971383602159"/>
                  <c:y val="-0.12819228981532188"/>
                </c:manualLayout>
              </c:layout>
              <c:tx>
                <c:rich>
                  <a:bodyPr rot="0" spcFirstLastPara="1" vertOverflow="ellipsis" vert="horz" wrap="square" lIns="38100" tIns="19050" rIns="38100" bIns="19050" anchor="ctr" anchorCtr="1">
                    <a:noAutofit/>
                  </a:bodyPr>
                  <a:lstStyle/>
                  <a:p>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r>
                      <a:rPr lang="en-US"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rPr>
                      <a:t> </a:t>
                    </a:r>
                    <a:endParaRPr lang="en-US" sz="1200" b="1" baseline="0">
                      <a:solidFill>
                        <a:sysClr val="windowText" lastClr="000000"/>
                      </a:solidFill>
                      <a:latin typeface="Times New Roman" panose="02020603050405020304" pitchFamily="18" charset="0"/>
                      <a:cs typeface="Times New Roman" panose="02020603050405020304" pitchFamily="18" charset="0"/>
                    </a:endParaRPr>
                  </a:p>
                  <a:p>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91CEF92E-12A1-48FA-B8ED-97CA6FEA61BC}" type="PERCENTAGE">
                      <a:rPr lang="en-US" sz="1200" b="1" baseline="0">
                        <a:solidFill>
                          <a:sysClr val="windowText" lastClr="000000"/>
                        </a:solidFill>
                        <a:latin typeface="Times New Roman" panose="02020603050405020304" pitchFamily="18" charset="0"/>
                        <a:cs typeface="Times New Roman" panose="02020603050405020304" pitchFamily="18" charset="0"/>
                      </a:rPr>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t>[PERCENTAGE]</a:t>
                    </a:fld>
                    <a:endParaRPr lang="en-US"/>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layout>
                    <c:manualLayout>
                      <c:w val="6.7001675041876041E-2"/>
                      <c:h val="9.5540438397581251E-2"/>
                    </c:manualLayout>
                  </c15:layout>
                  <c15:dlblFieldTable/>
                  <c15:showDataLabelsRange val="0"/>
                </c:ext>
                <c:ext xmlns:c16="http://schemas.microsoft.com/office/drawing/2014/chart" uri="{C3380CC4-5D6E-409C-BE32-E72D297353CC}">
                  <c16:uniqueId val="{00000001-8815-4AFF-99B3-E0CF4F77F3DF}"/>
                </c:ext>
              </c:extLst>
            </c:dLbl>
            <c:dLbl>
              <c:idx val="1"/>
              <c:layout>
                <c:manualLayout>
                  <c:x val="2.01005025125628E-2"/>
                  <c:y val="-2.7210884353741499E-2"/>
                </c:manualLayout>
              </c:layout>
              <c:tx>
                <c:rich>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r>
                      <a:rPr lang="en-US" sz="1200" b="1" baseline="0">
                        <a:solidFill>
                          <a:sysClr val="windowText" lastClr="000000"/>
                        </a:solidFill>
                        <a:latin typeface="Times New Roman" panose="02020603050405020304" pitchFamily="18" charset="0"/>
                        <a:cs typeface="Times New Roman" panose="02020603050405020304" pitchFamily="18" charset="0"/>
                      </a:rPr>
                      <a:t> </a:t>
                    </a:r>
                  </a:p>
                  <a:p>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89E30BD1-29C3-4DBC-A247-E27F2BD3D8D6}" type="PERCENTAGE">
                      <a:rPr lang="en-US" sz="1200" b="1" baseline="0">
                        <a:solidFill>
                          <a:sysClr val="windowText" lastClr="000000"/>
                        </a:solidFill>
                        <a:latin typeface="Times New Roman" panose="02020603050405020304" pitchFamily="18" charset="0"/>
                        <a:cs typeface="Times New Roman" panose="02020603050405020304" pitchFamily="18" charset="0"/>
                      </a:rPr>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t>[PERCENTAGE]</a:t>
                    </a:fld>
                    <a:endParaRPr lang="en-US"/>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815-4AFF-99B3-E0CF4F77F3DF}"/>
                </c:ext>
              </c:extLst>
            </c:dLbl>
            <c:dLbl>
              <c:idx val="2"/>
              <c:tx>
                <c:rich>
                  <a:bodyPr/>
                  <a:lstStyle/>
                  <a:p>
                    <a:fld id="{78E1B7E3-F731-4859-A109-44AF5D70A43D}" type="PERCENTAGE">
                      <a:rPr lang="en-US" baseline="0"/>
                      <a:pPr/>
                      <a:t>[PERCENTAGE]</a:t>
                    </a:fld>
                    <a:endParaRPr lang="en-US"/>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815-4AFF-99B3-E0CF4F77F3DF}"/>
                </c:ext>
              </c:extLst>
            </c:dLbl>
            <c:dLbl>
              <c:idx val="3"/>
              <c:layout>
                <c:manualLayout>
                  <c:x val="-3.1319910514541402E-2"/>
                  <c:y val="-3.0303030303030901E-3"/>
                </c:manualLayout>
              </c:layout>
              <c:tx>
                <c:rich>
                  <a:bodyPr/>
                  <a:lstStyle/>
                  <a:p>
                    <a:r>
                      <a:rPr lang="en-US" sz="1200" baseline="0"/>
                      <a:t> </a:t>
                    </a:r>
                    <a:fld id="{D005A771-81E3-4A57-853A-E722E966F752}" type="PERCENTAGE">
                      <a:rPr lang="en-US" sz="1200" b="1" baseline="0">
                        <a:latin typeface="Times New Roman" panose="02020603050405020304" pitchFamily="18" charset="0"/>
                        <a:cs typeface="Times New Roman" panose="02020603050405020304" pitchFamily="18" charset="0"/>
                      </a:rPr>
                      <a:pPr/>
                      <a:t>[PERCENTAGE]</a:t>
                    </a:fld>
                    <a:endParaRPr lang="en-US" sz="1200"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815-4AFF-99B3-E0CF4F77F3DF}"/>
                </c:ext>
              </c:extLst>
            </c:dLbl>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en-US"/>
              </a:p>
            </c:txPr>
            <c:dLblPos val="outEnd"/>
            <c:showLegendKey val="0"/>
            <c:showVal val="1"/>
            <c:showCatName val="1"/>
            <c:showSerName val="0"/>
            <c:showPercent val="1"/>
            <c:showBubbleSize val="0"/>
            <c:showLeaderLines val="0"/>
            <c:extLst>
              <c:ext xmlns:c15="http://schemas.microsoft.com/office/drawing/2012/chart" uri="{CE6537A1-D6FC-4f65-9D91-7224C49458BB}"/>
            </c:extLst>
          </c:dLbls>
          <c:cat>
            <c:strRef>
              <c:f>Sheet1!$A$2:$A$5</c:f>
              <c:strCache>
                <c:ptCount val="4"/>
                <c:pt idx="0">
                  <c:v>външна хакерска атака</c:v>
                </c:pt>
                <c:pt idx="1">
                  <c:v>грешка на служител без умисъл</c:v>
                </c:pt>
                <c:pt idx="2">
                  <c:v>грешка на служител с умисъл</c:v>
                </c:pt>
                <c:pt idx="3">
                  <c:v>открадната компютърна техника</c:v>
                </c:pt>
              </c:strCache>
            </c:strRef>
          </c:cat>
          <c:val>
            <c:numRef>
              <c:f>Sheet1!$B$2:$B$5</c:f>
              <c:numCache>
                <c:formatCode>General</c:formatCode>
                <c:ptCount val="4"/>
                <c:pt idx="0">
                  <c:v>45</c:v>
                </c:pt>
                <c:pt idx="1">
                  <c:v>14</c:v>
                </c:pt>
                <c:pt idx="2">
                  <c:v>7</c:v>
                </c:pt>
                <c:pt idx="3">
                  <c:v>2</c:v>
                </c:pt>
              </c:numCache>
            </c:numRef>
          </c:val>
          <c:extLst>
            <c:ext xmlns:c16="http://schemas.microsoft.com/office/drawing/2014/chart" uri="{C3380CC4-5D6E-409C-BE32-E72D297353CC}">
              <c16:uniqueId val="{00000008-8815-4AFF-99B3-E0CF4F77F3DF}"/>
            </c:ext>
          </c:extLst>
        </c:ser>
        <c:dLbls>
          <c:showLegendKey val="0"/>
          <c:showVal val="0"/>
          <c:showCatName val="0"/>
          <c:showSerName val="0"/>
          <c:showPercent val="1"/>
          <c:showBubbleSize val="0"/>
          <c:showLeaderLines val="0"/>
        </c:dLbls>
      </c:pie3DChart>
      <c:spPr>
        <a:noFill/>
        <a:ln>
          <a:noFill/>
        </a:ln>
        <a:effectLst/>
      </c:spPr>
    </c:plotArea>
    <c:legend>
      <c:legendPos val="b"/>
      <c:layout>
        <c:manualLayout>
          <c:xMode val="edge"/>
          <c:yMode val="edge"/>
          <c:x val="2.09964960410099E-2"/>
          <c:y val="0.86649406919373195"/>
          <c:w val="0.95577361874991695"/>
          <c:h val="0.112341909642247"/>
        </c:manualLayout>
      </c:layout>
      <c:overlay val="0"/>
      <c:txPr>
        <a:bodyPr/>
        <a:lstStyle/>
        <a:p>
          <a:pPr>
            <a:defRPr sz="1200" b="1" i="0" baseline="0">
              <a:latin typeface="Times New Roman" panose="02020603050405020304" pitchFamily="18" charset="0"/>
              <a:cs typeface="Times New Roman" panose="02020603050405020304" pitchFamily="18" charset="0"/>
            </a:defRPr>
          </a:pPr>
          <a:endParaRPr lang="en-US"/>
        </a:p>
      </c:txPr>
    </c:legend>
    <c:plotVisOnly val="1"/>
    <c:dispBlanksAs val="zero"/>
    <c:showDLblsOverMax val="0"/>
  </c:chart>
  <c:spPr>
    <a:gradFill flip="none" rotWithShape="1">
      <a:gsLst>
        <a:gs pos="0">
          <a:srgbClr val="FFEFD1"/>
        </a:gs>
        <a:gs pos="100000">
          <a:srgbClr val="FFFFFF"/>
        </a:gs>
      </a:gsLst>
      <a:lin ang="16200000" scaled="0"/>
      <a:tileRect/>
    </a:gradFill>
    <a:effectLst/>
    <a:scene3d>
      <a:camera prst="orthographicFront"/>
      <a:lightRig rig="threePt" dir="t"/>
    </a:scene3d>
    <a:sp3d>
      <a:bevelT prst="relaxedInset"/>
    </a:sp3d>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ln>
                  <a:noFill/>
                </a:ln>
                <a:solidFill>
                  <a:sysClr val="windowText" lastClr="000000"/>
                </a:solidFill>
                <a:latin typeface="Times New Roman" panose="02020603050405020304" pitchFamily="18" charset="0"/>
                <a:ea typeface="+mn-ea"/>
                <a:cs typeface="+mn-cs"/>
              </a:defRPr>
            </a:pPr>
            <a:r>
              <a:rPr lang="bg-BG" sz="1400" b="1" i="0" baseline="0">
                <a:solidFill>
                  <a:sysClr val="windowText" lastClr="000000"/>
                </a:solidFill>
                <a:latin typeface="Times New Roman" panose="02020603050405020304" pitchFamily="18" charset="0"/>
              </a:rPr>
              <a:t>Упражнени корективни правомощия по</a:t>
            </a:r>
            <a:r>
              <a:rPr lang="bg-BG" sz="1400" b="1" i="0" u="none" strike="noStrike" kern="1200" spc="0" baseline="0">
                <a:ln>
                  <a:noFill/>
                </a:ln>
                <a:solidFill>
                  <a:sysClr val="windowText" lastClr="000000"/>
                </a:solidFill>
                <a:latin typeface="Times New Roman" panose="02020603050405020304" pitchFamily="18" charset="0"/>
                <a:ea typeface="+mn-ea"/>
                <a:cs typeface="+mn-cs"/>
              </a:rPr>
              <a:t> чл. </a:t>
            </a:r>
            <a:r>
              <a:rPr lang="bg-BG" sz="1400" b="1" i="0" baseline="0">
                <a:solidFill>
                  <a:sysClr val="windowText" lastClr="000000"/>
                </a:solidFill>
                <a:latin typeface="Times New Roman" panose="02020603050405020304" pitchFamily="18" charset="0"/>
              </a:rPr>
              <a:t>58, </a:t>
            </a:r>
            <a:r>
              <a:rPr lang="bg-BG" sz="1400" b="1" i="0" baseline="0">
                <a:solidFill>
                  <a:sysClr val="windowText" lastClr="000000"/>
                </a:solidFill>
                <a:latin typeface="Times New Roman" panose="02020603050405020304" pitchFamily="18" charset="0"/>
                <a:cs typeface="Times New Roman" panose="02020603050405020304" pitchFamily="18" charset="0"/>
              </a:rPr>
              <a:t>§2 от Регламент 2016/679</a:t>
            </a:r>
            <a:endParaRPr lang="bg-BG" sz="1400" b="1" i="0" baseline="0">
              <a:solidFill>
                <a:sysClr val="windowText" lastClr="000000"/>
              </a:solidFill>
              <a:latin typeface="Times New Roman" panose="02020603050405020304" pitchFamily="18" charset="0"/>
            </a:endParaRPr>
          </a:p>
        </c:rich>
      </c:tx>
      <c:layout>
        <c:manualLayout>
          <c:xMode val="edge"/>
          <c:yMode val="edge"/>
          <c:x val="0.13564814814814813"/>
          <c:y val="4.0813144932225938E-2"/>
        </c:manualLayout>
      </c:layout>
      <c:overlay val="0"/>
      <c:spPr>
        <a:noFill/>
        <a:ln>
          <a:noFill/>
        </a:ln>
        <a:effectLst/>
      </c:spPr>
      <c:txPr>
        <a:bodyPr rot="0" spcFirstLastPara="1" vertOverflow="ellipsis" vert="horz" wrap="square" anchor="ctr" anchorCtr="1"/>
        <a:lstStyle/>
        <a:p>
          <a:pPr>
            <a:defRPr sz="1400" b="1" i="0" u="none" strike="noStrike" kern="1200" spc="0" baseline="0">
              <a:ln>
                <a:noFill/>
              </a:ln>
              <a:solidFill>
                <a:sysClr val="windowText" lastClr="000000"/>
              </a:solidFill>
              <a:latin typeface="Times New Roman" panose="02020603050405020304" pitchFamily="18" charset="0"/>
              <a:ea typeface="+mn-ea"/>
              <a:cs typeface="+mn-cs"/>
            </a:defRPr>
          </a:pPr>
          <a:endParaRPr lang="en-US"/>
        </a:p>
      </c:txPr>
    </c:title>
    <c:autoTitleDeleted val="0"/>
    <c:view3D>
      <c:rotX val="10"/>
      <c:rotY val="0"/>
      <c:depthPercent val="50"/>
      <c:rAngAx val="0"/>
      <c:perspective val="0"/>
    </c:view3D>
    <c:floor>
      <c:thickness val="0"/>
      <c:spPr>
        <a:noFill/>
        <a:ln>
          <a:noFill/>
        </a:ln>
        <a:effectLst/>
        <a:sp3d/>
      </c:spPr>
    </c:floor>
    <c:sideWall>
      <c:thickness val="0"/>
      <c:spPr>
        <a:noFill/>
        <a:ln>
          <a:noFill/>
        </a:ln>
        <a:effectLst/>
        <a:scene3d>
          <a:camera prst="orthographicFront"/>
          <a:lightRig rig="threePt" dir="t"/>
        </a:scene3d>
        <a:sp3d/>
      </c:spPr>
    </c:sideWall>
    <c:backWall>
      <c:thickness val="0"/>
      <c:spPr>
        <a:noFill/>
        <a:ln>
          <a:noFill/>
        </a:ln>
        <a:effectLst/>
        <a:scene3d>
          <a:camera prst="orthographicFront"/>
          <a:lightRig rig="threePt" dir="t"/>
        </a:scene3d>
        <a:sp3d/>
      </c:spPr>
    </c:backWall>
    <c:plotArea>
      <c:layout>
        <c:manualLayout>
          <c:layoutTarget val="inner"/>
          <c:xMode val="edge"/>
          <c:yMode val="edge"/>
          <c:x val="7.623325570060864E-2"/>
          <c:y val="0.17461984174582601"/>
          <c:w val="0.90507527704870205"/>
          <c:h val="0.62488126484189499"/>
        </c:manualLayout>
      </c:layout>
      <c:bar3DChart>
        <c:barDir val="col"/>
        <c:grouping val="clustered"/>
        <c:varyColors val="0"/>
        <c:ser>
          <c:idx val="0"/>
          <c:order val="0"/>
          <c:tx>
            <c:strRef>
              <c:f>Sheet1!$B$1</c:f>
              <c:strCache>
                <c:ptCount val="1"/>
                <c:pt idx="0">
                  <c:v>официално предупреждение по буква „б“</c:v>
                </c:pt>
              </c:strCache>
            </c:strRef>
          </c:tx>
          <c:spPr>
            <a:solidFill>
              <a:srgbClr val="00B050"/>
            </a:solidFill>
            <a:ln>
              <a:noFill/>
            </a:ln>
            <a:effectLst>
              <a:outerShdw dist="50800" dir="5400000" algn="ctr" rotWithShape="0">
                <a:schemeClr val="accent4">
                  <a:lumMod val="20000"/>
                  <a:lumOff val="80000"/>
                </a:schemeClr>
              </a:outerShdw>
            </a:effectLst>
            <a:scene3d>
              <a:camera prst="orthographicFront"/>
              <a:lightRig rig="threePt" dir="t"/>
            </a:scene3d>
            <a:sp3d/>
          </c:spPr>
          <c:invertIfNegative val="0"/>
          <c:dPt>
            <c:idx val="0"/>
            <c:invertIfNegative val="0"/>
            <c:bubble3D val="0"/>
            <c:spPr>
              <a:solidFill>
                <a:srgbClr val="00B050"/>
              </a:solidFill>
              <a:ln>
                <a:noFill/>
              </a:ln>
              <a:effectLst>
                <a:outerShdw dist="50800" dir="5400000" algn="ctr" rotWithShape="0">
                  <a:schemeClr val="accent4">
                    <a:lumMod val="20000"/>
                    <a:lumOff val="80000"/>
                  </a:schemeClr>
                </a:outerShdw>
              </a:effectLst>
              <a:scene3d>
                <a:camera prst="orthographicFront"/>
                <a:lightRig rig="threePt" dir="t"/>
              </a:scene3d>
              <a:sp3d/>
            </c:spPr>
            <c:extLst>
              <c:ext xmlns:c16="http://schemas.microsoft.com/office/drawing/2014/chart" uri="{C3380CC4-5D6E-409C-BE32-E72D297353CC}">
                <c16:uniqueId val="{00000001-CFA1-46C3-9FC6-0ECA3D4A46D1}"/>
              </c:ext>
            </c:extLst>
          </c:dPt>
          <c:dPt>
            <c:idx val="1"/>
            <c:invertIfNegative val="0"/>
            <c:bubble3D val="0"/>
            <c:spPr>
              <a:solidFill>
                <a:srgbClr val="00B050"/>
              </a:solidFill>
              <a:ln>
                <a:noFill/>
              </a:ln>
              <a:effectLst>
                <a:outerShdw dist="50800" dir="5400000" algn="ctr" rotWithShape="0">
                  <a:schemeClr val="accent4">
                    <a:lumMod val="20000"/>
                    <a:lumOff val="80000"/>
                  </a:schemeClr>
                </a:outerShdw>
              </a:effectLst>
              <a:scene3d>
                <a:camera prst="orthographicFront"/>
                <a:lightRig rig="threePt" dir="t"/>
              </a:scene3d>
              <a:sp3d>
                <a:bevelT w="0" h="0" prst="artDeco"/>
              </a:sp3d>
            </c:spPr>
            <c:extLst>
              <c:ext xmlns:c16="http://schemas.microsoft.com/office/drawing/2014/chart" uri="{C3380CC4-5D6E-409C-BE32-E72D297353CC}">
                <c16:uniqueId val="{00000003-CFA1-46C3-9FC6-0ECA3D4A46D1}"/>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Sheet1!$B$2:$B$4</c:f>
              <c:numCache>
                <c:formatCode>General</c:formatCode>
                <c:ptCount val="3"/>
                <c:pt idx="0">
                  <c:v>1</c:v>
                </c:pt>
                <c:pt idx="1">
                  <c:v>6</c:v>
                </c:pt>
                <c:pt idx="2">
                  <c:v>4</c:v>
                </c:pt>
              </c:numCache>
            </c:numRef>
          </c:val>
          <c:shape val="cylinder"/>
          <c:extLst>
            <c:ext xmlns:c16="http://schemas.microsoft.com/office/drawing/2014/chart" uri="{C3380CC4-5D6E-409C-BE32-E72D297353CC}">
              <c16:uniqueId val="{00000004-CFA1-46C3-9FC6-0ECA3D4A46D1}"/>
            </c:ext>
          </c:extLst>
        </c:ser>
        <c:ser>
          <c:idx val="1"/>
          <c:order val="1"/>
          <c:tx>
            <c:strRef>
              <c:f>Sheet1!$C$1</c:f>
              <c:strCache>
                <c:ptCount val="1"/>
                <c:pt idx="0">
                  <c:v>разпореждане по буква „г“</c:v>
                </c:pt>
              </c:strCache>
            </c:strRef>
          </c:tx>
          <c:spPr>
            <a:solidFill>
              <a:srgbClr val="FFC000"/>
            </a:solidFill>
            <a:ln>
              <a:solidFill>
                <a:schemeClr val="accent4">
                  <a:lumMod val="60000"/>
                  <a:lumOff val="40000"/>
                </a:schemeClr>
              </a:solidFill>
            </a:ln>
            <a:effectLst>
              <a:outerShdw blurRad="50800" dist="50800" dir="5400000" algn="ctr" rotWithShape="0">
                <a:schemeClr val="bg1"/>
              </a:outerShdw>
            </a:effectLst>
            <a:scene3d>
              <a:camera prst="orthographicFront"/>
              <a:lightRig rig="threePt" dir="t"/>
            </a:scene3d>
            <a:sp3d>
              <a:bevelT w="0" h="0"/>
              <a:bevelB w="0" h="0"/>
              <a:contourClr>
                <a:schemeClr val="accent4">
                  <a:lumMod val="60000"/>
                  <a:lumOff val="40000"/>
                </a:schemeClr>
              </a:contourClr>
            </a:sp3d>
          </c:spPr>
          <c:invertIfNegative val="0"/>
          <c:dPt>
            <c:idx val="2"/>
            <c:invertIfNegative val="0"/>
            <c:bubble3D val="0"/>
            <c:spPr>
              <a:solidFill>
                <a:srgbClr val="FFC000"/>
              </a:solidFill>
              <a:ln>
                <a:solidFill>
                  <a:srgbClr val="FFCC00"/>
                </a:solidFill>
              </a:ln>
              <a:effectLst>
                <a:outerShdw blurRad="50800" dist="50800" dir="5400000" algn="ctr" rotWithShape="0">
                  <a:schemeClr val="bg1"/>
                </a:outerShdw>
              </a:effectLst>
              <a:scene3d>
                <a:camera prst="orthographicFront"/>
                <a:lightRig rig="threePt" dir="t"/>
              </a:scene3d>
              <a:sp3d>
                <a:bevelT w="0" h="0"/>
                <a:bevelB w="0" h="0"/>
                <a:contourClr>
                  <a:srgbClr val="FFCC00"/>
                </a:contourClr>
              </a:sp3d>
            </c:spPr>
            <c:extLst>
              <c:ext xmlns:c16="http://schemas.microsoft.com/office/drawing/2014/chart" uri="{C3380CC4-5D6E-409C-BE32-E72D297353CC}">
                <c16:uniqueId val="{00000006-CFA1-46C3-9FC6-0ECA3D4A46D1}"/>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Sheet1!$C$2:$C$4</c:f>
              <c:numCache>
                <c:formatCode>General</c:formatCode>
                <c:ptCount val="3"/>
                <c:pt idx="0">
                  <c:v>21</c:v>
                </c:pt>
                <c:pt idx="1">
                  <c:v>14</c:v>
                </c:pt>
                <c:pt idx="2">
                  <c:v>10</c:v>
                </c:pt>
              </c:numCache>
            </c:numRef>
          </c:val>
          <c:shape val="cylinder"/>
          <c:extLst>
            <c:ext xmlns:c16="http://schemas.microsoft.com/office/drawing/2014/chart" uri="{C3380CC4-5D6E-409C-BE32-E72D297353CC}">
              <c16:uniqueId val="{00000007-CFA1-46C3-9FC6-0ECA3D4A46D1}"/>
            </c:ext>
          </c:extLst>
        </c:ser>
        <c:ser>
          <c:idx val="2"/>
          <c:order val="2"/>
          <c:tx>
            <c:strRef>
              <c:f>Sheet1!$D$1</c:f>
              <c:strCache>
                <c:ptCount val="1"/>
                <c:pt idx="0">
                  <c:v>разпореждане по буква „д“</c:v>
                </c:pt>
              </c:strCache>
            </c:strRef>
          </c:tx>
          <c:spPr>
            <a:solidFill>
              <a:srgbClr val="FF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Sheet1!$D$2:$D$4</c:f>
              <c:numCache>
                <c:formatCode>General</c:formatCode>
                <c:ptCount val="3"/>
                <c:pt idx="0">
                  <c:v>4</c:v>
                </c:pt>
                <c:pt idx="1">
                  <c:v>3</c:v>
                </c:pt>
                <c:pt idx="2">
                  <c:v>2</c:v>
                </c:pt>
              </c:numCache>
            </c:numRef>
          </c:val>
          <c:shape val="cylinder"/>
          <c:extLst>
            <c:ext xmlns:c16="http://schemas.microsoft.com/office/drawing/2014/chart" uri="{C3380CC4-5D6E-409C-BE32-E72D297353CC}">
              <c16:uniqueId val="{00000008-CFA1-46C3-9FC6-0ECA3D4A46D1}"/>
            </c:ext>
          </c:extLst>
        </c:ser>
        <c:ser>
          <c:idx val="3"/>
          <c:order val="3"/>
          <c:tx>
            <c:strRef>
              <c:f>Sheet1!$E$1</c:f>
              <c:strCache>
                <c:ptCount val="1"/>
                <c:pt idx="0">
                  <c:v>имуществена санкция по буква „и“</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Sheet1!$E$2:$E$4</c:f>
              <c:numCache>
                <c:formatCode>General</c:formatCode>
                <c:ptCount val="3"/>
                <c:pt idx="0">
                  <c:v>1</c:v>
                </c:pt>
                <c:pt idx="1">
                  <c:v>1</c:v>
                </c:pt>
                <c:pt idx="2">
                  <c:v>1</c:v>
                </c:pt>
              </c:numCache>
            </c:numRef>
          </c:val>
          <c:shape val="cylinder"/>
          <c:extLst>
            <c:ext xmlns:c16="http://schemas.microsoft.com/office/drawing/2014/chart" uri="{C3380CC4-5D6E-409C-BE32-E72D297353CC}">
              <c16:uniqueId val="{00000009-CFA1-46C3-9FC6-0ECA3D4A46D1}"/>
            </c:ext>
          </c:extLst>
        </c:ser>
        <c:dLbls>
          <c:showLegendKey val="0"/>
          <c:showVal val="1"/>
          <c:showCatName val="0"/>
          <c:showSerName val="0"/>
          <c:showPercent val="0"/>
          <c:showBubbleSize val="0"/>
        </c:dLbls>
        <c:gapWidth val="66"/>
        <c:gapDepth val="8"/>
        <c:shape val="box"/>
        <c:axId val="1565389248"/>
        <c:axId val="1565389792"/>
        <c:axId val="0"/>
      </c:bar3DChart>
      <c:catAx>
        <c:axId val="1565389248"/>
        <c:scaling>
          <c:orientation val="minMax"/>
        </c:scaling>
        <c:delete val="0"/>
        <c:axPos val="b"/>
        <c:numFmt formatCode="General" sourceLinked="1"/>
        <c:majorTickMark val="none"/>
        <c:minorTickMark val="none"/>
        <c:tickLblPos val="nextTo"/>
        <c:spPr>
          <a:noFill/>
          <a:ln w="9525" cap="flat" cmpd="sng" algn="ctr">
            <a:noFill/>
            <a:round/>
          </a:ln>
          <a:effectLst>
            <a:glow rad="88900">
              <a:schemeClr val="accent1">
                <a:alpha val="40000"/>
              </a:schemeClr>
            </a:glow>
          </a:effectLst>
        </c:spPr>
        <c:txPr>
          <a:bodyPr rot="-60000000" spcFirstLastPara="1" vertOverflow="ellipsis" vert="horz" wrap="square" anchor="ctr" anchorCtr="1"/>
          <a:lstStyle/>
          <a:p>
            <a:pPr>
              <a:defRPr sz="1200" b="0" i="0" u="none" strike="noStrike" kern="1200" baseline="0">
                <a:ln>
                  <a:noFill/>
                </a:ln>
                <a:solidFill>
                  <a:sysClr val="windowText" lastClr="000000"/>
                </a:solidFill>
                <a:latin typeface="Times New Roman" panose="02020603050405020304" pitchFamily="18" charset="0"/>
                <a:ea typeface="+mn-ea"/>
                <a:cs typeface="+mn-cs"/>
              </a:defRPr>
            </a:pPr>
            <a:endParaRPr lang="en-US"/>
          </a:p>
        </c:txPr>
        <c:crossAx val="1565389792"/>
        <c:crossesAt val="0"/>
        <c:auto val="1"/>
        <c:lblAlgn val="ctr"/>
        <c:lblOffset val="100"/>
        <c:noMultiLvlLbl val="0"/>
      </c:catAx>
      <c:valAx>
        <c:axId val="1565389792"/>
        <c:scaling>
          <c:orientation val="minMax"/>
          <c:max val="25"/>
          <c:min val="0"/>
        </c:scaling>
        <c:delete val="0"/>
        <c:axPos val="l"/>
        <c:majorGridlines>
          <c:spPr>
            <a:ln w="9525" cap="flat" cmpd="sng" algn="ctr">
              <a:solidFill>
                <a:schemeClr val="tx1">
                  <a:lumMod val="15000"/>
                  <a:lumOff val="85000"/>
                </a:schemeClr>
              </a:solidFill>
              <a:round/>
            </a:ln>
            <a:effectLst>
              <a:outerShdw blurRad="50800" dist="50800" dir="5400000" algn="ctr" rotWithShape="0">
                <a:srgbClr val="000000">
                  <a:alpha val="70000"/>
                </a:srgbClr>
              </a:outerShdw>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ln>
                  <a:noFill/>
                </a:ln>
                <a:solidFill>
                  <a:sysClr val="windowText" lastClr="000000"/>
                </a:solidFill>
                <a:latin typeface="Times New Roman" panose="02020603050405020304" pitchFamily="18" charset="0"/>
                <a:ea typeface="+mn-ea"/>
                <a:cs typeface="+mn-cs"/>
              </a:defRPr>
            </a:pPr>
            <a:endParaRPr lang="en-US"/>
          </a:p>
        </c:txPr>
        <c:crossAx val="1565389248"/>
        <c:crosses val="autoZero"/>
        <c:crossBetween val="between"/>
        <c:majorUnit val="5"/>
        <c:minorUnit val="2"/>
      </c:valAx>
      <c:spPr>
        <a:noFill/>
        <a:ln>
          <a:noFill/>
        </a:ln>
        <a:effectLst>
          <a:glow rad="127000">
            <a:schemeClr val="tx2">
              <a:lumMod val="60000"/>
              <a:lumOff val="40000"/>
            </a:schemeClr>
          </a:glow>
        </a:effectLst>
      </c:spPr>
    </c:plotArea>
    <c:legend>
      <c:legendPos val="b"/>
      <c:layout>
        <c:manualLayout>
          <c:xMode val="edge"/>
          <c:yMode val="edge"/>
          <c:x val="2.8899190614689676E-2"/>
          <c:y val="0.8747242169300965"/>
          <c:w val="0.94802399367705881"/>
          <c:h val="0.10571588086941455"/>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gradFill>
      <a:gsLst>
        <a:gs pos="0">
          <a:srgbClr val="FFEFD1"/>
        </a:gs>
        <a:gs pos="100000">
          <a:srgbClr val="FFFFFF"/>
        </a:gs>
      </a:gsLst>
      <a:lin ang="16200000" scaled="0"/>
    </a:gra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a:scene3d>
      <a:camera prst="orthographicFront"/>
      <a:lightRig rig="threePt" dir="t"/>
    </a:scene3d>
    <a:sp3d>
      <a:bevelT prst="relaxedInset"/>
      <a:bevelB h="165100"/>
    </a:sp3d>
  </c:spPr>
  <c:txPr>
    <a:bodyPr/>
    <a:lstStyle/>
    <a:p>
      <a:pPr>
        <a:defRPr>
          <a:ln>
            <a:noFill/>
          </a:ln>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baseline="0">
                <a:solidFill>
                  <a:schemeClr val="accent1">
                    <a:lumMod val="75000"/>
                  </a:schemeClr>
                </a:solidFill>
                <a:latin typeface="Times New Roman" panose="02020603050405020304" pitchFamily="18" charset="0"/>
                <a:ea typeface="+mn-ea"/>
                <a:cs typeface="Times New Roman" panose="02020603050405020304" pitchFamily="18" charset="0"/>
              </a:defRPr>
            </a:pPr>
            <a:r>
              <a:rPr lang="bg-BG" sz="1400" cap="none">
                <a:solidFill>
                  <a:sysClr val="windowText" lastClr="000000"/>
                </a:solidFill>
                <a:latin typeface="Times New Roman" panose="02020603050405020304" pitchFamily="18" charset="0"/>
                <a:cs typeface="Times New Roman" panose="02020603050405020304" pitchFamily="18" charset="0"/>
              </a:rPr>
              <a:t>Брой</a:t>
            </a:r>
            <a:r>
              <a:rPr lang="bg-BG" sz="1400" cap="none" baseline="0">
                <a:solidFill>
                  <a:sysClr val="windowText" lastClr="000000"/>
                </a:solidFill>
                <a:latin typeface="Times New Roman" panose="02020603050405020304" pitchFamily="18" charset="0"/>
                <a:cs typeface="Times New Roman" panose="02020603050405020304" pitchFamily="18" charset="0"/>
              </a:rPr>
              <a:t> случаи на поискана информация по </a:t>
            </a:r>
            <a:r>
              <a:rPr lang="bg-BG" sz="1200" b="1" i="0" u="none" strike="noStrike" cap="all" baseline="0">
                <a:solidFill>
                  <a:sysClr val="windowText" lastClr="000000"/>
                </a:solidFill>
                <a:effectLst/>
              </a:rPr>
              <a:t>„</a:t>
            </a:r>
            <a:r>
              <a:rPr lang="bg-BG" sz="1400" cap="none" baseline="0">
                <a:solidFill>
                  <a:sysClr val="windowText" lastClr="000000"/>
                </a:solidFill>
                <a:latin typeface="Times New Roman" panose="02020603050405020304" pitchFamily="18" charset="0"/>
                <a:cs typeface="Times New Roman" panose="02020603050405020304" pitchFamily="18" charset="0"/>
              </a:rPr>
              <a:t>възраст</a:t>
            </a:r>
            <a:r>
              <a:rPr lang="bg-BG" sz="1200" b="1" i="0" u="none" strike="noStrike" cap="all" baseline="0">
                <a:solidFill>
                  <a:sysClr val="windowText" lastClr="000000"/>
                </a:solidFill>
                <a:effectLst/>
              </a:rPr>
              <a:t>“</a:t>
            </a:r>
            <a:r>
              <a:rPr lang="bg-BG" sz="1400" cap="none">
                <a:solidFill>
                  <a:sysClr val="windowText" lastClr="000000"/>
                </a:solidFill>
                <a:latin typeface="Times New Roman" panose="02020603050405020304" pitchFamily="18" charset="0"/>
                <a:cs typeface="Times New Roman" panose="02020603050405020304" pitchFamily="18" charset="0"/>
              </a:rPr>
              <a:t> </a:t>
            </a:r>
          </a:p>
        </c:rich>
      </c:tx>
      <c:layout>
        <c:manualLayout>
          <c:xMode val="edge"/>
          <c:yMode val="edge"/>
          <c:x val="0.14371813064003044"/>
          <c:y val="7.1005474663694876E-2"/>
        </c:manualLayout>
      </c:layout>
      <c:overlay val="0"/>
      <c:spPr>
        <a:noFill/>
        <a:ln>
          <a:noFill/>
        </a:ln>
        <a:effectLst/>
      </c:spPr>
    </c:title>
    <c:autoTitleDeleted val="0"/>
    <c:view3D>
      <c:rotX val="30"/>
      <c:rotY val="4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412579080881201"/>
          <c:y val="0.138289299898296"/>
          <c:w val="0.74035215447315295"/>
          <c:h val="0.84417709691050502"/>
        </c:manualLayout>
      </c:layout>
      <c:pie3DChart>
        <c:varyColors val="1"/>
        <c:ser>
          <c:idx val="0"/>
          <c:order val="0"/>
          <c:tx>
            <c:strRef>
              <c:f>Sheet1!$B$1</c:f>
              <c:strCache>
                <c:ptCount val="1"/>
                <c:pt idx="0">
                  <c:v>Брой случай на поискана информация по "възраст"</c:v>
                </c:pt>
              </c:strCache>
            </c:strRef>
          </c:tx>
          <c:explosion val="25"/>
          <c:dPt>
            <c:idx val="0"/>
            <c:bubble3D val="0"/>
            <c:spPr>
              <a:solidFill>
                <a:srgbClr val="0070C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2443-46F3-8A26-22264A3463AF}"/>
              </c:ext>
            </c:extLst>
          </c:dPt>
          <c:dPt>
            <c:idx val="1"/>
            <c:bubble3D val="0"/>
            <c:explosion val="12"/>
            <c:spPr>
              <a:gradFill>
                <a:gsLst>
                  <a:gs pos="0">
                    <a:srgbClr val="C00000"/>
                  </a:gs>
                  <a:gs pos="98750">
                    <a:srgbClr val="F50F0F"/>
                  </a:gs>
                  <a:gs pos="100000">
                    <a:srgbClr val="F50F0F"/>
                  </a:gs>
                </a:gsLst>
                <a:lin ang="16200000" scaled="0"/>
              </a:gra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443-46F3-8A26-22264A3463AF}"/>
              </c:ext>
            </c:extLst>
          </c:dPt>
          <c:dPt>
            <c:idx val="2"/>
            <c:bubble3D val="0"/>
            <c:explosion val="22"/>
            <c:spPr>
              <a:solidFill>
                <a:srgbClr val="FFC000"/>
              </a:solidFill>
              <a:scene3d>
                <a:camera prst="orthographicFront"/>
                <a:lightRig rig="threePt" dir="t"/>
              </a:scene3d>
              <a:sp3d>
                <a:bevelT w="127000" h="127000"/>
                <a:bevelB w="127000" h="127000"/>
              </a:sp3d>
            </c:spPr>
            <c:extLst>
              <c:ext xmlns:c16="http://schemas.microsoft.com/office/drawing/2014/chart" uri="{C3380CC4-5D6E-409C-BE32-E72D297353CC}">
                <c16:uniqueId val="{00000005-2443-46F3-8A26-22264A3463AF}"/>
              </c:ext>
            </c:extLst>
          </c:dPt>
          <c:dLbls>
            <c:dLbl>
              <c:idx val="0"/>
              <c:layout>
                <c:manualLayout>
                  <c:x val="7.3702018403478453E-2"/>
                  <c:y val="-6.9747051270841284E-2"/>
                </c:manualLayout>
              </c:layout>
              <c:tx>
                <c:rich>
                  <a:bodyPr rot="0" spcFirstLastPara="1" vertOverflow="ellipsis" vert="horz" wrap="square" lIns="38100" tIns="19050" rIns="38100" bIns="19050" anchor="ctr" anchorCtr="1">
                    <a:noAutofit/>
                  </a:bodyPr>
                  <a:lstStyle/>
                  <a:p>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r>
                      <a:rPr lang="en-US"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rPr>
                      <a:t> </a:t>
                    </a:r>
                    <a:endParaRPr lang="en-US" sz="1200" b="1" baseline="0">
                      <a:solidFill>
                        <a:sysClr val="windowText" lastClr="000000"/>
                      </a:solidFill>
                      <a:latin typeface="Times New Roman" panose="02020603050405020304" pitchFamily="18" charset="0"/>
                      <a:cs typeface="Times New Roman" panose="02020603050405020304" pitchFamily="18" charset="0"/>
                    </a:endParaRPr>
                  </a:p>
                  <a:p>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91CEF92E-12A1-48FA-B8ED-97CA6FEA61BC}" type="PERCENTAGE">
                      <a:rPr lang="en-US" sz="1200" b="1" baseline="0">
                        <a:solidFill>
                          <a:sysClr val="windowText" lastClr="000000"/>
                        </a:solidFill>
                        <a:latin typeface="Times New Roman" panose="02020603050405020304" pitchFamily="18" charset="0"/>
                        <a:cs typeface="Times New Roman" panose="02020603050405020304" pitchFamily="18" charset="0"/>
                      </a:rPr>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t>[PERCENTAGE]</a:t>
                    </a:fld>
                    <a:endParaRPr lang="en-US"/>
                  </a:p>
                </c:rich>
              </c:tx>
              <c:numFmt formatCode="0.00%" sourceLinked="0"/>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layout>
                    <c:manualLayout>
                      <c:w val="0.11166945840312674"/>
                      <c:h val="9.5540435440894245E-2"/>
                    </c:manualLayout>
                  </c15:layout>
                  <c15:dlblFieldTable/>
                  <c15:showDataLabelsRange val="0"/>
                </c:ext>
                <c:ext xmlns:c16="http://schemas.microsoft.com/office/drawing/2014/chart" uri="{C3380CC4-5D6E-409C-BE32-E72D297353CC}">
                  <c16:uniqueId val="{00000001-2443-46F3-8A26-22264A3463AF}"/>
                </c:ext>
              </c:extLst>
            </c:dLbl>
            <c:dLbl>
              <c:idx val="1"/>
              <c:layout>
                <c:manualLayout>
                  <c:x val="2.01005025125628E-2"/>
                  <c:y val="-2.7210884353741499E-2"/>
                </c:manualLayout>
              </c:layout>
              <c:tx>
                <c:rich>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r>
                      <a:rPr lang="en-US" sz="1200" b="1" baseline="0">
                        <a:solidFill>
                          <a:sysClr val="windowText" lastClr="000000"/>
                        </a:solidFill>
                        <a:latin typeface="Times New Roman" panose="02020603050405020304" pitchFamily="18" charset="0"/>
                        <a:cs typeface="Times New Roman" panose="02020603050405020304" pitchFamily="18" charset="0"/>
                      </a:rPr>
                      <a:t> </a:t>
                    </a:r>
                  </a:p>
                  <a:p>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89E30BD1-29C3-4DBC-A247-E27F2BD3D8D6}" type="PERCENTAGE">
                      <a:rPr lang="en-US" sz="1200" b="1" baseline="0">
                        <a:solidFill>
                          <a:sysClr val="windowText" lastClr="000000"/>
                        </a:solidFill>
                        <a:latin typeface="Times New Roman" panose="02020603050405020304" pitchFamily="18" charset="0"/>
                        <a:cs typeface="Times New Roman" panose="02020603050405020304" pitchFamily="18" charset="0"/>
                      </a:rPr>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t>[PERCENTAGE]</a:t>
                    </a:fld>
                    <a:endParaRPr lang="en-US"/>
                  </a:p>
                </c:rich>
              </c:tx>
              <c:numFmt formatCode="0.00%" sourceLinked="0"/>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443-46F3-8A26-22264A3463AF}"/>
                </c:ext>
              </c:extLst>
            </c:dLbl>
            <c:dLbl>
              <c:idx val="2"/>
              <c:tx>
                <c:rich>
                  <a:bodyPr/>
                  <a:lstStyle/>
                  <a:p>
                    <a:fld id="{78E1B7E3-F731-4859-A109-44AF5D70A43D}" type="PERCENTAGE">
                      <a:rPr lang="en-US" baseline="0"/>
                      <a:pPr/>
                      <a:t>[PERCENTAGE]</a:t>
                    </a:fld>
                    <a:endParaRPr lang="en-US"/>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443-46F3-8A26-22264A3463AF}"/>
                </c:ext>
              </c:extLst>
            </c:dLbl>
            <c:numFmt formatCode="0.00%" sourceLinked="0"/>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en-US"/>
              </a:p>
            </c:txPr>
            <c:dLblPos val="outEnd"/>
            <c:showLegendKey val="0"/>
            <c:showVal val="1"/>
            <c:showCatName val="1"/>
            <c:showSerName val="0"/>
            <c:showPercent val="1"/>
            <c:showBubbleSize val="0"/>
            <c:showLeaderLines val="0"/>
            <c:extLst>
              <c:ext xmlns:c15="http://schemas.microsoft.com/office/drawing/2012/chart" uri="{CE6537A1-D6FC-4f65-9D91-7224C49458BB}"/>
            </c:extLst>
          </c:dLbls>
          <c:cat>
            <c:strRef>
              <c:f>Sheet1!$A$2:$A$4</c:f>
              <c:strCache>
                <c:ptCount val="3"/>
                <c:pt idx="0">
                  <c:v>0-3 месеца</c:v>
                </c:pt>
                <c:pt idx="1">
                  <c:v>3-6 месеца</c:v>
                </c:pt>
                <c:pt idx="2">
                  <c:v>6-9 месеца</c:v>
                </c:pt>
              </c:strCache>
            </c:strRef>
          </c:cat>
          <c:val>
            <c:numRef>
              <c:f>Sheet1!$B$2:$B$4</c:f>
              <c:numCache>
                <c:formatCode>General</c:formatCode>
                <c:ptCount val="3"/>
                <c:pt idx="0">
                  <c:v>20095</c:v>
                </c:pt>
                <c:pt idx="1">
                  <c:v>13432</c:v>
                </c:pt>
                <c:pt idx="2">
                  <c:v>13</c:v>
                </c:pt>
              </c:numCache>
            </c:numRef>
          </c:val>
          <c:extLst>
            <c:ext xmlns:c16="http://schemas.microsoft.com/office/drawing/2014/chart" uri="{C3380CC4-5D6E-409C-BE32-E72D297353CC}">
              <c16:uniqueId val="{00000006-2443-46F3-8A26-22264A3463AF}"/>
            </c:ext>
          </c:extLst>
        </c:ser>
        <c:dLbls>
          <c:showLegendKey val="0"/>
          <c:showVal val="0"/>
          <c:showCatName val="0"/>
          <c:showSerName val="0"/>
          <c:showPercent val="1"/>
          <c:showBubbleSize val="0"/>
          <c:showLeaderLines val="0"/>
        </c:dLbls>
      </c:pie3DChart>
      <c:spPr>
        <a:noFill/>
        <a:ln>
          <a:noFill/>
        </a:ln>
        <a:effectLst/>
      </c:spPr>
    </c:plotArea>
    <c:legend>
      <c:legendPos val="b"/>
      <c:layout>
        <c:manualLayout>
          <c:xMode val="edge"/>
          <c:yMode val="edge"/>
          <c:x val="2.09964960410099E-2"/>
          <c:y val="0.86649406919373195"/>
          <c:w val="0.95577361874991695"/>
          <c:h val="0.112341909642247"/>
        </c:manualLayout>
      </c:layout>
      <c:overlay val="0"/>
      <c:txPr>
        <a:bodyPr/>
        <a:lstStyle/>
        <a:p>
          <a:pPr>
            <a:defRPr sz="1200" b="1" i="0" baseline="0">
              <a:latin typeface="Times New Roman" panose="02020603050405020304" pitchFamily="18" charset="0"/>
              <a:cs typeface="Times New Roman" panose="02020603050405020304" pitchFamily="18" charset="0"/>
            </a:defRPr>
          </a:pPr>
          <a:endParaRPr lang="en-US"/>
        </a:p>
      </c:txPr>
    </c:legend>
    <c:plotVisOnly val="1"/>
    <c:dispBlanksAs val="zero"/>
    <c:showDLblsOverMax val="0"/>
  </c:chart>
  <c:spPr>
    <a:gradFill flip="none" rotWithShape="1">
      <a:gsLst>
        <a:gs pos="0">
          <a:srgbClr val="FFEFD1"/>
        </a:gs>
        <a:gs pos="100000">
          <a:srgbClr val="FFFFFF"/>
        </a:gs>
      </a:gsLst>
      <a:lin ang="16200000" scaled="0"/>
      <a:tileRect/>
    </a:gradFill>
    <a:effectLst/>
    <a:scene3d>
      <a:camera prst="orthographicFront"/>
      <a:lightRig rig="threePt" dir="t"/>
    </a:scene3d>
    <a:sp3d>
      <a:bevelT prst="relaxedInset"/>
    </a:sp3d>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ln>
                  <a:noFill/>
                </a:ln>
                <a:solidFill>
                  <a:sysClr val="windowText" lastClr="000000"/>
                </a:solidFill>
                <a:latin typeface="Times New Roman" panose="02020603050405020304" pitchFamily="18" charset="0"/>
                <a:ea typeface="+mn-ea"/>
                <a:cs typeface="+mn-cs"/>
              </a:defRPr>
            </a:pPr>
            <a:r>
              <a:rPr lang="bg-BG" sz="1400" b="1" i="0" baseline="0">
                <a:effectLst/>
              </a:rPr>
              <a:t>Брой регистрирани протоколи по</a:t>
            </a:r>
            <a:r>
              <a:rPr lang="bg-BG" sz="1400" b="1" i="0" u="none" strike="noStrike" kern="1200" spc="0" baseline="0">
                <a:ln>
                  <a:noFill/>
                </a:ln>
                <a:solidFill>
                  <a:sysClr val="windowText" lastClr="000000"/>
                </a:solidFill>
                <a:effectLst/>
                <a:latin typeface="Times New Roman" panose="02020603050405020304" pitchFamily="18" charset="0"/>
                <a:ea typeface="+mn-ea"/>
                <a:cs typeface="+mn-cs"/>
              </a:rPr>
              <a:t> чл. </a:t>
            </a:r>
            <a:r>
              <a:rPr lang="bg-BG" sz="1400" b="1" i="0" baseline="0">
                <a:effectLst/>
              </a:rPr>
              <a:t>251ж,</a:t>
            </a:r>
            <a:r>
              <a:rPr lang="bg-BG" sz="1400" b="1" i="0" u="none" strike="noStrike" kern="1200" spc="0" baseline="0">
                <a:ln>
                  <a:noFill/>
                </a:ln>
                <a:solidFill>
                  <a:sysClr val="windowText" lastClr="000000"/>
                </a:solidFill>
                <a:effectLst/>
                <a:latin typeface="Times New Roman" panose="02020603050405020304" pitchFamily="18" charset="0"/>
                <a:ea typeface="+mn-ea"/>
                <a:cs typeface="+mn-cs"/>
              </a:rPr>
              <a:t> ал. </a:t>
            </a:r>
            <a:r>
              <a:rPr lang="bg-BG" sz="1400" b="1" i="0" baseline="0">
                <a:effectLst/>
              </a:rPr>
              <a:t>1 от ЗЕС за унищожените от предприятията данни</a:t>
            </a:r>
            <a:endParaRPr lang="bg-BG" sz="1400" baseline="0">
              <a:effectLst/>
            </a:endParaRPr>
          </a:p>
        </c:rich>
      </c:tx>
      <c:layout>
        <c:manualLayout>
          <c:xMode val="edge"/>
          <c:yMode val="edge"/>
          <c:x val="0.11613990959463399"/>
          <c:y val="2.6966292134831499E-2"/>
        </c:manualLayout>
      </c:layout>
      <c:overlay val="0"/>
      <c:spPr>
        <a:noFill/>
        <a:ln>
          <a:noFill/>
        </a:ln>
        <a:effectLst/>
      </c:spPr>
    </c:title>
    <c:autoTitleDeleted val="0"/>
    <c:view3D>
      <c:rotX val="0"/>
      <c:rotY val="0"/>
      <c:depthPercent val="50"/>
      <c:rAngAx val="0"/>
      <c:perspective val="0"/>
    </c:view3D>
    <c:floor>
      <c:thickness val="0"/>
      <c:spPr>
        <a:noFill/>
        <a:ln>
          <a:noFill/>
        </a:ln>
        <a:effectLst/>
        <a:sp3d/>
      </c:spPr>
    </c:floor>
    <c:sideWall>
      <c:thickness val="0"/>
      <c:spPr>
        <a:noFill/>
        <a:ln>
          <a:noFill/>
        </a:ln>
        <a:effectLst/>
        <a:scene3d>
          <a:camera prst="orthographicFront"/>
          <a:lightRig rig="threePt" dir="t"/>
        </a:scene3d>
        <a:sp3d/>
      </c:spPr>
    </c:sideWall>
    <c:backWall>
      <c:thickness val="0"/>
      <c:spPr>
        <a:noFill/>
        <a:ln>
          <a:noFill/>
        </a:ln>
        <a:effectLst/>
        <a:scene3d>
          <a:camera prst="orthographicFront"/>
          <a:lightRig rig="threePt" dir="t"/>
        </a:scene3d>
        <a:sp3d/>
      </c:spPr>
    </c:backWall>
    <c:plotArea>
      <c:layout>
        <c:manualLayout>
          <c:layoutTarget val="inner"/>
          <c:xMode val="edge"/>
          <c:yMode val="edge"/>
          <c:x val="7.8721019247594101E-2"/>
          <c:y val="0.14066188917396599"/>
          <c:w val="0.89350120297462798"/>
          <c:h val="0.69096817953935497"/>
        </c:manualLayout>
      </c:layout>
      <c:bar3DChart>
        <c:barDir val="col"/>
        <c:grouping val="clustered"/>
        <c:varyColors val="0"/>
        <c:ser>
          <c:idx val="0"/>
          <c:order val="0"/>
          <c:tx>
            <c:strRef>
              <c:f>Sheet1!$B$1</c:f>
              <c:strCache>
                <c:ptCount val="1"/>
                <c:pt idx="0">
                  <c:v>Series 1</c:v>
                </c:pt>
              </c:strCache>
            </c:strRef>
          </c:tx>
          <c:spPr>
            <a:solidFill>
              <a:schemeClr val="accent1"/>
            </a:solidFill>
            <a:ln>
              <a:noFill/>
            </a:ln>
            <a:effectLst>
              <a:outerShdw dist="50800" dir="5400000" algn="ctr" rotWithShape="0">
                <a:schemeClr val="accent4">
                  <a:lumMod val="20000"/>
                  <a:lumOff val="80000"/>
                </a:schemeClr>
              </a:outerShdw>
            </a:effectLst>
            <a:scene3d>
              <a:camera prst="orthographicFront"/>
              <a:lightRig rig="threePt" dir="t"/>
            </a:scene3d>
            <a:sp3d/>
          </c:spPr>
          <c:invertIfNegative val="0"/>
          <c:dPt>
            <c:idx val="0"/>
            <c:invertIfNegative val="0"/>
            <c:bubble3D val="0"/>
            <c:extLst>
              <c:ext xmlns:c16="http://schemas.microsoft.com/office/drawing/2014/chart" uri="{C3380CC4-5D6E-409C-BE32-E72D297353CC}">
                <c16:uniqueId val="{00000000-4B5D-4A1D-88F1-B6763E3EB381}"/>
              </c:ext>
            </c:extLst>
          </c:dPt>
          <c:dPt>
            <c:idx val="1"/>
            <c:invertIfNegative val="0"/>
            <c:bubble3D val="0"/>
            <c:spPr>
              <a:solidFill>
                <a:schemeClr val="accent1"/>
              </a:solidFill>
              <a:ln>
                <a:noFill/>
              </a:ln>
              <a:effectLst>
                <a:outerShdw dist="50800" dir="5400000" algn="ctr" rotWithShape="0">
                  <a:schemeClr val="accent4">
                    <a:lumMod val="20000"/>
                    <a:lumOff val="80000"/>
                  </a:schemeClr>
                </a:outerShdw>
              </a:effectLst>
              <a:scene3d>
                <a:camera prst="orthographicFront"/>
                <a:lightRig rig="threePt" dir="t"/>
              </a:scene3d>
              <a:sp3d>
                <a:bevelT w="114300" prst="artDeco"/>
              </a:sp3d>
            </c:spPr>
            <c:extLst>
              <c:ext xmlns:c16="http://schemas.microsoft.com/office/drawing/2014/chart" uri="{C3380CC4-5D6E-409C-BE32-E72D297353CC}">
                <c16:uniqueId val="{00000002-4B5D-4A1D-88F1-B6763E3EB381}"/>
              </c:ext>
            </c:extLst>
          </c:dPt>
          <c:dPt>
            <c:idx val="2"/>
            <c:invertIfNegative val="0"/>
            <c:bubble3D val="0"/>
            <c:extLst>
              <c:ext xmlns:c16="http://schemas.microsoft.com/office/drawing/2014/chart" uri="{C3380CC4-5D6E-409C-BE32-E72D297353CC}">
                <c16:uniqueId val="{00000003-4B5D-4A1D-88F1-B6763E3EB381}"/>
              </c:ext>
            </c:extLst>
          </c:dPt>
          <c:dLbls>
            <c:dLbl>
              <c:idx val="1"/>
              <c:layout>
                <c:manualLayout>
                  <c:x val="2.3148148148148099E-3"/>
                  <c:y val="-7.93650793650797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B5D-4A1D-88F1-B6763E3EB381}"/>
                </c:ext>
              </c:extLst>
            </c:dLbl>
            <c:spPr>
              <a:noFill/>
              <a:ln>
                <a:noFill/>
              </a:ln>
              <a:effectLst/>
            </c:spPr>
            <c:txPr>
              <a:bodyPr rot="0" spcFirstLastPara="1" vertOverflow="ellipsis" vert="horz" wrap="square" anchor="ctr" anchorCtr="1"/>
              <a:lstStyle/>
              <a:p>
                <a:pPr>
                  <a:defRPr sz="1200" b="1" i="0" u="none" strike="noStrike" kern="1200" baseline="0">
                    <a:ln>
                      <a:noFill/>
                    </a:ln>
                    <a:solidFill>
                      <a:sysClr val="windowText" lastClr="000000"/>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януари</c:v>
                </c:pt>
                <c:pt idx="1">
                  <c:v>февруари</c:v>
                </c:pt>
                <c:pt idx="2">
                  <c:v>март</c:v>
                </c:pt>
                <c:pt idx="3">
                  <c:v>април</c:v>
                </c:pt>
                <c:pt idx="4">
                  <c:v>май</c:v>
                </c:pt>
                <c:pt idx="5">
                  <c:v>юни</c:v>
                </c:pt>
                <c:pt idx="6">
                  <c:v>юли</c:v>
                </c:pt>
                <c:pt idx="7">
                  <c:v>август</c:v>
                </c:pt>
                <c:pt idx="8">
                  <c:v>септември</c:v>
                </c:pt>
                <c:pt idx="9">
                  <c:v>октомври</c:v>
                </c:pt>
                <c:pt idx="10">
                  <c:v>ноември</c:v>
                </c:pt>
                <c:pt idx="11">
                  <c:v>декември</c:v>
                </c:pt>
              </c:strCache>
            </c:strRef>
          </c:cat>
          <c:val>
            <c:numRef>
              <c:f>Sheet1!$B$2:$B$13</c:f>
              <c:numCache>
                <c:formatCode>General</c:formatCode>
                <c:ptCount val="12"/>
                <c:pt idx="0">
                  <c:v>76</c:v>
                </c:pt>
                <c:pt idx="1">
                  <c:v>71</c:v>
                </c:pt>
                <c:pt idx="2">
                  <c:v>69</c:v>
                </c:pt>
                <c:pt idx="3">
                  <c:v>69</c:v>
                </c:pt>
                <c:pt idx="4">
                  <c:v>68</c:v>
                </c:pt>
                <c:pt idx="5">
                  <c:v>78</c:v>
                </c:pt>
                <c:pt idx="6">
                  <c:v>79</c:v>
                </c:pt>
                <c:pt idx="7">
                  <c:v>71</c:v>
                </c:pt>
                <c:pt idx="8">
                  <c:v>59</c:v>
                </c:pt>
                <c:pt idx="9">
                  <c:v>70</c:v>
                </c:pt>
                <c:pt idx="10">
                  <c:v>69</c:v>
                </c:pt>
                <c:pt idx="11">
                  <c:v>72</c:v>
                </c:pt>
              </c:numCache>
            </c:numRef>
          </c:val>
          <c:shape val="cylinder"/>
          <c:extLst>
            <c:ext xmlns:c16="http://schemas.microsoft.com/office/drawing/2014/chart" uri="{C3380CC4-5D6E-409C-BE32-E72D297353CC}">
              <c16:uniqueId val="{00000004-4B5D-4A1D-88F1-B6763E3EB381}"/>
            </c:ext>
          </c:extLst>
        </c:ser>
        <c:dLbls>
          <c:showLegendKey val="0"/>
          <c:showVal val="1"/>
          <c:showCatName val="0"/>
          <c:showSerName val="0"/>
          <c:showPercent val="0"/>
          <c:showBubbleSize val="0"/>
        </c:dLbls>
        <c:gapWidth val="66"/>
        <c:gapDepth val="8"/>
        <c:shape val="box"/>
        <c:axId val="1565390880"/>
        <c:axId val="1565391968"/>
        <c:axId val="0"/>
      </c:bar3DChart>
      <c:catAx>
        <c:axId val="156539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ysClr val="windowText" lastClr="000000"/>
                </a:solidFill>
                <a:latin typeface="Times New Roman" panose="02020603050405020304" pitchFamily="18" charset="0"/>
                <a:ea typeface="+mn-ea"/>
                <a:cs typeface="+mn-cs"/>
              </a:defRPr>
            </a:pPr>
            <a:endParaRPr lang="en-US"/>
          </a:p>
        </c:txPr>
        <c:crossAx val="1565391968"/>
        <c:crosses val="autoZero"/>
        <c:auto val="1"/>
        <c:lblAlgn val="ctr"/>
        <c:lblOffset val="100"/>
        <c:noMultiLvlLbl val="0"/>
      </c:catAx>
      <c:valAx>
        <c:axId val="1565391968"/>
        <c:scaling>
          <c:orientation val="minMax"/>
          <c:max val="100"/>
        </c:scaling>
        <c:delete val="0"/>
        <c:axPos val="l"/>
        <c:majorGridlines>
          <c:spPr>
            <a:ln w="9525" cap="flat" cmpd="sng" algn="ctr">
              <a:solidFill>
                <a:schemeClr val="tx1">
                  <a:lumMod val="15000"/>
                  <a:lumOff val="85000"/>
                </a:schemeClr>
              </a:solidFill>
              <a:round/>
            </a:ln>
            <a:effectLst>
              <a:outerShdw blurRad="50800" dist="50800" dir="5400000" algn="ctr" rotWithShape="0">
                <a:srgbClr val="000000">
                  <a:alpha val="70000"/>
                </a:srgbClr>
              </a:outerShdw>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ln>
                  <a:noFill/>
                </a:ln>
                <a:solidFill>
                  <a:sysClr val="windowText" lastClr="000000"/>
                </a:solidFill>
                <a:latin typeface="Times New Roman" panose="02020603050405020304" pitchFamily="18" charset="0"/>
                <a:ea typeface="+mn-ea"/>
                <a:cs typeface="+mn-cs"/>
              </a:defRPr>
            </a:pPr>
            <a:endParaRPr lang="en-US"/>
          </a:p>
        </c:txPr>
        <c:crossAx val="1565390880"/>
        <c:crosses val="autoZero"/>
        <c:crossBetween val="between"/>
      </c:valAx>
      <c:spPr>
        <a:noFill/>
        <a:ln>
          <a:noFill/>
        </a:ln>
        <a:effectLst/>
      </c:spPr>
    </c:plotArea>
    <c:plotVisOnly val="1"/>
    <c:dispBlanksAs val="gap"/>
    <c:showDLblsOverMax val="0"/>
  </c:chart>
  <c:spPr>
    <a:gradFill>
      <a:gsLst>
        <a:gs pos="0">
          <a:srgbClr val="FFEFD1"/>
        </a:gs>
        <a:gs pos="100000">
          <a:srgbClr val="FFFFFF"/>
        </a:gs>
      </a:gsLst>
      <a:lin ang="16200000" scaled="0"/>
    </a:gradFill>
    <a:ln w="9525" cap="flat" cmpd="sng" algn="ctr">
      <a:solidFill>
        <a:schemeClr val="tx1">
          <a:lumMod val="15000"/>
          <a:lumOff val="85000"/>
        </a:schemeClr>
      </a:solidFill>
      <a:round/>
    </a:ln>
    <a:effectLst/>
    <a:scene3d>
      <a:camera prst="orthographicFront"/>
      <a:lightRig rig="threePt" dir="t"/>
    </a:scene3d>
    <a:sp3d>
      <a:bevelT prst="relaxedInset"/>
      <a:bevelB h="165100"/>
    </a:sp3d>
  </c:spPr>
  <c:txPr>
    <a:bodyPr/>
    <a:lstStyle/>
    <a:p>
      <a:pPr>
        <a:defRPr>
          <a:ln>
            <a:noFill/>
          </a:ln>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baseline="0">
                <a:solidFill>
                  <a:schemeClr val="accent1">
                    <a:lumMod val="75000"/>
                  </a:schemeClr>
                </a:solidFill>
                <a:latin typeface="Times New Roman" panose="02020603050405020304" pitchFamily="18" charset="0"/>
                <a:ea typeface="+mn-ea"/>
                <a:cs typeface="Times New Roman" panose="02020603050405020304" pitchFamily="18" charset="0"/>
              </a:defRPr>
            </a:pPr>
            <a:r>
              <a:rPr lang="bg-BG" sz="1400" b="1" i="0" cap="none" baseline="0">
                <a:solidFill>
                  <a:sysClr val="windowText" lastClr="000000"/>
                </a:solidFill>
                <a:effectLst/>
              </a:rPr>
              <a:t>АЛД и ОЛД, уведомили КЗЛД за определено ДЛЗД, в зависимост от правното основание</a:t>
            </a:r>
            <a:endParaRPr lang="bg-BG" sz="1400" cap="none">
              <a:solidFill>
                <a:sysClr val="windowText" lastClr="000000"/>
              </a:solidFill>
              <a:effectLst/>
            </a:endParaRPr>
          </a:p>
        </c:rich>
      </c:tx>
      <c:layout>
        <c:manualLayout>
          <c:xMode val="edge"/>
          <c:yMode val="edge"/>
          <c:x val="0.16271347991048901"/>
          <c:y val="6.3990334541515703E-2"/>
        </c:manualLayout>
      </c:layout>
      <c:overlay val="0"/>
      <c:spPr>
        <a:noFill/>
        <a:ln>
          <a:noFill/>
        </a:ln>
        <a:effectLst/>
      </c:spPr>
    </c:title>
    <c:autoTitleDeleted val="0"/>
    <c:view3D>
      <c:rotX val="30"/>
      <c:rotY val="4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635917997687499"/>
          <c:y val="0.16186976627921501"/>
          <c:w val="0.71578487362446597"/>
          <c:h val="0.829059938936205"/>
        </c:manualLayout>
      </c:layout>
      <c:pie3DChart>
        <c:varyColors val="1"/>
        <c:ser>
          <c:idx val="0"/>
          <c:order val="0"/>
          <c:tx>
            <c:strRef>
              <c:f>Sheet1!$B$1</c:f>
              <c:strCache>
                <c:ptCount val="1"/>
                <c:pt idx="0">
                  <c:v>АЛД и ОЛД, уведомили КЗЛД за определено ДЛЗД, в зависимост от правното основание</c:v>
                </c:pt>
              </c:strCache>
            </c:strRef>
          </c:tx>
          <c:spPr>
            <a:scene3d>
              <a:camera prst="orthographicFront"/>
              <a:lightRig rig="threePt" dir="t"/>
            </a:scene3d>
            <a:sp3d>
              <a:bevelT w="127000" h="127000"/>
              <a:bevelB w="127000" h="127000"/>
            </a:sp3d>
          </c:spPr>
          <c:explosion val="25"/>
          <c:dPt>
            <c:idx val="0"/>
            <c:bubble3D val="0"/>
            <c:explosion val="0"/>
            <c:spPr>
              <a:solidFill>
                <a:srgbClr val="00B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2040-4436-9DBF-9C8A3C5E7977}"/>
              </c:ext>
            </c:extLst>
          </c:dPt>
          <c:dPt>
            <c:idx val="1"/>
            <c:bubble3D val="0"/>
            <c:explosion val="7"/>
            <c:spPr>
              <a:solidFill>
                <a:srgbClr val="FFFF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040-4436-9DBF-9C8A3C5E7977}"/>
              </c:ext>
            </c:extLst>
          </c:dPt>
          <c:dPt>
            <c:idx val="2"/>
            <c:bubble3D val="0"/>
            <c:spPr>
              <a:solidFill>
                <a:srgbClr val="FF0000"/>
              </a:solidFill>
              <a:scene3d>
                <a:camera prst="orthographicFront"/>
                <a:lightRig rig="threePt" dir="t"/>
              </a:scene3d>
              <a:sp3d>
                <a:bevelT w="127000" h="127000"/>
                <a:bevelB w="127000" h="127000"/>
              </a:sp3d>
            </c:spPr>
            <c:extLst>
              <c:ext xmlns:c16="http://schemas.microsoft.com/office/drawing/2014/chart" uri="{C3380CC4-5D6E-409C-BE32-E72D297353CC}">
                <c16:uniqueId val="{00000005-2040-4436-9DBF-9C8A3C5E7977}"/>
              </c:ext>
            </c:extLst>
          </c:dPt>
          <c:dPt>
            <c:idx val="3"/>
            <c:bubble3D val="0"/>
            <c:spPr>
              <a:solidFill>
                <a:srgbClr val="0070C0"/>
              </a:solidFill>
              <a:scene3d>
                <a:camera prst="orthographicFront"/>
                <a:lightRig rig="threePt" dir="t"/>
              </a:scene3d>
              <a:sp3d>
                <a:bevelT w="127000" h="127000"/>
                <a:bevelB w="127000" h="127000"/>
              </a:sp3d>
            </c:spPr>
            <c:extLst>
              <c:ext xmlns:c16="http://schemas.microsoft.com/office/drawing/2014/chart" uri="{C3380CC4-5D6E-409C-BE32-E72D297353CC}">
                <c16:uniqueId val="{00000007-2040-4436-9DBF-9C8A3C5E7977}"/>
              </c:ext>
            </c:extLst>
          </c:dPt>
          <c:dLbls>
            <c:dLbl>
              <c:idx val="0"/>
              <c:layout>
                <c:manualLayout>
                  <c:x val="-1.3400335008375199E-2"/>
                  <c:y val="-3.3257747543461898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sz="1100" baseline="0">
                        <a:solidFill>
                          <a:sysClr val="windowText" lastClr="000000"/>
                        </a:solidFill>
                        <a:latin typeface="Times New Roman" panose="02020603050405020304" pitchFamily="18" charset="0"/>
                        <a:cs typeface="Times New Roman" panose="02020603050405020304" pitchFamily="18" charset="0"/>
                      </a:rPr>
                      <a:t> </a:t>
                    </a:r>
                  </a:p>
                  <a:p>
                    <a:pPr>
                      <a:defRPr sz="1000" b="1" i="0" u="none" strike="noStrike" kern="1200" spc="0" baseline="0">
                        <a:solidFill>
                          <a:schemeClr val="accent1"/>
                        </a:solidFill>
                        <a:latin typeface="+mn-lt"/>
                        <a:ea typeface="+mn-ea"/>
                        <a:cs typeface="+mn-cs"/>
                      </a:defRPr>
                    </a:pPr>
                    <a:fld id="{91CEF92E-12A1-48FA-B8ED-97CA6FEA61BC}" type="PERCENTAGE">
                      <a:rPr lang="en-US" sz="1100" baseline="0">
                        <a:solidFill>
                          <a:sysClr val="windowText" lastClr="000000"/>
                        </a:solidFill>
                        <a:latin typeface="Times New Roman" panose="02020603050405020304" pitchFamily="18" charset="0"/>
                        <a:cs typeface="Times New Roman" panose="02020603050405020304" pitchFamily="18" charset="0"/>
                      </a:rPr>
                      <a:pPr>
                        <a:defRPr sz="1000" b="1" i="0" u="none" strike="noStrike" kern="1200" spc="0" baseline="0">
                          <a:solidFill>
                            <a:schemeClr val="accent1"/>
                          </a:solidFill>
                          <a:latin typeface="+mn-lt"/>
                          <a:ea typeface="+mn-ea"/>
                          <a:cs typeface="+mn-cs"/>
                        </a:defRPr>
                      </a:pPr>
                      <a:t>[PERCENTAGE]</a:t>
                    </a:fld>
                    <a:endParaRPr lang="en-US"/>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040-4436-9DBF-9C8A3C5E7977}"/>
                </c:ext>
              </c:extLst>
            </c:dLbl>
            <c:dLbl>
              <c:idx val="1"/>
              <c:layout>
                <c:manualLayout>
                  <c:x val="2.2333891680625349E-3"/>
                  <c:y val="-3.9304610733182165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sz="1100" baseline="0">
                        <a:solidFill>
                          <a:sysClr val="windowText" lastClr="000000"/>
                        </a:solidFill>
                        <a:latin typeface="Times New Roman" panose="02020603050405020304" pitchFamily="18" charset="0"/>
                        <a:cs typeface="Times New Roman" panose="02020603050405020304" pitchFamily="18" charset="0"/>
                      </a:rPr>
                      <a:t> </a:t>
                    </a:r>
                  </a:p>
                  <a:p>
                    <a:pPr>
                      <a:defRPr sz="1000" b="1" i="0" u="none" strike="noStrike" kern="1200" spc="0" baseline="0">
                        <a:solidFill>
                          <a:schemeClr val="accent1"/>
                        </a:solidFill>
                        <a:latin typeface="+mn-lt"/>
                        <a:ea typeface="+mn-ea"/>
                        <a:cs typeface="+mn-cs"/>
                      </a:defRPr>
                    </a:pPr>
                    <a:fld id="{89E30BD1-29C3-4DBC-A247-E27F2BD3D8D6}" type="PERCENTAGE">
                      <a:rPr lang="en-US" sz="1100" baseline="0">
                        <a:solidFill>
                          <a:sysClr val="windowText" lastClr="000000"/>
                        </a:solidFill>
                        <a:latin typeface="Times New Roman" panose="02020603050405020304" pitchFamily="18" charset="0"/>
                        <a:cs typeface="Times New Roman" panose="02020603050405020304" pitchFamily="18" charset="0"/>
                      </a:rPr>
                      <a:pPr>
                        <a:defRPr sz="1000" b="1" i="0" u="none" strike="noStrike" kern="1200" spc="0" baseline="0">
                          <a:solidFill>
                            <a:schemeClr val="accent1"/>
                          </a:solidFill>
                          <a:latin typeface="+mn-lt"/>
                          <a:ea typeface="+mn-ea"/>
                          <a:cs typeface="+mn-cs"/>
                        </a:defRPr>
                      </a:pPr>
                      <a:t>[PERCENTAGE]</a:t>
                    </a:fld>
                    <a:endParaRPr lang="en-US"/>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040-4436-9DBF-9C8A3C5E7977}"/>
                </c:ext>
              </c:extLst>
            </c:dLbl>
            <c:dLbl>
              <c:idx val="2"/>
              <c:tx>
                <c:rich>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fld id="{8DA6D3BA-3B67-4B58-AA58-FED64AE2FACC}" type="PERCENTAGE">
                      <a:rPr lang="en-US" sz="1200" b="1" baseline="0">
                        <a:latin typeface="Times New Roman" panose="02020603050405020304" pitchFamily="18" charset="0"/>
                        <a:cs typeface="Times New Roman" panose="02020603050405020304" pitchFamily="18" charset="0"/>
                      </a:rPr>
                      <a:pPr>
                        <a:defRPr sz="1200" b="1">
                          <a:latin typeface="Times New Roman" panose="02020603050405020304" pitchFamily="18" charset="0"/>
                          <a:cs typeface="Times New Roman" panose="02020603050405020304" pitchFamily="18" charset="0"/>
                        </a:defRPr>
                      </a:pPr>
                      <a:t>[PERCENTAGE]</a:t>
                    </a:fld>
                    <a:endParaRPr lang="en-US"/>
                  </a:p>
                </c:rich>
              </c:tx>
              <c:spPr>
                <a:noFill/>
                <a:ln>
                  <a:noFill/>
                </a:ln>
                <a:effectLst/>
              </c:sp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040-4436-9DBF-9C8A3C5E7977}"/>
                </c:ext>
              </c:extLst>
            </c:dLbl>
            <c:dLbl>
              <c:idx val="3"/>
              <c:tx>
                <c:rich>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fld id="{BE659413-B256-425F-9591-8EE9C67B42C9}" type="PERCENTAGE">
                      <a:rPr lang="en-US" sz="1200" b="1" baseline="0">
                        <a:latin typeface="Times New Roman" panose="02020603050405020304" pitchFamily="18" charset="0"/>
                        <a:cs typeface="Times New Roman" panose="02020603050405020304" pitchFamily="18" charset="0"/>
                      </a:rPr>
                      <a:pPr>
                        <a:defRPr sz="1200" b="1">
                          <a:latin typeface="Times New Roman" panose="02020603050405020304" pitchFamily="18" charset="0"/>
                          <a:cs typeface="Times New Roman" panose="02020603050405020304" pitchFamily="18" charset="0"/>
                        </a:defRPr>
                      </a:pPr>
                      <a:t>[PERCENTAGE]</a:t>
                    </a:fld>
                    <a:endParaRPr lang="en-US"/>
                  </a:p>
                </c:rich>
              </c:tx>
              <c:spPr>
                <a:noFill/>
                <a:ln>
                  <a:noFill/>
                </a:ln>
                <a:effectLst/>
              </c:sp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040-4436-9DBF-9C8A3C5E7977}"/>
                </c:ext>
              </c:extLst>
            </c:dLbl>
            <c:spPr>
              <a:noFill/>
              <a:ln>
                <a:noFill/>
              </a:ln>
              <a:effectLst/>
            </c:spPr>
            <c:dLblPos val="outEnd"/>
            <c:showLegendKey val="0"/>
            <c:showVal val="1"/>
            <c:showCatName val="1"/>
            <c:showSerName val="0"/>
            <c:showPercent val="1"/>
            <c:showBubbleSize val="0"/>
            <c:showLeaderLines val="0"/>
            <c:extLst>
              <c:ext xmlns:c15="http://schemas.microsoft.com/office/drawing/2012/chart" uri="{CE6537A1-D6FC-4f65-9D91-7224C49458BB}"/>
            </c:extLst>
          </c:dLbls>
          <c:cat>
            <c:strRef>
              <c:f>Sheet1!$A$2:$A$5</c:f>
              <c:strCache>
                <c:ptCount val="4"/>
                <c:pt idx="0">
                  <c:v>публичен орган или структура</c:v>
                </c:pt>
                <c:pt idx="1">
                  <c:v>редовно и систематично мащабно наблюдение</c:v>
                </c:pt>
                <c:pt idx="2">
                  <c:v>мащабно обработване на специални категории данни</c:v>
                </c:pt>
                <c:pt idx="3">
                  <c:v>друго</c:v>
                </c:pt>
              </c:strCache>
            </c:strRef>
          </c:cat>
          <c:val>
            <c:numRef>
              <c:f>Sheet1!$B$2:$B$5</c:f>
              <c:numCache>
                <c:formatCode>General</c:formatCode>
                <c:ptCount val="4"/>
                <c:pt idx="0">
                  <c:v>151</c:v>
                </c:pt>
                <c:pt idx="1">
                  <c:v>156</c:v>
                </c:pt>
                <c:pt idx="2">
                  <c:v>29</c:v>
                </c:pt>
                <c:pt idx="3">
                  <c:v>125</c:v>
                </c:pt>
              </c:numCache>
            </c:numRef>
          </c:val>
          <c:extLst>
            <c:ext xmlns:c16="http://schemas.microsoft.com/office/drawing/2014/chart" uri="{C3380CC4-5D6E-409C-BE32-E72D297353CC}">
              <c16:uniqueId val="{00000008-2040-4436-9DBF-9C8A3C5E7977}"/>
            </c:ext>
          </c:extLst>
        </c:ser>
        <c:dLbls>
          <c:showLegendKey val="0"/>
          <c:showVal val="0"/>
          <c:showCatName val="0"/>
          <c:showSerName val="0"/>
          <c:showPercent val="1"/>
          <c:showBubbleSize val="0"/>
          <c:showLeaderLines val="0"/>
        </c:dLbls>
      </c:pie3DChart>
    </c:plotArea>
    <c:legend>
      <c:legendPos val="b"/>
      <c:layout>
        <c:manualLayout>
          <c:xMode val="edge"/>
          <c:yMode val="edge"/>
          <c:x val="9.7989510105206696E-3"/>
          <c:y val="0.7788145529427869"/>
          <c:w val="0.89999991207129304"/>
          <c:h val="0.20304485748805212"/>
        </c:manualLayout>
      </c:layout>
      <c:overlay val="0"/>
      <c:txPr>
        <a:bodyPr/>
        <a:lstStyle/>
        <a:p>
          <a:pPr>
            <a:defRPr sz="1200" b="1" i="0" baseline="0">
              <a:latin typeface="Times New Roman" panose="02020603050405020304" pitchFamily="18" charset="0"/>
              <a:cs typeface="Times New Roman" panose="02020603050405020304" pitchFamily="18" charset="0"/>
            </a:defRPr>
          </a:pPr>
          <a:endParaRPr lang="en-US"/>
        </a:p>
      </c:txPr>
    </c:legend>
    <c:plotVisOnly val="1"/>
    <c:dispBlanksAs val="zero"/>
    <c:showDLblsOverMax val="0"/>
  </c:chart>
  <c:spPr>
    <a:gradFill flip="none" rotWithShape="1">
      <a:gsLst>
        <a:gs pos="0">
          <a:srgbClr val="FFEFD1"/>
        </a:gs>
        <a:gs pos="100000">
          <a:srgbClr val="FFFFFF"/>
        </a:gs>
      </a:gsLst>
      <a:lin ang="16200000" scaled="0"/>
      <a:tileRect/>
    </a:gradFill>
    <a:effectLst/>
    <a:scene3d>
      <a:camera prst="orthographicFront"/>
      <a:lightRig rig="threePt" dir="t"/>
    </a:scene3d>
    <a:sp3d>
      <a:bevelT prst="relaxedInset"/>
    </a:sp3d>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b="1" baseline="0">
                <a:solidFill>
                  <a:sysClr val="windowText" lastClr="000000"/>
                </a:solidFill>
                <a:latin typeface="Times New Roman" panose="02020603050405020304" pitchFamily="18" charset="0"/>
                <a:cs typeface="Times New Roman" panose="02020603050405020304" pitchFamily="18" charset="0"/>
              </a:rPr>
              <a:t>Разгледани жалби по същество</a:t>
            </a:r>
            <a:endParaRPr lang="en-US" b="1" baseline="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7472912496107477"/>
          <c:y val="3.9127194592903869E-2"/>
        </c:manualLayout>
      </c:layout>
      <c:overlay val="0"/>
      <c:spPr>
        <a:noFill/>
        <a:ln>
          <a:noFill/>
        </a:ln>
        <a:effectLst/>
      </c:spPr>
    </c:title>
    <c:autoTitleDeleted val="0"/>
    <c:plotArea>
      <c:layout/>
      <c:pieChart>
        <c:varyColors val="1"/>
        <c:ser>
          <c:idx val="0"/>
          <c:order val="0"/>
          <c:tx>
            <c:strRef>
              <c:f>Sheet1!$B$1</c:f>
              <c:strCache>
                <c:ptCount val="1"/>
                <c:pt idx="0">
                  <c:v>Column1</c:v>
                </c:pt>
              </c:strCache>
            </c:strRef>
          </c:tx>
          <c:spPr>
            <a:effectLst>
              <a:innerShdw blurRad="63500" dist="50800" dir="2700000">
                <a:prstClr val="black">
                  <a:alpha val="50000"/>
                </a:prstClr>
              </a:innerShdw>
            </a:effectLst>
            <a:scene3d>
              <a:camera prst="orthographicFront"/>
              <a:lightRig rig="threePt" dir="t"/>
            </a:scene3d>
          </c:spPr>
          <c:dPt>
            <c:idx val="0"/>
            <c:bubble3D val="0"/>
            <c:spPr>
              <a:solidFill>
                <a:srgbClr val="00B050"/>
              </a:solidFill>
              <a:ln>
                <a:noFill/>
              </a:ln>
              <a:effectLst>
                <a:innerShdw blurRad="63500" dist="50800" dir="2700000">
                  <a:prstClr val="black">
                    <a:alpha val="50000"/>
                  </a:prstClr>
                </a:innerShdw>
              </a:effectLst>
              <a:scene3d>
                <a:camera prst="orthographicFront"/>
                <a:lightRig rig="threePt" dir="t"/>
              </a:scene3d>
            </c:spPr>
            <c:extLst>
              <c:ext xmlns:c16="http://schemas.microsoft.com/office/drawing/2014/chart" uri="{C3380CC4-5D6E-409C-BE32-E72D297353CC}">
                <c16:uniqueId val="{00000001-C457-4052-9C8F-F7FF2EACA368}"/>
              </c:ext>
            </c:extLst>
          </c:dPt>
          <c:dPt>
            <c:idx val="1"/>
            <c:bubble3D val="0"/>
            <c:spPr>
              <a:solidFill>
                <a:srgbClr val="FF0000"/>
              </a:solidFill>
              <a:ln>
                <a:noFill/>
              </a:ln>
              <a:effectLst>
                <a:innerShdw blurRad="63500" dist="50800" dir="2700000">
                  <a:prstClr val="black">
                    <a:alpha val="50000"/>
                  </a:prstClr>
                </a:innerShdw>
              </a:effectLst>
              <a:scene3d>
                <a:camera prst="orthographicFront"/>
                <a:lightRig rig="threePt" dir="t"/>
              </a:scene3d>
            </c:spPr>
            <c:extLst>
              <c:ext xmlns:c16="http://schemas.microsoft.com/office/drawing/2014/chart" uri="{C3380CC4-5D6E-409C-BE32-E72D297353CC}">
                <c16:uniqueId val="{00000003-C457-4052-9C8F-F7FF2EACA368}"/>
              </c:ext>
            </c:extLst>
          </c:dPt>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57-4052-9C8F-F7FF2EACA368}"/>
                </c:ext>
              </c:extLst>
            </c:dLbl>
            <c:dLbl>
              <c:idx val="1"/>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457-4052-9C8F-F7FF2EACA368}"/>
                </c:ext>
              </c:extLst>
            </c:dLbl>
            <c:spPr>
              <a:noFill/>
              <a:ln>
                <a:noFill/>
              </a:ln>
              <a:effectLst/>
            </c:spPr>
            <c:txPr>
              <a:bodyPr wrap="square" lIns="38100" tIns="19050" rIns="38100" bIns="19050" anchor="ctr">
                <a:spAutoFit/>
              </a:bodyPr>
              <a:lstStyle/>
              <a:p>
                <a:pPr>
                  <a:defRPr sz="1400" b="1" baseline="0">
                    <a:latin typeface="Times New Roman" panose="02020603050405020304" pitchFamily="18" charset="0"/>
                  </a:defRPr>
                </a:pPr>
                <a:endParaRPr lang="en-US"/>
              </a:p>
            </c:txPr>
            <c:dLblPos val="ctr"/>
            <c:showLegendKey val="0"/>
            <c:showVal val="0"/>
            <c:showCatName val="0"/>
            <c:showSerName val="0"/>
            <c:showPercent val="1"/>
            <c:showBubbleSize val="0"/>
            <c:showLeaderLines val="0"/>
            <c:extLst>
              <c:ext xmlns:c15="http://schemas.microsoft.com/office/drawing/2012/chart" uri="{CE6537A1-D6FC-4f65-9D91-7224C49458BB}"/>
            </c:extLst>
          </c:dLbls>
          <c:cat>
            <c:strRef>
              <c:f>Sheet1!$A$2:$A$3</c:f>
              <c:strCache>
                <c:ptCount val="2"/>
                <c:pt idx="0">
                  <c:v>Основателни</c:v>
                </c:pt>
                <c:pt idx="1">
                  <c:v>Неоснователни</c:v>
                </c:pt>
              </c:strCache>
            </c:strRef>
          </c:cat>
          <c:val>
            <c:numRef>
              <c:f>Sheet1!$B$2:$B$3</c:f>
              <c:numCache>
                <c:formatCode>General</c:formatCode>
                <c:ptCount val="2"/>
                <c:pt idx="0">
                  <c:v>143</c:v>
                </c:pt>
                <c:pt idx="1">
                  <c:v>82</c:v>
                </c:pt>
              </c:numCache>
            </c:numRef>
          </c:val>
          <c:extLst>
            <c:ext xmlns:c16="http://schemas.microsoft.com/office/drawing/2014/chart" uri="{C3380CC4-5D6E-409C-BE32-E72D297353CC}">
              <c16:uniqueId val="{00000004-C457-4052-9C8F-F7FF2EACA368}"/>
            </c:ext>
          </c:extLst>
        </c:ser>
        <c:dLbls>
          <c:dLblPos val="ctr"/>
          <c:showLegendKey val="0"/>
          <c:showVal val="0"/>
          <c:showCatName val="0"/>
          <c:showSerName val="0"/>
          <c:showPercent val="1"/>
          <c:showBubbleSize val="0"/>
          <c:showLeaderLines val="0"/>
        </c:dLbls>
        <c:firstSliceAng val="80"/>
      </c:pieChart>
      <c:spPr>
        <a:noFill/>
        <a:ln>
          <a:noFill/>
        </a:ln>
        <a:effectLst/>
      </c:spPr>
    </c:plotArea>
    <c:legend>
      <c:legendPos val="r"/>
      <c:legendEntry>
        <c:idx val="0"/>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gradFill flip="none" rotWithShape="1">
      <a:gsLst>
        <a:gs pos="0">
          <a:srgbClr val="FFEFD1"/>
        </a:gs>
        <a:gs pos="100000">
          <a:srgbClr val="FFFFFF"/>
        </a:gs>
      </a:gsLst>
      <a:lin ang="16200000" scaled="0"/>
      <a:tileRect/>
    </a:gradFill>
    <a:effectLst/>
    <a:scene3d>
      <a:camera prst="orthographicFront"/>
      <a:lightRig rig="threePt" dir="t"/>
    </a:scene3d>
    <a:sp3d>
      <a:bevelT prst="relaxedInset"/>
    </a:sp3d>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b="1" baseline="0">
                <a:solidFill>
                  <a:sysClr val="windowText" lastClr="000000"/>
                </a:solidFill>
                <a:latin typeface="Times New Roman" panose="02020603050405020304" pitchFamily="18" charset="0"/>
                <a:cs typeface="Times New Roman" panose="02020603050405020304" pitchFamily="18" charset="0"/>
              </a:rPr>
              <a:t>Резултат от съдебно обжалване на първа инстанция</a:t>
            </a:r>
            <a:endParaRPr lang="en-US" b="1" baseline="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7410575309309148"/>
          <c:y val="3.6117381489841983E-2"/>
        </c:manualLayout>
      </c:layout>
      <c:overlay val="0"/>
      <c:spPr>
        <a:noFill/>
        <a:ln>
          <a:noFill/>
        </a:ln>
        <a:effectLst/>
      </c:spPr>
    </c:title>
    <c:autoTitleDeleted val="0"/>
    <c:plotArea>
      <c:layout/>
      <c:pieChart>
        <c:varyColors val="1"/>
        <c:ser>
          <c:idx val="0"/>
          <c:order val="0"/>
          <c:tx>
            <c:strRef>
              <c:f>Sheet1!$B$1</c:f>
              <c:strCache>
                <c:ptCount val="1"/>
                <c:pt idx="0">
                  <c:v>Column1</c:v>
                </c:pt>
              </c:strCache>
            </c:strRef>
          </c:tx>
          <c:spPr>
            <a:effectLst>
              <a:innerShdw blurRad="63500" dist="50800" dir="2700000">
                <a:prstClr val="black">
                  <a:alpha val="50000"/>
                </a:prstClr>
              </a:innerShdw>
            </a:effectLst>
            <a:scene3d>
              <a:camera prst="orthographicFront"/>
              <a:lightRig rig="threePt" dir="t"/>
            </a:scene3d>
          </c:spPr>
          <c:dPt>
            <c:idx val="0"/>
            <c:bubble3D val="0"/>
            <c:spPr>
              <a:solidFill>
                <a:srgbClr val="00B050"/>
              </a:solidFill>
              <a:ln>
                <a:noFill/>
              </a:ln>
              <a:effectLst>
                <a:innerShdw blurRad="63500" dist="50800" dir="2700000">
                  <a:prstClr val="black">
                    <a:alpha val="50000"/>
                  </a:prstClr>
                </a:innerShdw>
              </a:effectLst>
              <a:scene3d>
                <a:camera prst="orthographicFront"/>
                <a:lightRig rig="threePt" dir="t"/>
              </a:scene3d>
            </c:spPr>
            <c:extLst>
              <c:ext xmlns:c16="http://schemas.microsoft.com/office/drawing/2014/chart" uri="{C3380CC4-5D6E-409C-BE32-E72D297353CC}">
                <c16:uniqueId val="{00000001-4DB3-456D-8837-2170F3DD2A80}"/>
              </c:ext>
            </c:extLst>
          </c:dPt>
          <c:dPt>
            <c:idx val="1"/>
            <c:bubble3D val="0"/>
            <c:spPr>
              <a:solidFill>
                <a:srgbClr val="FF0000"/>
              </a:solidFill>
              <a:ln>
                <a:noFill/>
              </a:ln>
              <a:effectLst>
                <a:innerShdw blurRad="63500" dist="50800" dir="2700000">
                  <a:prstClr val="black">
                    <a:alpha val="50000"/>
                  </a:prstClr>
                </a:innerShdw>
              </a:effectLst>
              <a:scene3d>
                <a:camera prst="orthographicFront"/>
                <a:lightRig rig="threePt" dir="t"/>
              </a:scene3d>
            </c:spPr>
            <c:extLst>
              <c:ext xmlns:c16="http://schemas.microsoft.com/office/drawing/2014/chart" uri="{C3380CC4-5D6E-409C-BE32-E72D297353CC}">
                <c16:uniqueId val="{00000003-4DB3-456D-8837-2170F3DD2A80}"/>
              </c:ext>
            </c:extLst>
          </c:dPt>
          <c:dPt>
            <c:idx val="2"/>
            <c:bubble3D val="0"/>
            <c:spPr>
              <a:solidFill>
                <a:srgbClr val="0070C0"/>
              </a:solidFill>
              <a:ln>
                <a:noFill/>
              </a:ln>
              <a:effectLst>
                <a:innerShdw blurRad="63500" dist="50800" dir="2700000">
                  <a:prstClr val="black">
                    <a:alpha val="50000"/>
                  </a:prstClr>
                </a:innerShdw>
              </a:effectLst>
              <a:scene3d>
                <a:camera prst="orthographicFront"/>
                <a:lightRig rig="threePt" dir="t"/>
              </a:scene3d>
            </c:spPr>
            <c:extLst>
              <c:ext xmlns:c16="http://schemas.microsoft.com/office/drawing/2014/chart" uri="{C3380CC4-5D6E-409C-BE32-E72D297353CC}">
                <c16:uniqueId val="{00000005-4DB3-456D-8837-2170F3DD2A80}"/>
              </c:ext>
            </c:extLst>
          </c:dPt>
          <c:dLbls>
            <c:dLbl>
              <c:idx val="0"/>
              <c:layout>
                <c:manualLayout>
                  <c:x val="-2.8061972522810851E-2"/>
                  <c:y val="-0.11077408866797343"/>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B3-456D-8837-2170F3DD2A80}"/>
                </c:ext>
              </c:extLst>
            </c:dLbl>
            <c:dLbl>
              <c:idx val="1"/>
              <c:layout>
                <c:manualLayout>
                  <c:x val="6.1920426298319516E-4"/>
                  <c:y val="3.3606727366385526E-3"/>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B3-456D-8837-2170F3DD2A80}"/>
                </c:ext>
              </c:extLst>
            </c:dLbl>
            <c:dLbl>
              <c:idx val="2"/>
              <c:layout>
                <c:manualLayout>
                  <c:x val="-1.3561838560350954E-3"/>
                  <c:y val="1.0672736638591375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DB3-456D-8837-2170F3DD2A8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extLst>
          </c:dLbls>
          <c:cat>
            <c:strRef>
              <c:f>Sheet1!$A$2:$A$4</c:f>
              <c:strCache>
                <c:ptCount val="3"/>
                <c:pt idx="0">
                  <c:v>Потвърдени</c:v>
                </c:pt>
                <c:pt idx="1">
                  <c:v>Отменени</c:v>
                </c:pt>
                <c:pt idx="2">
                  <c:v>Изменени</c:v>
                </c:pt>
              </c:strCache>
            </c:strRef>
          </c:cat>
          <c:val>
            <c:numRef>
              <c:f>Sheet1!$B$2:$B$4</c:f>
              <c:numCache>
                <c:formatCode>General</c:formatCode>
                <c:ptCount val="3"/>
                <c:pt idx="0">
                  <c:v>95</c:v>
                </c:pt>
                <c:pt idx="1">
                  <c:v>10</c:v>
                </c:pt>
                <c:pt idx="2">
                  <c:v>5</c:v>
                </c:pt>
              </c:numCache>
            </c:numRef>
          </c:val>
          <c:extLst>
            <c:ext xmlns:c16="http://schemas.microsoft.com/office/drawing/2014/chart" uri="{C3380CC4-5D6E-409C-BE32-E72D297353CC}">
              <c16:uniqueId val="{00000006-4DB3-456D-8837-2170F3DD2A80}"/>
            </c:ext>
          </c:extLst>
        </c:ser>
        <c:dLbls>
          <c:showLegendKey val="0"/>
          <c:showVal val="0"/>
          <c:showCatName val="0"/>
          <c:showSerName val="0"/>
          <c:showPercent val="1"/>
          <c:showBubbleSize val="0"/>
          <c:showLeaderLines val="0"/>
        </c:dLbls>
        <c:firstSliceAng val="80"/>
      </c:pieChart>
      <c:spPr>
        <a:noFill/>
        <a:ln>
          <a:noFill/>
        </a:ln>
        <a:effectLst/>
      </c:spPr>
    </c:plotArea>
    <c:legend>
      <c:legendPos val="r"/>
      <c:legendEntry>
        <c:idx val="0"/>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75363445386146455"/>
          <c:y val="0.47551352920614043"/>
          <c:w val="0.20286627112645236"/>
          <c:h val="0.17297595136950997"/>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gradFill flip="none" rotWithShape="1">
      <a:gsLst>
        <a:gs pos="0">
          <a:srgbClr val="FFEFD1"/>
        </a:gs>
        <a:gs pos="100000">
          <a:srgbClr val="FFFFFF"/>
        </a:gs>
      </a:gsLst>
      <a:lin ang="16200000" scaled="0"/>
      <a:tileRect/>
    </a:gradFill>
    <a:effectLst/>
    <a:scene3d>
      <a:camera prst="orthographicFront"/>
      <a:lightRig rig="threePt" dir="t"/>
    </a:scene3d>
    <a:sp3d>
      <a:bevelT prst="relaxedInset"/>
    </a:sp3d>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b="1" baseline="0">
                <a:solidFill>
                  <a:sysClr val="windowText" lastClr="000000"/>
                </a:solidFill>
                <a:latin typeface="Times New Roman" panose="02020603050405020304" pitchFamily="18" charset="0"/>
                <a:cs typeface="Times New Roman" panose="02020603050405020304" pitchFamily="18" charset="0"/>
              </a:rPr>
              <a:t>Резултат от съдебно обжалване на касационна инстанция</a:t>
            </a:r>
            <a:endParaRPr lang="en-US" b="1" baseline="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5477274197661009"/>
          <c:y val="3.9127163280662153E-2"/>
        </c:manualLayout>
      </c:layout>
      <c:overlay val="0"/>
      <c:spPr>
        <a:noFill/>
        <a:ln>
          <a:noFill/>
        </a:ln>
        <a:effectLst/>
      </c:spPr>
    </c:title>
    <c:autoTitleDeleted val="0"/>
    <c:plotArea>
      <c:layout/>
      <c:pieChart>
        <c:varyColors val="1"/>
        <c:ser>
          <c:idx val="0"/>
          <c:order val="0"/>
          <c:spPr>
            <a:effectLst>
              <a:innerShdw blurRad="63500" dist="50800" dir="2700000">
                <a:prstClr val="black">
                  <a:alpha val="50000"/>
                </a:prstClr>
              </a:innerShdw>
            </a:effectLst>
            <a:scene3d>
              <a:camera prst="orthographicFront"/>
              <a:lightRig rig="threePt" dir="t"/>
            </a:scene3d>
          </c:spPr>
          <c:dPt>
            <c:idx val="0"/>
            <c:bubble3D val="0"/>
            <c:spPr>
              <a:solidFill>
                <a:srgbClr val="00B050"/>
              </a:solidFill>
              <a:ln>
                <a:noFill/>
              </a:ln>
              <a:effectLst>
                <a:innerShdw blurRad="63500" dist="50800" dir="2700000">
                  <a:prstClr val="black">
                    <a:alpha val="50000"/>
                  </a:prstClr>
                </a:innerShdw>
              </a:effectLst>
              <a:scene3d>
                <a:camera prst="orthographicFront"/>
                <a:lightRig rig="threePt" dir="t"/>
              </a:scene3d>
            </c:spPr>
            <c:extLst>
              <c:ext xmlns:c16="http://schemas.microsoft.com/office/drawing/2014/chart" uri="{C3380CC4-5D6E-409C-BE32-E72D297353CC}">
                <c16:uniqueId val="{00000001-C0F3-4873-9D0C-54CEF0A8D531}"/>
              </c:ext>
            </c:extLst>
          </c:dPt>
          <c:dPt>
            <c:idx val="1"/>
            <c:bubble3D val="0"/>
            <c:spPr>
              <a:solidFill>
                <a:srgbClr val="FF0000"/>
              </a:solidFill>
              <a:ln>
                <a:noFill/>
              </a:ln>
              <a:effectLst>
                <a:innerShdw blurRad="63500" dist="50800" dir="2700000">
                  <a:prstClr val="black">
                    <a:alpha val="50000"/>
                  </a:prstClr>
                </a:innerShdw>
              </a:effectLst>
              <a:scene3d>
                <a:camera prst="orthographicFront"/>
                <a:lightRig rig="threePt" dir="t"/>
              </a:scene3d>
            </c:spPr>
            <c:extLst>
              <c:ext xmlns:c16="http://schemas.microsoft.com/office/drawing/2014/chart" uri="{C3380CC4-5D6E-409C-BE32-E72D297353CC}">
                <c16:uniqueId val="{00000003-C0F3-4873-9D0C-54CEF0A8D531}"/>
              </c:ext>
            </c:extLst>
          </c:dPt>
          <c:dPt>
            <c:idx val="2"/>
            <c:bubble3D val="0"/>
            <c:spPr>
              <a:solidFill>
                <a:srgbClr val="0070C0"/>
              </a:solidFill>
              <a:ln>
                <a:noFill/>
              </a:ln>
              <a:effectLst>
                <a:innerShdw blurRad="63500" dist="50800" dir="2700000">
                  <a:prstClr val="black">
                    <a:alpha val="50000"/>
                  </a:prstClr>
                </a:innerShdw>
              </a:effectLst>
              <a:scene3d>
                <a:camera prst="orthographicFront"/>
                <a:lightRig rig="threePt" dir="t"/>
              </a:scene3d>
            </c:spPr>
            <c:extLst>
              <c:ext xmlns:c16="http://schemas.microsoft.com/office/drawing/2014/chart" uri="{C3380CC4-5D6E-409C-BE32-E72D297353CC}">
                <c16:uniqueId val="{00000005-C0F3-4873-9D0C-54CEF0A8D531}"/>
              </c:ext>
            </c:extLst>
          </c:dPt>
          <c:dLbls>
            <c:dLbl>
              <c:idx val="0"/>
              <c:layout>
                <c:manualLayout>
                  <c:x val="-7.3704286964129506E-2"/>
                  <c:y val="-0.15295677326048529"/>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0F3-4873-9D0C-54CEF0A8D531}"/>
                </c:ext>
              </c:extLst>
            </c:dLbl>
            <c:dLbl>
              <c:idx val="1"/>
              <c:layout>
                <c:manualLayout>
                  <c:x val="3.0565591065822655E-3"/>
                  <c:y val="3.441884324898944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0F3-4873-9D0C-54CEF0A8D531}"/>
                </c:ext>
              </c:extLst>
            </c:dLbl>
            <c:dLbl>
              <c:idx val="2"/>
              <c:layout>
                <c:manualLayout>
                  <c:x val="-1.3466316710411199E-2"/>
                  <c:y val="9.654940110508127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0F3-4873-9D0C-54CEF0A8D531}"/>
                </c:ext>
              </c:extLst>
            </c:dLbl>
            <c:dLbl>
              <c:idx val="3"/>
              <c:layout>
                <c:manualLayout>
                  <c:x val="-8.7962534095002828E-4"/>
                  <c:y val="-2.2574444677932464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0F3-4873-9D0C-54CEF0A8D531}"/>
                </c:ext>
              </c:extLst>
            </c:dLbl>
            <c:spPr>
              <a:noFill/>
              <a:ln>
                <a:noFill/>
              </a:ln>
              <a:effectLst/>
            </c:spPr>
            <c:txPr>
              <a:bodyPr wrap="square" lIns="38100" tIns="19050" rIns="38100" bIns="19050" anchor="ctr">
                <a:spAutoFit/>
              </a:bodyPr>
              <a:lstStyle/>
              <a:p>
                <a:pPr>
                  <a:defRPr sz="1400" b="1">
                    <a:latin typeface="Times New Roman" panose="02020603050405020304" pitchFamily="18" charset="0"/>
                    <a:cs typeface="Times New Roman" panose="02020603050405020304" pitchFamily="18" charset="0"/>
                  </a:defRPr>
                </a:pPr>
                <a:endParaRPr lang="en-US"/>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Потвърдени</c:v>
                </c:pt>
                <c:pt idx="1">
                  <c:v>Отменени</c:v>
                </c:pt>
                <c:pt idx="2">
                  <c:v>Върнати на КЗЛД с указания</c:v>
                </c:pt>
                <c:pt idx="3">
                  <c:v>Върнати на първа съдебна инстанция за ново произнасяне</c:v>
                </c:pt>
              </c:strCache>
            </c:strRef>
          </c:cat>
          <c:val>
            <c:numRef>
              <c:f>Sheet1!$B$2:$B$5</c:f>
              <c:numCache>
                <c:formatCode>General</c:formatCode>
                <c:ptCount val="4"/>
                <c:pt idx="0">
                  <c:v>38</c:v>
                </c:pt>
                <c:pt idx="1">
                  <c:v>8</c:v>
                </c:pt>
                <c:pt idx="2">
                  <c:v>1</c:v>
                </c:pt>
                <c:pt idx="3">
                  <c:v>3</c:v>
                </c:pt>
              </c:numCache>
            </c:numRef>
          </c:val>
          <c:extLst>
            <c:ext xmlns:c16="http://schemas.microsoft.com/office/drawing/2014/chart" uri="{C3380CC4-5D6E-409C-BE32-E72D297353CC}">
              <c16:uniqueId val="{00000007-C0F3-4873-9D0C-54CEF0A8D531}"/>
            </c:ext>
          </c:extLst>
        </c:ser>
        <c:dLbls>
          <c:dLblPos val="bestFit"/>
          <c:showLegendKey val="0"/>
          <c:showVal val="1"/>
          <c:showCatName val="0"/>
          <c:showSerName val="0"/>
          <c:showPercent val="0"/>
          <c:showBubbleSize val="0"/>
          <c:showLeaderLines val="1"/>
        </c:dLbls>
        <c:firstSliceAng val="80"/>
      </c:pieChart>
      <c:spPr>
        <a:noFill/>
        <a:ln>
          <a:noFill/>
        </a:ln>
        <a:effectLst/>
      </c:spPr>
    </c:plotArea>
    <c:legend>
      <c:legendPos val="r"/>
      <c:legendEntry>
        <c:idx val="0"/>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gradFill flip="none" rotWithShape="1">
      <a:gsLst>
        <a:gs pos="0">
          <a:srgbClr val="FFEFD1"/>
        </a:gs>
        <a:gs pos="100000">
          <a:srgbClr val="FFFFFF"/>
        </a:gs>
      </a:gsLst>
      <a:lin ang="16200000" scaled="0"/>
      <a:tileRect/>
    </a:gradFill>
    <a:effectLst/>
    <a:scene3d>
      <a:camera prst="orthographicFront"/>
      <a:lightRig rig="threePt" dir="t"/>
    </a:scene3d>
    <a:sp3d>
      <a:bevelT prst="relaxedInset"/>
    </a:sp3d>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mn-cs"/>
              </a:defRPr>
            </a:pPr>
            <a:r>
              <a:rPr lang="bg-BG" b="1" i="0" baseline="0">
                <a:solidFill>
                  <a:sysClr val="windowText" lastClr="000000"/>
                </a:solidFill>
                <a:latin typeface="Times New Roman" panose="02020603050405020304" pitchFamily="18" charset="0"/>
              </a:rPr>
              <a:t>Сравнителна статистика на назначените в периода 2017</a:t>
            </a:r>
            <a:r>
              <a:rPr lang="bg-BG" sz="1400" b="1" i="0" u="none" strike="noStrike" kern="1200" spc="0" baseline="0">
                <a:solidFill>
                  <a:sysClr val="windowText" lastClr="000000"/>
                </a:solidFill>
                <a:latin typeface="Times New Roman" panose="02020603050405020304" pitchFamily="18" charset="0"/>
                <a:ea typeface="+mn-ea"/>
                <a:cs typeface="+mn-cs"/>
              </a:rPr>
              <a:t> г. – </a:t>
            </a:r>
            <a:r>
              <a:rPr lang="bg-BG" b="1" i="0" baseline="0">
                <a:solidFill>
                  <a:sysClr val="windowText" lastClr="000000"/>
                </a:solidFill>
                <a:latin typeface="Times New Roman" panose="02020603050405020304" pitchFamily="18" charset="0"/>
              </a:rPr>
              <a:t>2022</a:t>
            </a:r>
            <a:r>
              <a:rPr lang="bg-BG" sz="1400" b="1" i="0" u="none" strike="noStrike" kern="1200" spc="0" baseline="0">
                <a:solidFill>
                  <a:sysClr val="windowText" lastClr="000000"/>
                </a:solidFill>
                <a:latin typeface="Times New Roman" panose="02020603050405020304" pitchFamily="18" charset="0"/>
                <a:ea typeface="+mn-ea"/>
                <a:cs typeface="+mn-cs"/>
              </a:rPr>
              <a:t> г.</a:t>
            </a:r>
            <a:r>
              <a:rPr lang="bg-BG" b="1" i="0" baseline="0">
                <a:solidFill>
                  <a:sysClr val="windowText" lastClr="000000"/>
                </a:solidFill>
                <a:latin typeface="Times New Roman" panose="02020603050405020304" pitchFamily="18" charset="0"/>
              </a:rPr>
              <a:t> сигнали и искания</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mn-cs"/>
            </a:defRPr>
          </a:pPr>
          <a:endParaRPr lang="en-US"/>
        </a:p>
      </c:txPr>
    </c:title>
    <c:autoTitleDeleted val="0"/>
    <c:view3D>
      <c:rotX val="15"/>
      <c:rotY val="20"/>
      <c:depthPercent val="100"/>
      <c:rAngAx val="1"/>
    </c:view3D>
    <c:floor>
      <c:thickness val="0"/>
      <c:spPr>
        <a:solidFill>
          <a:schemeClr val="bg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584144373257678E-2"/>
          <c:y val="0.1680367312576494"/>
          <c:w val="0.89350120297462821"/>
          <c:h val="0.74430318851652977"/>
        </c:manualLayout>
      </c:layout>
      <c:bar3DChart>
        <c:barDir val="col"/>
        <c:grouping val="clustered"/>
        <c:varyColors val="0"/>
        <c:ser>
          <c:idx val="0"/>
          <c:order val="0"/>
          <c:tx>
            <c:strRef>
              <c:f>Sheet1!$A$2:$A$6</c:f>
              <c:strCache>
                <c:ptCount val="5"/>
                <c:pt idx="0">
                  <c:v>2017</c:v>
                </c:pt>
                <c:pt idx="1">
                  <c:v>2018</c:v>
                </c:pt>
                <c:pt idx="2">
                  <c:v>2019</c:v>
                </c:pt>
                <c:pt idx="3">
                  <c:v>2020</c:v>
                </c:pt>
                <c:pt idx="4">
                  <c:v>2021</c:v>
                </c:pt>
              </c:strCache>
            </c:strRef>
          </c:tx>
          <c:spPr>
            <a:solidFill>
              <a:schemeClr val="accent1"/>
            </a:solidFill>
            <a:ln>
              <a:noFill/>
            </a:ln>
            <a:effectLst/>
            <a:sp3d/>
          </c:spPr>
          <c:invertIfNegative val="0"/>
          <c:dPt>
            <c:idx val="0"/>
            <c:invertIfNegative val="0"/>
            <c:bubble3D val="0"/>
            <c:spPr>
              <a:solidFill>
                <a:srgbClr val="7030A0"/>
              </a:solidFill>
              <a:ln>
                <a:noFill/>
              </a:ln>
              <a:effectLst/>
              <a:sp3d/>
            </c:spPr>
            <c:extLst>
              <c:ext xmlns:c16="http://schemas.microsoft.com/office/drawing/2014/chart" uri="{C3380CC4-5D6E-409C-BE32-E72D297353CC}">
                <c16:uniqueId val="{00000001-65BA-456D-AD67-72C63AEE6E57}"/>
              </c:ext>
            </c:extLst>
          </c:dPt>
          <c:dPt>
            <c:idx val="1"/>
            <c:invertIfNegative val="0"/>
            <c:bubble3D val="0"/>
            <c:spPr>
              <a:solidFill>
                <a:srgbClr val="FFC000"/>
              </a:solidFill>
              <a:ln>
                <a:noFill/>
              </a:ln>
              <a:effectLst/>
              <a:sp3d/>
            </c:spPr>
            <c:extLst>
              <c:ext xmlns:c16="http://schemas.microsoft.com/office/drawing/2014/chart" uri="{C3380CC4-5D6E-409C-BE32-E72D297353CC}">
                <c16:uniqueId val="{00000003-65BA-456D-AD67-72C63AEE6E57}"/>
              </c:ext>
            </c:extLst>
          </c:dPt>
          <c:dPt>
            <c:idx val="2"/>
            <c:invertIfNegative val="0"/>
            <c:bubble3D val="0"/>
            <c:spPr>
              <a:solidFill>
                <a:srgbClr val="00B050"/>
              </a:solidFill>
              <a:ln>
                <a:noFill/>
              </a:ln>
              <a:effectLst/>
              <a:sp3d/>
            </c:spPr>
            <c:extLst>
              <c:ext xmlns:c16="http://schemas.microsoft.com/office/drawing/2014/chart" uri="{C3380CC4-5D6E-409C-BE32-E72D297353CC}">
                <c16:uniqueId val="{00000005-65BA-456D-AD67-72C63AEE6E57}"/>
              </c:ext>
            </c:extLst>
          </c:dPt>
          <c:dPt>
            <c:idx val="3"/>
            <c:invertIfNegative val="0"/>
            <c:bubble3D val="0"/>
            <c:spPr>
              <a:solidFill>
                <a:srgbClr val="0070C0"/>
              </a:solidFill>
              <a:ln>
                <a:noFill/>
              </a:ln>
              <a:effectLst/>
              <a:sp3d/>
            </c:spPr>
            <c:extLst>
              <c:ext xmlns:c16="http://schemas.microsoft.com/office/drawing/2014/chart" uri="{C3380CC4-5D6E-409C-BE32-E72D297353CC}">
                <c16:uniqueId val="{00000007-65BA-456D-AD67-72C63AEE6E57}"/>
              </c:ext>
            </c:extLst>
          </c:dPt>
          <c:dPt>
            <c:idx val="4"/>
            <c:invertIfNegative val="0"/>
            <c:bubble3D val="0"/>
            <c:spPr>
              <a:solidFill>
                <a:srgbClr val="FF0000"/>
              </a:solidFill>
              <a:ln>
                <a:noFill/>
              </a:ln>
              <a:effectLst/>
              <a:sp3d/>
            </c:spPr>
            <c:extLst>
              <c:ext xmlns:c16="http://schemas.microsoft.com/office/drawing/2014/chart" uri="{C3380CC4-5D6E-409C-BE32-E72D297353CC}">
                <c16:uniqueId val="{00000009-65BA-456D-AD67-72C63AEE6E57}"/>
              </c:ext>
            </c:extLst>
          </c:dPt>
          <c:dPt>
            <c:idx val="5"/>
            <c:invertIfNegative val="0"/>
            <c:bubble3D val="0"/>
            <c:spPr>
              <a:solidFill>
                <a:srgbClr val="00B0F0"/>
              </a:solidFill>
              <a:ln>
                <a:noFill/>
              </a:ln>
              <a:effectLst/>
              <a:sp3d/>
            </c:spPr>
            <c:extLst>
              <c:ext xmlns:c16="http://schemas.microsoft.com/office/drawing/2014/chart" uri="{C3380CC4-5D6E-409C-BE32-E72D297353CC}">
                <c16:uniqueId val="{0000000B-65BA-456D-AD67-72C63AEE6E57}"/>
              </c:ext>
            </c:extLst>
          </c:dPt>
          <c:dLbls>
            <c:dLbl>
              <c:idx val="0"/>
              <c:layout>
                <c:manualLayout>
                  <c:x val="1.2539104005750626E-2"/>
                  <c:y val="-3.29749484874370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BA-456D-AD67-72C63AEE6E57}"/>
                </c:ext>
              </c:extLst>
            </c:dLbl>
            <c:dLbl>
              <c:idx val="1"/>
              <c:layout>
                <c:manualLayout>
                  <c:x val="1.0449253338125514E-2"/>
                  <c:y val="-2.62261717032293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BA-456D-AD67-72C63AEE6E57}"/>
                </c:ext>
              </c:extLst>
            </c:dLbl>
            <c:dLbl>
              <c:idx val="2"/>
              <c:layout>
                <c:manualLayout>
                  <c:x val="1.7096716223124447E-2"/>
                  <c:y val="-2.96005600953331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5BA-456D-AD67-72C63AEE6E57}"/>
                </c:ext>
              </c:extLst>
            </c:dLbl>
            <c:dLbl>
              <c:idx val="3"/>
              <c:layout>
                <c:manualLayout>
                  <c:x val="6.269592476489028E-3"/>
                  <c:y val="-1.90930787589499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5BA-456D-AD67-72C63AEE6E57}"/>
                </c:ext>
              </c:extLst>
            </c:dLbl>
            <c:dLbl>
              <c:idx val="4"/>
              <c:layout>
                <c:manualLayout>
                  <c:x val="1.7348656811206821E-2"/>
                  <c:y val="-1.9093192902093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5BA-456D-AD67-72C63AEE6E57}"/>
                </c:ext>
              </c:extLst>
            </c:dLbl>
            <c:dLbl>
              <c:idx val="5"/>
              <c:layout>
                <c:manualLayout>
                  <c:x val="1.3294925769997622E-2"/>
                  <c:y val="-2.69951071368315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5BA-456D-AD67-72C63AEE6E57}"/>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numRef>
              <c:f>Sheet1!$A$2:$A$7</c:f>
              <c:numCache>
                <c:formatCode>General</c:formatCode>
                <c:ptCount val="6"/>
                <c:pt idx="0">
                  <c:v>2017</c:v>
                </c:pt>
                <c:pt idx="1">
                  <c:v>2018</c:v>
                </c:pt>
                <c:pt idx="2">
                  <c:v>2019</c:v>
                </c:pt>
                <c:pt idx="3">
                  <c:v>2020</c:v>
                </c:pt>
                <c:pt idx="4">
                  <c:v>2021</c:v>
                </c:pt>
                <c:pt idx="5">
                  <c:v>2022</c:v>
                </c:pt>
              </c:numCache>
            </c:numRef>
          </c:cat>
          <c:val>
            <c:numRef>
              <c:f>Sheet1!$B$2:$B$7</c:f>
              <c:numCache>
                <c:formatCode>General</c:formatCode>
                <c:ptCount val="6"/>
                <c:pt idx="0">
                  <c:v>85</c:v>
                </c:pt>
                <c:pt idx="1">
                  <c:v>290</c:v>
                </c:pt>
                <c:pt idx="2">
                  <c:v>821</c:v>
                </c:pt>
                <c:pt idx="3">
                  <c:v>598</c:v>
                </c:pt>
                <c:pt idx="4">
                  <c:v>487</c:v>
                </c:pt>
                <c:pt idx="5">
                  <c:v>394</c:v>
                </c:pt>
              </c:numCache>
            </c:numRef>
          </c:val>
          <c:shape val="cylinder"/>
          <c:extLst>
            <c:ext xmlns:c16="http://schemas.microsoft.com/office/drawing/2014/chart" uri="{C3380CC4-5D6E-409C-BE32-E72D297353CC}">
              <c16:uniqueId val="{0000000C-65BA-456D-AD67-72C63AEE6E57}"/>
            </c:ext>
          </c:extLst>
        </c:ser>
        <c:dLbls>
          <c:showLegendKey val="0"/>
          <c:showVal val="1"/>
          <c:showCatName val="0"/>
          <c:showSerName val="0"/>
          <c:showPercent val="0"/>
          <c:showBubbleSize val="0"/>
        </c:dLbls>
        <c:gapWidth val="80"/>
        <c:shape val="box"/>
        <c:axId val="1632557232"/>
        <c:axId val="1632558320"/>
        <c:axId val="0"/>
      </c:bar3DChart>
      <c:catAx>
        <c:axId val="1632557232"/>
        <c:scaling>
          <c:orientation val="minMax"/>
        </c:scaling>
        <c:delete val="1"/>
        <c:axPos val="b"/>
        <c:numFmt formatCode="General" sourceLinked="1"/>
        <c:majorTickMark val="out"/>
        <c:minorTickMark val="none"/>
        <c:tickLblPos val="nextTo"/>
        <c:crossAx val="1632558320"/>
        <c:crosses val="autoZero"/>
        <c:auto val="1"/>
        <c:lblAlgn val="ctr"/>
        <c:lblOffset val="100"/>
        <c:noMultiLvlLbl val="0"/>
      </c:catAx>
      <c:valAx>
        <c:axId val="1632558320"/>
        <c:scaling>
          <c:orientation val="minMax"/>
          <c:max val="10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32557232"/>
        <c:crosses val="autoZero"/>
        <c:crossBetween val="between"/>
      </c:valAx>
      <c:spPr>
        <a:noFill/>
        <a:ln>
          <a:noFill/>
        </a:ln>
        <a:effectLst/>
      </c:spPr>
    </c:plotArea>
    <c:legend>
      <c:legendPos val="l"/>
      <c:layout>
        <c:manualLayout>
          <c:xMode val="edge"/>
          <c:yMode val="edge"/>
          <c:x val="9.6362564141037901E-2"/>
          <c:y val="0.91671238918654663"/>
          <c:w val="0.84767888392413171"/>
          <c:h val="5.1386621214274994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mn-cs"/>
            </a:defRPr>
          </a:pPr>
          <a:endParaRPr lang="en-US"/>
        </a:p>
      </c:txPr>
    </c:legend>
    <c:plotVisOnly val="1"/>
    <c:dispBlanksAs val="gap"/>
    <c:showDLblsOverMax val="0"/>
  </c:chart>
  <c:spPr>
    <a:gradFill>
      <a:gsLst>
        <a:gs pos="0">
          <a:srgbClr val="FFEFD1"/>
        </a:gs>
        <a:gs pos="100000">
          <a:srgbClr val="FFFFFF"/>
        </a:gs>
        <a:gs pos="100000">
          <a:schemeClr val="accent1">
            <a:lumMod val="45000"/>
            <a:lumOff val="55000"/>
          </a:schemeClr>
        </a:gs>
        <a:gs pos="100000">
          <a:schemeClr val="accent1">
            <a:lumMod val="30000"/>
            <a:lumOff val="70000"/>
          </a:schemeClr>
        </a:gs>
      </a:gsLst>
      <a:lin ang="16200000" scaled="0"/>
    </a:gradFill>
    <a:ln w="9525" cap="flat" cmpd="sng" algn="ctr">
      <a:solidFill>
        <a:schemeClr val="tx1">
          <a:lumMod val="15000"/>
          <a:lumOff val="85000"/>
        </a:schemeClr>
      </a:solidFill>
      <a:round/>
    </a:ln>
    <a:effectLst/>
    <a:scene3d>
      <a:camera prst="orthographicFront"/>
      <a:lightRig rig="threePt" dir="t"/>
    </a:scene3d>
    <a:sp3d>
      <a:bevelT prst="relaxedInset"/>
    </a:sp3d>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mn-cs"/>
              </a:defRPr>
            </a:pPr>
            <a:r>
              <a:rPr lang="bg-BG" b="1" i="0" baseline="0">
                <a:solidFill>
                  <a:sysClr val="windowText" lastClr="000000"/>
                </a:solidFill>
                <a:latin typeface="Times New Roman" panose="02020603050405020304" pitchFamily="18" charset="0"/>
              </a:rPr>
              <a:t>Сравнителна статистика на назначените в периода 2017</a:t>
            </a:r>
            <a:r>
              <a:rPr lang="bg-BG" sz="1400" b="1" i="0" u="none" strike="noStrike" kern="1200" spc="0" baseline="0">
                <a:solidFill>
                  <a:sysClr val="windowText" lastClr="000000"/>
                </a:solidFill>
                <a:latin typeface="Times New Roman" panose="02020603050405020304" pitchFamily="18" charset="0"/>
                <a:ea typeface="+mn-ea"/>
                <a:cs typeface="+mn-cs"/>
              </a:rPr>
              <a:t> г. – </a:t>
            </a:r>
            <a:r>
              <a:rPr lang="bg-BG" b="1" i="0" baseline="0">
                <a:solidFill>
                  <a:sysClr val="windowText" lastClr="000000"/>
                </a:solidFill>
                <a:latin typeface="Times New Roman" panose="02020603050405020304" pitchFamily="18" charset="0"/>
              </a:rPr>
              <a:t>2022</a:t>
            </a:r>
            <a:r>
              <a:rPr lang="bg-BG" sz="1400" b="1" i="0" u="none" strike="noStrike" kern="1200" spc="0" baseline="0">
                <a:solidFill>
                  <a:sysClr val="windowText" lastClr="000000"/>
                </a:solidFill>
                <a:latin typeface="Times New Roman" panose="02020603050405020304" pitchFamily="18" charset="0"/>
                <a:ea typeface="+mn-ea"/>
                <a:cs typeface="+mn-cs"/>
              </a:rPr>
              <a:t> г.</a:t>
            </a:r>
            <a:r>
              <a:rPr lang="bg-BG" b="1" i="0" baseline="0">
                <a:solidFill>
                  <a:sysClr val="windowText" lastClr="000000"/>
                </a:solidFill>
                <a:latin typeface="Times New Roman" panose="02020603050405020304" pitchFamily="18" charset="0"/>
              </a:rPr>
              <a:t> проверки</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mn-cs"/>
            </a:defRPr>
          </a:pPr>
          <a:endParaRPr lang="en-US"/>
        </a:p>
      </c:txPr>
    </c:title>
    <c:autoTitleDeleted val="0"/>
    <c:view3D>
      <c:rotX val="15"/>
      <c:rotY val="20"/>
      <c:depthPercent val="100"/>
      <c:rAngAx val="1"/>
    </c:view3D>
    <c:floor>
      <c:thickness val="0"/>
      <c:spPr>
        <a:solidFill>
          <a:schemeClr val="bg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584144373257678E-2"/>
          <c:y val="0.1680367312576494"/>
          <c:w val="0.89350120297462821"/>
          <c:h val="0.74430318851652977"/>
        </c:manualLayout>
      </c:layout>
      <c:bar3DChart>
        <c:barDir val="col"/>
        <c:grouping val="clustered"/>
        <c:varyColors val="0"/>
        <c:ser>
          <c:idx val="0"/>
          <c:order val="0"/>
          <c:tx>
            <c:strRef>
              <c:f>Sheet1!$A$2:$A$6</c:f>
              <c:strCache>
                <c:ptCount val="5"/>
                <c:pt idx="0">
                  <c:v>2017</c:v>
                </c:pt>
                <c:pt idx="1">
                  <c:v>2018</c:v>
                </c:pt>
                <c:pt idx="2">
                  <c:v>2019</c:v>
                </c:pt>
                <c:pt idx="3">
                  <c:v>2020</c:v>
                </c:pt>
                <c:pt idx="4">
                  <c:v>2021</c:v>
                </c:pt>
              </c:strCache>
            </c:strRef>
          </c:tx>
          <c:spPr>
            <a:solidFill>
              <a:schemeClr val="accent1"/>
            </a:solidFill>
            <a:ln>
              <a:noFill/>
            </a:ln>
            <a:effectLst/>
            <a:sp3d/>
          </c:spPr>
          <c:invertIfNegative val="0"/>
          <c:dPt>
            <c:idx val="0"/>
            <c:invertIfNegative val="0"/>
            <c:bubble3D val="0"/>
            <c:spPr>
              <a:solidFill>
                <a:srgbClr val="7030A0"/>
              </a:solidFill>
              <a:ln>
                <a:noFill/>
              </a:ln>
              <a:effectLst/>
              <a:sp3d/>
            </c:spPr>
            <c:extLst>
              <c:ext xmlns:c16="http://schemas.microsoft.com/office/drawing/2014/chart" uri="{C3380CC4-5D6E-409C-BE32-E72D297353CC}">
                <c16:uniqueId val="{00000001-8B76-4FF8-A4DE-18DA4E8C9B73}"/>
              </c:ext>
            </c:extLst>
          </c:dPt>
          <c:dPt>
            <c:idx val="1"/>
            <c:invertIfNegative val="0"/>
            <c:bubble3D val="0"/>
            <c:spPr>
              <a:solidFill>
                <a:srgbClr val="FFC000"/>
              </a:solidFill>
              <a:ln>
                <a:noFill/>
              </a:ln>
              <a:effectLst/>
              <a:sp3d/>
            </c:spPr>
            <c:extLst>
              <c:ext xmlns:c16="http://schemas.microsoft.com/office/drawing/2014/chart" uri="{C3380CC4-5D6E-409C-BE32-E72D297353CC}">
                <c16:uniqueId val="{00000003-8B76-4FF8-A4DE-18DA4E8C9B73}"/>
              </c:ext>
            </c:extLst>
          </c:dPt>
          <c:dPt>
            <c:idx val="2"/>
            <c:invertIfNegative val="0"/>
            <c:bubble3D val="0"/>
            <c:spPr>
              <a:solidFill>
                <a:srgbClr val="00B050"/>
              </a:solidFill>
              <a:ln>
                <a:noFill/>
              </a:ln>
              <a:effectLst/>
              <a:sp3d/>
            </c:spPr>
            <c:extLst>
              <c:ext xmlns:c16="http://schemas.microsoft.com/office/drawing/2014/chart" uri="{C3380CC4-5D6E-409C-BE32-E72D297353CC}">
                <c16:uniqueId val="{00000005-8B76-4FF8-A4DE-18DA4E8C9B73}"/>
              </c:ext>
            </c:extLst>
          </c:dPt>
          <c:dPt>
            <c:idx val="3"/>
            <c:invertIfNegative val="0"/>
            <c:bubble3D val="0"/>
            <c:spPr>
              <a:solidFill>
                <a:srgbClr val="0070C0"/>
              </a:solidFill>
              <a:ln>
                <a:noFill/>
              </a:ln>
              <a:effectLst/>
              <a:sp3d/>
            </c:spPr>
            <c:extLst>
              <c:ext xmlns:c16="http://schemas.microsoft.com/office/drawing/2014/chart" uri="{C3380CC4-5D6E-409C-BE32-E72D297353CC}">
                <c16:uniqueId val="{00000007-8B76-4FF8-A4DE-18DA4E8C9B73}"/>
              </c:ext>
            </c:extLst>
          </c:dPt>
          <c:dPt>
            <c:idx val="4"/>
            <c:invertIfNegative val="0"/>
            <c:bubble3D val="0"/>
            <c:spPr>
              <a:solidFill>
                <a:srgbClr val="FF0000"/>
              </a:solidFill>
              <a:ln>
                <a:noFill/>
              </a:ln>
              <a:effectLst/>
              <a:sp3d/>
            </c:spPr>
            <c:extLst>
              <c:ext xmlns:c16="http://schemas.microsoft.com/office/drawing/2014/chart" uri="{C3380CC4-5D6E-409C-BE32-E72D297353CC}">
                <c16:uniqueId val="{00000009-8B76-4FF8-A4DE-18DA4E8C9B73}"/>
              </c:ext>
            </c:extLst>
          </c:dPt>
          <c:dPt>
            <c:idx val="5"/>
            <c:invertIfNegative val="0"/>
            <c:bubble3D val="0"/>
            <c:spPr>
              <a:solidFill>
                <a:srgbClr val="00B0F0"/>
              </a:solidFill>
              <a:ln>
                <a:noFill/>
              </a:ln>
              <a:effectLst/>
              <a:sp3d/>
            </c:spPr>
            <c:extLst>
              <c:ext xmlns:c16="http://schemas.microsoft.com/office/drawing/2014/chart" uri="{C3380CC4-5D6E-409C-BE32-E72D297353CC}">
                <c16:uniqueId val="{0000000B-8B76-4FF8-A4DE-18DA4E8C9B73}"/>
              </c:ext>
            </c:extLst>
          </c:dPt>
          <c:dLbls>
            <c:dLbl>
              <c:idx val="0"/>
              <c:layout>
                <c:manualLayout>
                  <c:x val="1.2539104005750626E-2"/>
                  <c:y val="-3.29749484874370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76-4FF8-A4DE-18DA4E8C9B73}"/>
                </c:ext>
              </c:extLst>
            </c:dLbl>
            <c:dLbl>
              <c:idx val="1"/>
              <c:layout>
                <c:manualLayout>
                  <c:x val="1.0449253338125514E-2"/>
                  <c:y val="-2.62261717032293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B76-4FF8-A4DE-18DA4E8C9B73}"/>
                </c:ext>
              </c:extLst>
            </c:dLbl>
            <c:dLbl>
              <c:idx val="2"/>
              <c:layout>
                <c:manualLayout>
                  <c:x val="1.7096716223124447E-2"/>
                  <c:y val="-2.96005600953331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B76-4FF8-A4DE-18DA4E8C9B73}"/>
                </c:ext>
              </c:extLst>
            </c:dLbl>
            <c:dLbl>
              <c:idx val="3"/>
              <c:layout>
                <c:manualLayout>
                  <c:x val="6.269592476489028E-3"/>
                  <c:y val="-1.90930787589499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B76-4FF8-A4DE-18DA4E8C9B73}"/>
                </c:ext>
              </c:extLst>
            </c:dLbl>
            <c:dLbl>
              <c:idx val="4"/>
              <c:layout>
                <c:manualLayout>
                  <c:x val="1.7348656811206821E-2"/>
                  <c:y val="-1.9093192902093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B76-4FF8-A4DE-18DA4E8C9B73}"/>
                </c:ext>
              </c:extLst>
            </c:dLbl>
            <c:dLbl>
              <c:idx val="5"/>
              <c:layout>
                <c:manualLayout>
                  <c:x val="1.3294925769997622E-2"/>
                  <c:y val="-2.69951071368315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B76-4FF8-A4DE-18DA4E8C9B73}"/>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numRef>
              <c:f>Sheet1!$A$2:$A$7</c:f>
              <c:numCache>
                <c:formatCode>General</c:formatCode>
                <c:ptCount val="6"/>
                <c:pt idx="0">
                  <c:v>2017</c:v>
                </c:pt>
                <c:pt idx="1">
                  <c:v>2018</c:v>
                </c:pt>
                <c:pt idx="2">
                  <c:v>2019</c:v>
                </c:pt>
                <c:pt idx="3">
                  <c:v>2020</c:v>
                </c:pt>
                <c:pt idx="4">
                  <c:v>2021</c:v>
                </c:pt>
                <c:pt idx="5">
                  <c:v>2022</c:v>
                </c:pt>
              </c:numCache>
            </c:numRef>
          </c:cat>
          <c:val>
            <c:numRef>
              <c:f>Sheet1!$B$2:$B$7</c:f>
              <c:numCache>
                <c:formatCode>General</c:formatCode>
                <c:ptCount val="6"/>
                <c:pt idx="0">
                  <c:v>37</c:v>
                </c:pt>
                <c:pt idx="1">
                  <c:v>68</c:v>
                </c:pt>
                <c:pt idx="2">
                  <c:v>134</c:v>
                </c:pt>
                <c:pt idx="3">
                  <c:v>144</c:v>
                </c:pt>
                <c:pt idx="4">
                  <c:v>227</c:v>
                </c:pt>
                <c:pt idx="5">
                  <c:v>324</c:v>
                </c:pt>
              </c:numCache>
            </c:numRef>
          </c:val>
          <c:shape val="cylinder"/>
          <c:extLst>
            <c:ext xmlns:c16="http://schemas.microsoft.com/office/drawing/2014/chart" uri="{C3380CC4-5D6E-409C-BE32-E72D297353CC}">
              <c16:uniqueId val="{0000000C-8B76-4FF8-A4DE-18DA4E8C9B73}"/>
            </c:ext>
          </c:extLst>
        </c:ser>
        <c:dLbls>
          <c:showLegendKey val="0"/>
          <c:showVal val="1"/>
          <c:showCatName val="0"/>
          <c:showSerName val="0"/>
          <c:showPercent val="0"/>
          <c:showBubbleSize val="0"/>
        </c:dLbls>
        <c:gapWidth val="80"/>
        <c:shape val="box"/>
        <c:axId val="1632561584"/>
        <c:axId val="1565385984"/>
        <c:axId val="0"/>
      </c:bar3DChart>
      <c:catAx>
        <c:axId val="1632561584"/>
        <c:scaling>
          <c:orientation val="minMax"/>
        </c:scaling>
        <c:delete val="1"/>
        <c:axPos val="b"/>
        <c:numFmt formatCode="General" sourceLinked="1"/>
        <c:majorTickMark val="out"/>
        <c:minorTickMark val="none"/>
        <c:tickLblPos val="nextTo"/>
        <c:crossAx val="1565385984"/>
        <c:crosses val="autoZero"/>
        <c:auto val="1"/>
        <c:lblAlgn val="ctr"/>
        <c:lblOffset val="100"/>
        <c:noMultiLvlLbl val="0"/>
      </c:catAx>
      <c:valAx>
        <c:axId val="1565385984"/>
        <c:scaling>
          <c:orientation val="minMax"/>
          <c:max val="4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32561584"/>
        <c:crosses val="autoZero"/>
        <c:crossBetween val="between"/>
      </c:valAx>
      <c:spPr>
        <a:noFill/>
        <a:ln>
          <a:noFill/>
        </a:ln>
        <a:effectLst/>
      </c:spPr>
    </c:plotArea>
    <c:legend>
      <c:legendPos val="l"/>
      <c:layout>
        <c:manualLayout>
          <c:xMode val="edge"/>
          <c:yMode val="edge"/>
          <c:x val="9.6362564141037901E-2"/>
          <c:y val="0.91671238918654663"/>
          <c:w val="0.84767888392413171"/>
          <c:h val="5.1386621214274994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mn-cs"/>
            </a:defRPr>
          </a:pPr>
          <a:endParaRPr lang="en-US"/>
        </a:p>
      </c:txPr>
    </c:legend>
    <c:plotVisOnly val="1"/>
    <c:dispBlanksAs val="gap"/>
    <c:showDLblsOverMax val="0"/>
  </c:chart>
  <c:spPr>
    <a:gradFill>
      <a:gsLst>
        <a:gs pos="0">
          <a:srgbClr val="FFEFD1"/>
        </a:gs>
        <a:gs pos="100000">
          <a:srgbClr val="FFFFFF"/>
        </a:gs>
        <a:gs pos="100000">
          <a:schemeClr val="accent1">
            <a:lumMod val="45000"/>
            <a:lumOff val="55000"/>
          </a:schemeClr>
        </a:gs>
        <a:gs pos="100000">
          <a:schemeClr val="accent1">
            <a:lumMod val="30000"/>
            <a:lumOff val="70000"/>
          </a:schemeClr>
        </a:gs>
      </a:gsLst>
      <a:lin ang="16200000" scaled="0"/>
    </a:gradFill>
    <a:ln w="9525" cap="flat" cmpd="sng" algn="ctr">
      <a:solidFill>
        <a:schemeClr val="tx1">
          <a:lumMod val="15000"/>
          <a:lumOff val="85000"/>
        </a:schemeClr>
      </a:solidFill>
      <a:round/>
    </a:ln>
    <a:effectLst/>
    <a:scene3d>
      <a:camera prst="orthographicFront"/>
      <a:lightRig rig="threePt" dir="t"/>
    </a:scene3d>
    <a:sp3d>
      <a:bevelT prst="relaxedInset"/>
    </a:sp3d>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584144373257678E-2"/>
          <c:y val="0.1680367312576494"/>
          <c:w val="0.89350120297462821"/>
          <c:h val="0.74430318851652977"/>
        </c:manualLayout>
      </c:layout>
      <c:bar3DChart>
        <c:barDir val="col"/>
        <c:grouping val="clustered"/>
        <c:varyColors val="0"/>
        <c:ser>
          <c:idx val="0"/>
          <c:order val="0"/>
          <c:tx>
            <c:strRef>
              <c:f>Sheet1!$A$2:$A$5</c:f>
              <c:strCache>
                <c:ptCount val="4"/>
                <c:pt idx="0">
                  <c:v>2018</c:v>
                </c:pt>
                <c:pt idx="1">
                  <c:v>2019</c:v>
                </c:pt>
                <c:pt idx="2">
                  <c:v>2020</c:v>
                </c:pt>
                <c:pt idx="3">
                  <c:v>2021</c:v>
                </c:pt>
              </c:strCache>
            </c:strRef>
          </c:tx>
          <c:spPr>
            <a:solidFill>
              <a:schemeClr val="accent1"/>
            </a:solidFill>
            <a:ln>
              <a:noFill/>
            </a:ln>
            <a:effectLst/>
            <a:sp3d/>
          </c:spPr>
          <c:invertIfNegative val="0"/>
          <c:dPt>
            <c:idx val="0"/>
            <c:invertIfNegative val="0"/>
            <c:bubble3D val="0"/>
            <c:spPr>
              <a:solidFill>
                <a:srgbClr val="FFC000"/>
              </a:solidFill>
              <a:ln>
                <a:noFill/>
              </a:ln>
              <a:effectLst/>
              <a:sp3d/>
            </c:spPr>
            <c:extLst>
              <c:ext xmlns:c16="http://schemas.microsoft.com/office/drawing/2014/chart" uri="{C3380CC4-5D6E-409C-BE32-E72D297353CC}">
                <c16:uniqueId val="{00000001-95C2-4AA3-8B30-75D7BA6F7BA2}"/>
              </c:ext>
            </c:extLst>
          </c:dPt>
          <c:dPt>
            <c:idx val="1"/>
            <c:invertIfNegative val="0"/>
            <c:bubble3D val="0"/>
            <c:spPr>
              <a:solidFill>
                <a:srgbClr val="00B050"/>
              </a:solidFill>
              <a:ln>
                <a:noFill/>
              </a:ln>
              <a:effectLst/>
              <a:sp3d/>
            </c:spPr>
            <c:extLst>
              <c:ext xmlns:c16="http://schemas.microsoft.com/office/drawing/2014/chart" uri="{C3380CC4-5D6E-409C-BE32-E72D297353CC}">
                <c16:uniqueId val="{00000003-95C2-4AA3-8B30-75D7BA6F7BA2}"/>
              </c:ext>
            </c:extLst>
          </c:dPt>
          <c:dPt>
            <c:idx val="2"/>
            <c:invertIfNegative val="0"/>
            <c:bubble3D val="0"/>
            <c:spPr>
              <a:solidFill>
                <a:srgbClr val="0070C0"/>
              </a:solidFill>
              <a:ln>
                <a:noFill/>
              </a:ln>
              <a:effectLst/>
              <a:sp3d/>
            </c:spPr>
            <c:extLst>
              <c:ext xmlns:c16="http://schemas.microsoft.com/office/drawing/2014/chart" uri="{C3380CC4-5D6E-409C-BE32-E72D297353CC}">
                <c16:uniqueId val="{00000005-95C2-4AA3-8B30-75D7BA6F7BA2}"/>
              </c:ext>
            </c:extLst>
          </c:dPt>
          <c:dPt>
            <c:idx val="3"/>
            <c:invertIfNegative val="0"/>
            <c:bubble3D val="0"/>
            <c:spPr>
              <a:solidFill>
                <a:srgbClr val="FF0000"/>
              </a:solidFill>
              <a:ln>
                <a:noFill/>
              </a:ln>
              <a:effectLst/>
              <a:sp3d/>
            </c:spPr>
            <c:extLst>
              <c:ext xmlns:c16="http://schemas.microsoft.com/office/drawing/2014/chart" uri="{C3380CC4-5D6E-409C-BE32-E72D297353CC}">
                <c16:uniqueId val="{00000007-95C2-4AA3-8B30-75D7BA6F7BA2}"/>
              </c:ext>
            </c:extLst>
          </c:dPt>
          <c:dPt>
            <c:idx val="4"/>
            <c:invertIfNegative val="0"/>
            <c:bubble3D val="0"/>
            <c:spPr>
              <a:solidFill>
                <a:srgbClr val="00B0F0"/>
              </a:solidFill>
              <a:ln>
                <a:noFill/>
              </a:ln>
              <a:effectLst/>
              <a:sp3d/>
            </c:spPr>
            <c:extLst>
              <c:ext xmlns:c16="http://schemas.microsoft.com/office/drawing/2014/chart" uri="{C3380CC4-5D6E-409C-BE32-E72D297353CC}">
                <c16:uniqueId val="{00000009-95C2-4AA3-8B30-75D7BA6F7BA2}"/>
              </c:ext>
            </c:extLst>
          </c:dPt>
          <c:dLbls>
            <c:dLbl>
              <c:idx val="0"/>
              <c:layout>
                <c:manualLayout>
                  <c:x val="1.0449253338125514E-2"/>
                  <c:y val="-2.62261717032293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C2-4AA3-8B30-75D7BA6F7BA2}"/>
                </c:ext>
              </c:extLst>
            </c:dLbl>
            <c:dLbl>
              <c:idx val="1"/>
              <c:layout>
                <c:manualLayout>
                  <c:x val="1.7096716223124447E-2"/>
                  <c:y val="-2.96005600953331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C2-4AA3-8B30-75D7BA6F7BA2}"/>
                </c:ext>
              </c:extLst>
            </c:dLbl>
            <c:dLbl>
              <c:idx val="2"/>
              <c:layout>
                <c:manualLayout>
                  <c:x val="6.269592476489028E-3"/>
                  <c:y val="-1.90930787589499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5C2-4AA3-8B30-75D7BA6F7BA2}"/>
                </c:ext>
              </c:extLst>
            </c:dLbl>
            <c:dLbl>
              <c:idx val="3"/>
              <c:layout>
                <c:manualLayout>
                  <c:x val="1.7348656811206821E-2"/>
                  <c:y val="-1.9093192902093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5C2-4AA3-8B30-75D7BA6F7BA2}"/>
                </c:ext>
              </c:extLst>
            </c:dLbl>
            <c:dLbl>
              <c:idx val="4"/>
              <c:layout>
                <c:manualLayout>
                  <c:x val="1.3294925769997622E-2"/>
                  <c:y val="-2.69951071368315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5C2-4AA3-8B30-75D7BA6F7BA2}"/>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14</c:v>
                </c:pt>
                <c:pt idx="1">
                  <c:v>18</c:v>
                </c:pt>
                <c:pt idx="2">
                  <c:v>36</c:v>
                </c:pt>
                <c:pt idx="3">
                  <c:v>64</c:v>
                </c:pt>
                <c:pt idx="4">
                  <c:v>90</c:v>
                </c:pt>
              </c:numCache>
            </c:numRef>
          </c:val>
          <c:shape val="cylinder"/>
          <c:extLst>
            <c:ext xmlns:c16="http://schemas.microsoft.com/office/drawing/2014/chart" uri="{C3380CC4-5D6E-409C-BE32-E72D297353CC}">
              <c16:uniqueId val="{0000000A-95C2-4AA3-8B30-75D7BA6F7BA2}"/>
            </c:ext>
          </c:extLst>
        </c:ser>
        <c:dLbls>
          <c:showLegendKey val="0"/>
          <c:showVal val="1"/>
          <c:showCatName val="0"/>
          <c:showSerName val="0"/>
          <c:showPercent val="0"/>
          <c:showBubbleSize val="0"/>
        </c:dLbls>
        <c:gapWidth val="80"/>
        <c:shape val="box"/>
        <c:axId val="1565384896"/>
        <c:axId val="1565387072"/>
        <c:axId val="0"/>
      </c:bar3DChart>
      <c:catAx>
        <c:axId val="1565384896"/>
        <c:scaling>
          <c:orientation val="minMax"/>
        </c:scaling>
        <c:delete val="1"/>
        <c:axPos val="b"/>
        <c:numFmt formatCode="General" sourceLinked="1"/>
        <c:majorTickMark val="out"/>
        <c:minorTickMark val="none"/>
        <c:tickLblPos val="nextTo"/>
        <c:crossAx val="1565387072"/>
        <c:crosses val="autoZero"/>
        <c:auto val="1"/>
        <c:lblAlgn val="ctr"/>
        <c:lblOffset val="100"/>
        <c:noMultiLvlLbl val="0"/>
      </c:catAx>
      <c:valAx>
        <c:axId val="156538707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65384896"/>
        <c:crosses val="autoZero"/>
        <c:crossBetween val="between"/>
      </c:valAx>
      <c:spPr>
        <a:noFill/>
        <a:ln>
          <a:noFill/>
        </a:ln>
        <a:effectLst/>
      </c:spPr>
    </c:plotArea>
    <c:legend>
      <c:legendPos val="l"/>
      <c:layout>
        <c:manualLayout>
          <c:xMode val="edge"/>
          <c:yMode val="edge"/>
          <c:x val="9.6362564141037901E-2"/>
          <c:y val="0.91671238918654663"/>
          <c:w val="0.84767888392413171"/>
          <c:h val="5.1386621214274994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mn-cs"/>
            </a:defRPr>
          </a:pPr>
          <a:endParaRPr lang="en-US"/>
        </a:p>
      </c:txPr>
    </c:legend>
    <c:plotVisOnly val="1"/>
    <c:dispBlanksAs val="gap"/>
    <c:showDLblsOverMax val="0"/>
  </c:chart>
  <c:spPr>
    <a:gradFill>
      <a:gsLst>
        <a:gs pos="0">
          <a:srgbClr val="FFEFD1"/>
        </a:gs>
        <a:gs pos="100000">
          <a:srgbClr val="FFFFFF"/>
        </a:gs>
        <a:gs pos="100000">
          <a:schemeClr val="accent1">
            <a:lumMod val="45000"/>
            <a:lumOff val="55000"/>
          </a:schemeClr>
        </a:gs>
        <a:gs pos="100000">
          <a:schemeClr val="accent1">
            <a:lumMod val="30000"/>
            <a:lumOff val="70000"/>
          </a:schemeClr>
        </a:gs>
      </a:gsLst>
      <a:lin ang="16200000" scaled="0"/>
    </a:gradFill>
    <a:ln w="9525" cap="flat" cmpd="sng" algn="ctr">
      <a:solidFill>
        <a:schemeClr val="tx1">
          <a:lumMod val="15000"/>
          <a:lumOff val="85000"/>
        </a:schemeClr>
      </a:solidFill>
      <a:round/>
    </a:ln>
    <a:effectLst/>
    <a:scene3d>
      <a:camera prst="orthographicFront"/>
      <a:lightRig rig="threePt" dir="t"/>
    </a:scene3d>
    <a:sp3d>
      <a:bevelT prst="relaxedInset"/>
    </a:sp3d>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584144373257678E-2"/>
          <c:y val="0.1680367312576494"/>
          <c:w val="0.89350120297462821"/>
          <c:h val="0.74430318851652977"/>
        </c:manualLayout>
      </c:layout>
      <c:bar3DChart>
        <c:barDir val="col"/>
        <c:grouping val="clustered"/>
        <c:varyColors val="0"/>
        <c:ser>
          <c:idx val="0"/>
          <c:order val="0"/>
          <c:tx>
            <c:strRef>
              <c:f>Sheet1!$A$2:$A$6</c:f>
              <c:strCache>
                <c:ptCount val="5"/>
                <c:pt idx="0">
                  <c:v>2017</c:v>
                </c:pt>
                <c:pt idx="1">
                  <c:v>2018</c:v>
                </c:pt>
                <c:pt idx="2">
                  <c:v>2019</c:v>
                </c:pt>
                <c:pt idx="3">
                  <c:v>2020</c:v>
                </c:pt>
                <c:pt idx="4">
                  <c:v>2021</c:v>
                </c:pt>
              </c:strCache>
            </c:strRef>
          </c:tx>
          <c:spPr>
            <a:solidFill>
              <a:schemeClr val="accent1"/>
            </a:solidFill>
            <a:ln>
              <a:noFill/>
            </a:ln>
            <a:effectLst/>
            <a:sp3d/>
          </c:spPr>
          <c:invertIfNegative val="0"/>
          <c:dPt>
            <c:idx val="0"/>
            <c:invertIfNegative val="0"/>
            <c:bubble3D val="0"/>
            <c:spPr>
              <a:solidFill>
                <a:srgbClr val="7030A0"/>
              </a:solidFill>
              <a:ln>
                <a:noFill/>
              </a:ln>
              <a:effectLst/>
              <a:sp3d/>
            </c:spPr>
            <c:extLst>
              <c:ext xmlns:c16="http://schemas.microsoft.com/office/drawing/2014/chart" uri="{C3380CC4-5D6E-409C-BE32-E72D297353CC}">
                <c16:uniqueId val="{00000001-BB9B-4D7B-B332-54E65606EE7A}"/>
              </c:ext>
            </c:extLst>
          </c:dPt>
          <c:dPt>
            <c:idx val="1"/>
            <c:invertIfNegative val="0"/>
            <c:bubble3D val="0"/>
            <c:spPr>
              <a:solidFill>
                <a:srgbClr val="FFC000"/>
              </a:solidFill>
              <a:ln>
                <a:noFill/>
              </a:ln>
              <a:effectLst/>
              <a:sp3d/>
            </c:spPr>
            <c:extLst>
              <c:ext xmlns:c16="http://schemas.microsoft.com/office/drawing/2014/chart" uri="{C3380CC4-5D6E-409C-BE32-E72D297353CC}">
                <c16:uniqueId val="{00000003-BB9B-4D7B-B332-54E65606EE7A}"/>
              </c:ext>
            </c:extLst>
          </c:dPt>
          <c:dPt>
            <c:idx val="2"/>
            <c:invertIfNegative val="0"/>
            <c:bubble3D val="0"/>
            <c:spPr>
              <a:solidFill>
                <a:srgbClr val="00B050"/>
              </a:solidFill>
              <a:ln>
                <a:noFill/>
              </a:ln>
              <a:effectLst/>
              <a:sp3d/>
            </c:spPr>
            <c:extLst>
              <c:ext xmlns:c16="http://schemas.microsoft.com/office/drawing/2014/chart" uri="{C3380CC4-5D6E-409C-BE32-E72D297353CC}">
                <c16:uniqueId val="{00000005-BB9B-4D7B-B332-54E65606EE7A}"/>
              </c:ext>
            </c:extLst>
          </c:dPt>
          <c:dPt>
            <c:idx val="3"/>
            <c:invertIfNegative val="0"/>
            <c:bubble3D val="0"/>
            <c:spPr>
              <a:solidFill>
                <a:srgbClr val="0070C0"/>
              </a:solidFill>
              <a:ln>
                <a:noFill/>
              </a:ln>
              <a:effectLst/>
              <a:sp3d/>
            </c:spPr>
            <c:extLst>
              <c:ext xmlns:c16="http://schemas.microsoft.com/office/drawing/2014/chart" uri="{C3380CC4-5D6E-409C-BE32-E72D297353CC}">
                <c16:uniqueId val="{00000007-BB9B-4D7B-B332-54E65606EE7A}"/>
              </c:ext>
            </c:extLst>
          </c:dPt>
          <c:dPt>
            <c:idx val="4"/>
            <c:invertIfNegative val="0"/>
            <c:bubble3D val="0"/>
            <c:spPr>
              <a:solidFill>
                <a:srgbClr val="FF0000"/>
              </a:solidFill>
              <a:ln>
                <a:noFill/>
              </a:ln>
              <a:effectLst/>
              <a:sp3d/>
            </c:spPr>
            <c:extLst>
              <c:ext xmlns:c16="http://schemas.microsoft.com/office/drawing/2014/chart" uri="{C3380CC4-5D6E-409C-BE32-E72D297353CC}">
                <c16:uniqueId val="{00000009-BB9B-4D7B-B332-54E65606EE7A}"/>
              </c:ext>
            </c:extLst>
          </c:dPt>
          <c:dPt>
            <c:idx val="5"/>
            <c:invertIfNegative val="0"/>
            <c:bubble3D val="0"/>
            <c:spPr>
              <a:solidFill>
                <a:srgbClr val="00B0F0"/>
              </a:solidFill>
              <a:ln>
                <a:noFill/>
              </a:ln>
              <a:effectLst/>
              <a:sp3d/>
            </c:spPr>
            <c:extLst>
              <c:ext xmlns:c16="http://schemas.microsoft.com/office/drawing/2014/chart" uri="{C3380CC4-5D6E-409C-BE32-E72D297353CC}">
                <c16:uniqueId val="{0000000B-BB9B-4D7B-B332-54E65606EE7A}"/>
              </c:ext>
            </c:extLst>
          </c:dPt>
          <c:dLbls>
            <c:dLbl>
              <c:idx val="0"/>
              <c:layout>
                <c:manualLayout>
                  <c:x val="1.2539104005750626E-2"/>
                  <c:y val="-3.29749484874370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9B-4D7B-B332-54E65606EE7A}"/>
                </c:ext>
              </c:extLst>
            </c:dLbl>
            <c:dLbl>
              <c:idx val="1"/>
              <c:layout>
                <c:manualLayout>
                  <c:x val="1.0449253338125596E-2"/>
                  <c:y val="-3.63493368795411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B9B-4D7B-B332-54E65606EE7A}"/>
                </c:ext>
              </c:extLst>
            </c:dLbl>
            <c:dLbl>
              <c:idx val="2"/>
              <c:layout>
                <c:manualLayout>
                  <c:x val="2.0420534902669547E-2"/>
                  <c:y val="-1.272861813481346E-2"/>
                </c:manualLayout>
              </c:layout>
              <c:tx>
                <c:rich>
                  <a:bodyPr/>
                  <a:lstStyle/>
                  <a:p>
                    <a:r>
                      <a:rPr lang="en-US"/>
                      <a:t>6106000</a:t>
                    </a:r>
                  </a:p>
                </c:rich>
              </c:tx>
              <c:showLegendKey val="0"/>
              <c:showVal val="1"/>
              <c:showCatName val="0"/>
              <c:showSerName val="0"/>
              <c:showPercent val="0"/>
              <c:showBubbleSize val="0"/>
              <c:extLst>
                <c:ext xmlns:c15="http://schemas.microsoft.com/office/drawing/2012/chart" uri="{CE6537A1-D6FC-4f65-9D91-7224C49458BB}">
                  <c15:layout>
                    <c:manualLayout>
                      <c:w val="0.13073343673831153"/>
                      <c:h val="0.1032562847983803"/>
                    </c:manualLayout>
                  </c15:layout>
                </c:ext>
                <c:ext xmlns:c16="http://schemas.microsoft.com/office/drawing/2014/chart" uri="{C3380CC4-5D6E-409C-BE32-E72D297353CC}">
                  <c16:uniqueId val="{00000005-BB9B-4D7B-B332-54E65606EE7A}"/>
                </c:ext>
              </c:extLst>
            </c:dLbl>
            <c:dLbl>
              <c:idx val="3"/>
              <c:layout>
                <c:manualLayout>
                  <c:x val="8.4853729645415488E-3"/>
                  <c:y val="-2.92163580784054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B9B-4D7B-B332-54E65606EE7A}"/>
                </c:ext>
              </c:extLst>
            </c:dLbl>
            <c:dLbl>
              <c:idx val="4"/>
              <c:layout>
                <c:manualLayout>
                  <c:x val="1.7348656811206821E-2"/>
                  <c:y val="-1.9093192902093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B9B-4D7B-B332-54E65606EE7A}"/>
                </c:ext>
              </c:extLst>
            </c:dLbl>
            <c:dLbl>
              <c:idx val="5"/>
              <c:layout>
                <c:manualLayout>
                  <c:x val="6.6474628849987295E-3"/>
                  <c:y val="-2.3620718744727581E-2"/>
                </c:manualLayout>
              </c:layout>
              <c:tx>
                <c:rich>
                  <a:bodyPr/>
                  <a:lstStyle/>
                  <a:p>
                    <a:r>
                      <a:rPr lang="en-US"/>
                      <a:t>1024000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B9B-4D7B-B332-54E65606EE7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2017</c:v>
                </c:pt>
                <c:pt idx="1">
                  <c:v>2018</c:v>
                </c:pt>
                <c:pt idx="2">
                  <c:v>2019</c:v>
                </c:pt>
                <c:pt idx="3">
                  <c:v>2020</c:v>
                </c:pt>
                <c:pt idx="4">
                  <c:v>2021</c:v>
                </c:pt>
                <c:pt idx="5">
                  <c:v>2022</c:v>
                </c:pt>
              </c:numCache>
            </c:numRef>
          </c:cat>
          <c:val>
            <c:numRef>
              <c:f>Sheet1!$B$2:$B$7</c:f>
              <c:numCache>
                <c:formatCode>General</c:formatCode>
                <c:ptCount val="6"/>
                <c:pt idx="0">
                  <c:v>34500</c:v>
                </c:pt>
                <c:pt idx="1">
                  <c:v>12000</c:v>
                </c:pt>
                <c:pt idx="2">
                  <c:v>1800000</c:v>
                </c:pt>
                <c:pt idx="3">
                  <c:v>22000</c:v>
                </c:pt>
                <c:pt idx="4">
                  <c:v>319000</c:v>
                </c:pt>
                <c:pt idx="5">
                  <c:v>1024000</c:v>
                </c:pt>
              </c:numCache>
            </c:numRef>
          </c:val>
          <c:shape val="cylinder"/>
          <c:extLst>
            <c:ext xmlns:c16="http://schemas.microsoft.com/office/drawing/2014/chart" uri="{C3380CC4-5D6E-409C-BE32-E72D297353CC}">
              <c16:uniqueId val="{0000000C-BB9B-4D7B-B332-54E65606EE7A}"/>
            </c:ext>
          </c:extLst>
        </c:ser>
        <c:dLbls>
          <c:showLegendKey val="0"/>
          <c:showVal val="1"/>
          <c:showCatName val="0"/>
          <c:showSerName val="0"/>
          <c:showPercent val="0"/>
          <c:showBubbleSize val="0"/>
        </c:dLbls>
        <c:gapWidth val="80"/>
        <c:shape val="box"/>
        <c:axId val="1565386528"/>
        <c:axId val="1565388160"/>
        <c:axId val="0"/>
      </c:bar3DChart>
      <c:catAx>
        <c:axId val="1565386528"/>
        <c:scaling>
          <c:orientation val="minMax"/>
        </c:scaling>
        <c:delete val="1"/>
        <c:axPos val="b"/>
        <c:numFmt formatCode="General" sourceLinked="1"/>
        <c:majorTickMark val="out"/>
        <c:minorTickMark val="none"/>
        <c:tickLblPos val="nextTo"/>
        <c:crossAx val="1565388160"/>
        <c:crosses val="autoZero"/>
        <c:auto val="1"/>
        <c:lblAlgn val="ctr"/>
        <c:lblOffset val="100"/>
        <c:noMultiLvlLbl val="0"/>
      </c:catAx>
      <c:valAx>
        <c:axId val="1565388160"/>
        <c:scaling>
          <c:orientation val="minMax"/>
          <c:max val="200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65386528"/>
        <c:crosses val="autoZero"/>
        <c:crossBetween val="between"/>
      </c:valAx>
      <c:spPr>
        <a:noFill/>
        <a:ln>
          <a:noFill/>
        </a:ln>
        <a:effectLst/>
      </c:spPr>
    </c:plotArea>
    <c:legend>
      <c:legendPos val="l"/>
      <c:layout>
        <c:manualLayout>
          <c:xMode val="edge"/>
          <c:yMode val="edge"/>
          <c:x val="0.12295241568103345"/>
          <c:y val="0.91333800079444249"/>
          <c:w val="0.84767888392413171"/>
          <c:h val="5.1386621214274994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mn-cs"/>
            </a:defRPr>
          </a:pPr>
          <a:endParaRPr lang="en-US"/>
        </a:p>
      </c:txPr>
    </c:legend>
    <c:plotVisOnly val="1"/>
    <c:dispBlanksAs val="gap"/>
    <c:showDLblsOverMax val="0"/>
  </c:chart>
  <c:spPr>
    <a:gradFill>
      <a:gsLst>
        <a:gs pos="0">
          <a:srgbClr val="FFEFD1"/>
        </a:gs>
        <a:gs pos="100000">
          <a:srgbClr val="FFFFFF"/>
        </a:gs>
        <a:gs pos="100000">
          <a:schemeClr val="accent1">
            <a:lumMod val="45000"/>
            <a:lumOff val="55000"/>
          </a:schemeClr>
        </a:gs>
        <a:gs pos="100000">
          <a:schemeClr val="accent1">
            <a:lumMod val="30000"/>
            <a:lumOff val="70000"/>
          </a:schemeClr>
        </a:gs>
      </a:gsLst>
      <a:lin ang="16200000" scaled="0"/>
    </a:gradFill>
    <a:ln w="9525" cap="flat" cmpd="sng" algn="ctr">
      <a:solidFill>
        <a:schemeClr val="tx1">
          <a:lumMod val="15000"/>
          <a:lumOff val="85000"/>
        </a:schemeClr>
      </a:solidFill>
      <a:round/>
    </a:ln>
    <a:effectLst/>
    <a:scene3d>
      <a:camera prst="orthographicFront"/>
      <a:lightRig rig="threePt" dir="t"/>
    </a:scene3d>
    <a:sp3d>
      <a:bevelT prst="relaxedInset"/>
    </a:sp3d>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baseline="0">
                <a:solidFill>
                  <a:schemeClr val="accent1">
                    <a:lumMod val="75000"/>
                  </a:schemeClr>
                </a:solidFill>
                <a:latin typeface="Times New Roman" panose="02020603050405020304" pitchFamily="18" charset="0"/>
                <a:ea typeface="+mn-ea"/>
                <a:cs typeface="Times New Roman" panose="02020603050405020304" pitchFamily="18" charset="0"/>
              </a:defRPr>
            </a:pPr>
            <a:r>
              <a:rPr lang="bg-BG" sz="1400" b="1" i="0" cap="none" baseline="0">
                <a:solidFill>
                  <a:sysClr val="windowText" lastClr="000000"/>
                </a:solidFill>
                <a:effectLst/>
              </a:rPr>
              <a:t>Решения на КЗЛД по постъпили уведомления за нарушение на сигурността на данните</a:t>
            </a:r>
            <a:endParaRPr lang="bg-BG" sz="1400" cap="none">
              <a:solidFill>
                <a:sysClr val="windowText" lastClr="000000"/>
              </a:solidFill>
              <a:effectLst/>
            </a:endParaRPr>
          </a:p>
        </c:rich>
      </c:tx>
      <c:layout>
        <c:manualLayout>
          <c:xMode val="edge"/>
          <c:yMode val="edge"/>
          <c:x val="0.16271347991048901"/>
          <c:y val="6.3990334541515703E-2"/>
        </c:manualLayout>
      </c:layout>
      <c:overlay val="0"/>
      <c:spPr>
        <a:noFill/>
        <a:ln>
          <a:noFill/>
        </a:ln>
        <a:effectLst/>
      </c:spPr>
    </c:title>
    <c:autoTitleDeleted val="0"/>
    <c:view3D>
      <c:rotX val="30"/>
      <c:rotY val="4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635917997687499"/>
          <c:y val="0.16186976627921501"/>
          <c:w val="0.71578487362446597"/>
          <c:h val="0.829059938936205"/>
        </c:manualLayout>
      </c:layout>
      <c:pie3DChart>
        <c:varyColors val="1"/>
        <c:ser>
          <c:idx val="0"/>
          <c:order val="0"/>
          <c:tx>
            <c:strRef>
              <c:f>Sheet1!$B$1</c:f>
              <c:strCache>
                <c:ptCount val="1"/>
                <c:pt idx="0">
                  <c:v>администратори или обработващи лични данни уведомили КЗЛД за определено длъжностно лице по защита на данните</c:v>
                </c:pt>
              </c:strCache>
            </c:strRef>
          </c:tx>
          <c:spPr>
            <a:scene3d>
              <a:camera prst="orthographicFront"/>
              <a:lightRig rig="threePt" dir="t"/>
            </a:scene3d>
            <a:sp3d>
              <a:bevelT w="127000" h="127000"/>
              <a:bevelB w="127000" h="127000"/>
            </a:sp3d>
          </c:spPr>
          <c:explosion val="25"/>
          <c:dPt>
            <c:idx val="0"/>
            <c:bubble3D val="0"/>
            <c:explosion val="0"/>
            <c:spPr>
              <a:solidFill>
                <a:srgbClr val="00B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A2A-4D6F-85E1-D37F026428F1}"/>
              </c:ext>
            </c:extLst>
          </c:dPt>
          <c:dPt>
            <c:idx val="1"/>
            <c:bubble3D val="0"/>
            <c:explosion val="7"/>
            <c:spPr>
              <a:solidFill>
                <a:srgbClr val="FFFF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A2A-4D6F-85E1-D37F026428F1}"/>
              </c:ext>
            </c:extLst>
          </c:dPt>
          <c:dPt>
            <c:idx val="2"/>
            <c:bubble3D val="0"/>
            <c:spPr>
              <a:solidFill>
                <a:srgbClr val="FF0000"/>
              </a:solidFill>
              <a:scene3d>
                <a:camera prst="orthographicFront"/>
                <a:lightRig rig="threePt" dir="t"/>
              </a:scene3d>
              <a:sp3d>
                <a:bevelT w="127000" h="127000"/>
                <a:bevelB w="127000" h="127000"/>
              </a:sp3d>
            </c:spPr>
            <c:extLst>
              <c:ext xmlns:c16="http://schemas.microsoft.com/office/drawing/2014/chart" uri="{C3380CC4-5D6E-409C-BE32-E72D297353CC}">
                <c16:uniqueId val="{00000005-CA2A-4D6F-85E1-D37F026428F1}"/>
              </c:ext>
            </c:extLst>
          </c:dPt>
          <c:dPt>
            <c:idx val="3"/>
            <c:bubble3D val="0"/>
            <c:spPr>
              <a:solidFill>
                <a:srgbClr val="0070C0"/>
              </a:solidFill>
              <a:scene3d>
                <a:camera prst="orthographicFront"/>
                <a:lightRig rig="threePt" dir="t"/>
              </a:scene3d>
              <a:sp3d>
                <a:bevelT w="127000" h="127000"/>
                <a:bevelB w="127000" h="127000"/>
              </a:sp3d>
            </c:spPr>
            <c:extLst>
              <c:ext xmlns:c16="http://schemas.microsoft.com/office/drawing/2014/chart" uri="{C3380CC4-5D6E-409C-BE32-E72D297353CC}">
                <c16:uniqueId val="{00000007-CA2A-4D6F-85E1-D37F026428F1}"/>
              </c:ext>
            </c:extLst>
          </c:dPt>
          <c:dPt>
            <c:idx val="4"/>
            <c:bubble3D val="0"/>
            <c:spPr>
              <a:solidFill>
                <a:srgbClr val="7030A0"/>
              </a:solidFill>
              <a:scene3d>
                <a:camera prst="orthographicFront"/>
                <a:lightRig rig="threePt" dir="t"/>
              </a:scene3d>
              <a:sp3d>
                <a:bevelT w="127000" h="127000"/>
                <a:bevelB w="127000" h="127000"/>
              </a:sp3d>
            </c:spPr>
            <c:extLst>
              <c:ext xmlns:c16="http://schemas.microsoft.com/office/drawing/2014/chart" uri="{C3380CC4-5D6E-409C-BE32-E72D297353CC}">
                <c16:uniqueId val="{00000009-CA2A-4D6F-85E1-D37F026428F1}"/>
              </c:ext>
            </c:extLst>
          </c:dPt>
          <c:dLbls>
            <c:dLbl>
              <c:idx val="0"/>
              <c:layout>
                <c:manualLayout>
                  <c:x val="-1.3400335008375199E-2"/>
                  <c:y val="-3.3257747543461898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sz="1100" baseline="0">
                        <a:solidFill>
                          <a:sysClr val="windowText" lastClr="000000"/>
                        </a:solidFill>
                        <a:latin typeface="Times New Roman" panose="02020603050405020304" pitchFamily="18" charset="0"/>
                        <a:cs typeface="Times New Roman" panose="02020603050405020304" pitchFamily="18" charset="0"/>
                      </a:rPr>
                      <a:t> </a:t>
                    </a:r>
                  </a:p>
                  <a:p>
                    <a:pPr>
                      <a:defRPr sz="1000" b="1" i="0" u="none" strike="noStrike" kern="1200" spc="0" baseline="0">
                        <a:solidFill>
                          <a:schemeClr val="accent1"/>
                        </a:solidFill>
                        <a:latin typeface="+mn-lt"/>
                        <a:ea typeface="+mn-ea"/>
                        <a:cs typeface="+mn-cs"/>
                      </a:defRPr>
                    </a:pPr>
                    <a:fld id="{91CEF92E-12A1-48FA-B8ED-97CA6FEA61BC}" type="PERCENTAGE">
                      <a:rPr lang="en-US" sz="1100" baseline="0">
                        <a:solidFill>
                          <a:sysClr val="windowText" lastClr="000000"/>
                        </a:solidFill>
                        <a:latin typeface="Times New Roman" panose="02020603050405020304" pitchFamily="18" charset="0"/>
                        <a:cs typeface="Times New Roman" panose="02020603050405020304" pitchFamily="18" charset="0"/>
                      </a:rPr>
                      <a:pPr>
                        <a:defRPr sz="1000" b="1" i="0" u="none" strike="noStrike" kern="1200" spc="0" baseline="0">
                          <a:solidFill>
                            <a:schemeClr val="accent1"/>
                          </a:solidFill>
                          <a:latin typeface="+mn-lt"/>
                          <a:ea typeface="+mn-ea"/>
                          <a:cs typeface="+mn-cs"/>
                        </a:defRPr>
                      </a:pPr>
                      <a:t>[PERCENTAGE]</a:t>
                    </a:fld>
                    <a:endParaRPr lang="en-US"/>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A2A-4D6F-85E1-D37F026428F1}"/>
                </c:ext>
              </c:extLst>
            </c:dLbl>
            <c:dLbl>
              <c:idx val="1"/>
              <c:layout>
                <c:manualLayout>
                  <c:x val="0.15410385259631501"/>
                  <c:y val="-9.3726379440665197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sz="1100" baseline="0">
                        <a:solidFill>
                          <a:sysClr val="windowText" lastClr="000000"/>
                        </a:solidFill>
                        <a:latin typeface="Times New Roman" panose="02020603050405020304" pitchFamily="18" charset="0"/>
                        <a:cs typeface="Times New Roman" panose="02020603050405020304" pitchFamily="18" charset="0"/>
                      </a:rPr>
                      <a:t> </a:t>
                    </a:r>
                  </a:p>
                  <a:p>
                    <a:pPr>
                      <a:defRPr sz="1000" b="1" i="0" u="none" strike="noStrike" kern="1200" spc="0" baseline="0">
                        <a:solidFill>
                          <a:schemeClr val="accent1"/>
                        </a:solidFill>
                        <a:latin typeface="+mn-lt"/>
                        <a:ea typeface="+mn-ea"/>
                        <a:cs typeface="+mn-cs"/>
                      </a:defRPr>
                    </a:pPr>
                    <a:fld id="{89E30BD1-29C3-4DBC-A247-E27F2BD3D8D6}" type="PERCENTAGE">
                      <a:rPr lang="en-US" sz="1100" baseline="0">
                        <a:solidFill>
                          <a:sysClr val="windowText" lastClr="000000"/>
                        </a:solidFill>
                        <a:latin typeface="Times New Roman" panose="02020603050405020304" pitchFamily="18" charset="0"/>
                        <a:cs typeface="Times New Roman" panose="02020603050405020304" pitchFamily="18" charset="0"/>
                      </a:rPr>
                      <a:pPr>
                        <a:defRPr sz="1000" b="1" i="0" u="none" strike="noStrike" kern="1200" spc="0" baseline="0">
                          <a:solidFill>
                            <a:schemeClr val="accent1"/>
                          </a:solidFill>
                          <a:latin typeface="+mn-lt"/>
                          <a:ea typeface="+mn-ea"/>
                          <a:cs typeface="+mn-cs"/>
                        </a:defRPr>
                      </a:pPr>
                      <a:t>[PERCENTAGE]</a:t>
                    </a:fld>
                    <a:endParaRPr lang="en-US"/>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A2A-4D6F-85E1-D37F026428F1}"/>
                </c:ext>
              </c:extLst>
            </c:dLbl>
            <c:dLbl>
              <c:idx val="2"/>
              <c:tx>
                <c:rich>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fld id="{8DA6D3BA-3B67-4B58-AA58-FED64AE2FACC}" type="PERCENTAGE">
                      <a:rPr lang="en-US" sz="1200" b="1" baseline="0">
                        <a:latin typeface="Times New Roman" panose="02020603050405020304" pitchFamily="18" charset="0"/>
                        <a:cs typeface="Times New Roman" panose="02020603050405020304" pitchFamily="18" charset="0"/>
                      </a:rPr>
                      <a:pPr>
                        <a:defRPr sz="1200" b="1">
                          <a:latin typeface="Times New Roman" panose="02020603050405020304" pitchFamily="18" charset="0"/>
                          <a:cs typeface="Times New Roman" panose="02020603050405020304" pitchFamily="18" charset="0"/>
                        </a:defRPr>
                      </a:pPr>
                      <a:t>[PERCENTAGE]</a:t>
                    </a:fld>
                    <a:endParaRPr lang="en-US"/>
                  </a:p>
                </c:rich>
              </c:tx>
              <c:spPr>
                <a:noFill/>
                <a:ln>
                  <a:noFill/>
                </a:ln>
                <a:effectLst/>
              </c:sp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A2A-4D6F-85E1-D37F026428F1}"/>
                </c:ext>
              </c:extLst>
            </c:dLbl>
            <c:dLbl>
              <c:idx val="3"/>
              <c:tx>
                <c:rich>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fld id="{BE659413-B256-425F-9591-8EE9C67B42C9}" type="PERCENTAGE">
                      <a:rPr lang="en-US" sz="1200" b="1" baseline="0">
                        <a:latin typeface="Times New Roman" panose="02020603050405020304" pitchFamily="18" charset="0"/>
                        <a:cs typeface="Times New Roman" panose="02020603050405020304" pitchFamily="18" charset="0"/>
                      </a:rPr>
                      <a:pPr>
                        <a:defRPr sz="1200" b="1">
                          <a:latin typeface="Times New Roman" panose="02020603050405020304" pitchFamily="18" charset="0"/>
                          <a:cs typeface="Times New Roman" panose="02020603050405020304" pitchFamily="18" charset="0"/>
                        </a:defRPr>
                      </a:pPr>
                      <a:t>[PERCENTAGE]</a:t>
                    </a:fld>
                    <a:endParaRPr lang="en-US"/>
                  </a:p>
                </c:rich>
              </c:tx>
              <c:spPr>
                <a:noFill/>
                <a:ln>
                  <a:noFill/>
                </a:ln>
                <a:effectLst/>
              </c:sp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CA2A-4D6F-85E1-D37F026428F1}"/>
                </c:ext>
              </c:extLst>
            </c:dLbl>
            <c:dLbl>
              <c:idx val="4"/>
              <c:layout>
                <c:manualLayout>
                  <c:x val="6.6477619945748004E-3"/>
                  <c:y val="-1.51240618732182E-2"/>
                </c:manualLayout>
              </c:layout>
              <c:tx>
                <c:rich>
                  <a:bodyPr/>
                  <a:lstStyle/>
                  <a:p>
                    <a:r>
                      <a:rPr lang="en-US" baseline="0"/>
                      <a:t> </a:t>
                    </a:r>
                    <a:fld id="{D005A771-81E3-4A57-853A-E722E966F752}" type="PERCENTAGE">
                      <a:rPr lang="en-US" sz="1100" b="1" baseline="0">
                        <a:latin typeface="Times New Roman" panose="02020603050405020304" pitchFamily="18" charset="0"/>
                        <a:cs typeface="Times New Roman" panose="02020603050405020304" pitchFamily="18" charset="0"/>
                      </a:rPr>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CA2A-4D6F-85E1-D37F026428F1}"/>
                </c:ext>
              </c:extLst>
            </c:dLbl>
            <c:spPr>
              <a:noFill/>
              <a:ln>
                <a:noFill/>
              </a:ln>
              <a:effectLst/>
            </c:spPr>
            <c:dLblPos val="outEnd"/>
            <c:showLegendKey val="0"/>
            <c:showVal val="1"/>
            <c:showCatName val="1"/>
            <c:showSerName val="0"/>
            <c:showPercent val="1"/>
            <c:showBubbleSize val="0"/>
            <c:showLeaderLines val="0"/>
            <c:extLst>
              <c:ext xmlns:c15="http://schemas.microsoft.com/office/drawing/2012/chart" uri="{CE6537A1-D6FC-4f65-9D91-7224C49458BB}"/>
            </c:extLst>
          </c:dLbls>
          <c:cat>
            <c:strRef>
              <c:f>Sheet1!$A$2:$A$6</c:f>
              <c:strCache>
                <c:ptCount val="5"/>
                <c:pt idx="0">
                  <c:v>ниско ниво на риск</c:v>
                </c:pt>
                <c:pt idx="1">
                  <c:v>средно ниво на риск</c:v>
                </c:pt>
                <c:pt idx="2">
                  <c:v>високо ниво на риск</c:v>
                </c:pt>
                <c:pt idx="3">
                  <c:v>КЗЛД е ЗНО</c:v>
                </c:pt>
                <c:pt idx="4">
                  <c:v>други</c:v>
                </c:pt>
              </c:strCache>
            </c:strRef>
          </c:cat>
          <c:val>
            <c:numRef>
              <c:f>Sheet1!$B$2:$B$6</c:f>
              <c:numCache>
                <c:formatCode>General</c:formatCode>
                <c:ptCount val="5"/>
                <c:pt idx="0">
                  <c:v>16</c:v>
                </c:pt>
                <c:pt idx="1">
                  <c:v>27</c:v>
                </c:pt>
                <c:pt idx="2">
                  <c:v>8</c:v>
                </c:pt>
                <c:pt idx="3">
                  <c:v>15</c:v>
                </c:pt>
                <c:pt idx="4">
                  <c:v>14</c:v>
                </c:pt>
              </c:numCache>
            </c:numRef>
          </c:val>
          <c:extLst>
            <c:ext xmlns:c16="http://schemas.microsoft.com/office/drawing/2014/chart" uri="{C3380CC4-5D6E-409C-BE32-E72D297353CC}">
              <c16:uniqueId val="{0000000A-CA2A-4D6F-85E1-D37F026428F1}"/>
            </c:ext>
          </c:extLst>
        </c:ser>
        <c:dLbls>
          <c:showLegendKey val="0"/>
          <c:showVal val="0"/>
          <c:showCatName val="0"/>
          <c:showSerName val="0"/>
          <c:showPercent val="1"/>
          <c:showBubbleSize val="0"/>
          <c:showLeaderLines val="0"/>
        </c:dLbls>
      </c:pie3DChart>
    </c:plotArea>
    <c:legend>
      <c:legendPos val="b"/>
      <c:layout>
        <c:manualLayout>
          <c:xMode val="edge"/>
          <c:yMode val="edge"/>
          <c:x val="7.456723688433417E-2"/>
          <c:y val="0.82416602686568929"/>
          <c:w val="0.88883296623097996"/>
          <c:h val="0.1486230887805691"/>
        </c:manualLayout>
      </c:layout>
      <c:overlay val="0"/>
      <c:txPr>
        <a:bodyPr/>
        <a:lstStyle/>
        <a:p>
          <a:pPr>
            <a:defRPr sz="1200" b="1" i="0" baseline="0">
              <a:latin typeface="Times New Roman" panose="02020603050405020304" pitchFamily="18" charset="0"/>
              <a:cs typeface="Times New Roman" panose="02020603050405020304" pitchFamily="18" charset="0"/>
            </a:defRPr>
          </a:pPr>
          <a:endParaRPr lang="en-US"/>
        </a:p>
      </c:txPr>
    </c:legend>
    <c:plotVisOnly val="1"/>
    <c:dispBlanksAs val="zero"/>
    <c:showDLblsOverMax val="0"/>
  </c:chart>
  <c:spPr>
    <a:gradFill flip="none" rotWithShape="1">
      <a:gsLst>
        <a:gs pos="0">
          <a:srgbClr val="FFEFD1"/>
        </a:gs>
        <a:gs pos="100000">
          <a:srgbClr val="FFFFFF"/>
        </a:gs>
      </a:gsLst>
      <a:lin ang="16200000" scaled="0"/>
      <a:tileRect/>
    </a:gradFill>
    <a:effectLst/>
    <a:scene3d>
      <a:camera prst="orthographicFront"/>
      <a:lightRig rig="threePt" dir="t"/>
    </a:scene3d>
    <a:sp3d>
      <a:bevelT prst="relaxedInset"/>
    </a:sp3d>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 xmlns="b3dd8164-fe87-4901-a150-756ada24181b">192127</Document>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B2240CEB3EB96429049301A33A6485C" ma:contentTypeVersion="1" ma:contentTypeDescription="Създаване на нов документ" ma:contentTypeScope="" ma:versionID="8cc3c6d77b7074966ae8df8566929994">
  <xsd:schema xmlns:xsd="http://www.w3.org/2001/XMLSchema" xmlns:xs="http://www.w3.org/2001/XMLSchema" xmlns:p="http://schemas.microsoft.com/office/2006/metadata/properties" xmlns:ns2="b3dd8164-fe87-4901-a150-756ada24181b" targetNamespace="http://schemas.microsoft.com/office/2006/metadata/properties" ma:root="true" ma:fieldsID="ea1c363efe25aa3292f7b755c6374d49" ns2:_="">
    <xsd:import namespace="b3dd8164-fe87-4901-a150-756ada24181b"/>
    <xsd:element name="properties">
      <xsd:complexType>
        <xsd:sequence>
          <xsd:element name="documentManagement">
            <xsd:complexType>
              <xsd:all>
                <xsd:element ref="ns2: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d8164-fe87-4901-a150-756ada24181b" elementFormDefault="qualified">
    <xsd:import namespace="http://schemas.microsoft.com/office/2006/documentManagement/types"/>
    <xsd:import namespace="http://schemas.microsoft.com/office/infopath/2007/PartnerControls"/>
    <xsd:element name="Document" ma:index="8" nillable="true" ma:displayName="Документ" ma:indexed="true" ma:list="11cda0ce-074c-4855-9e0f-f2add23ebc7f" ma:internalName="Documen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890C9-3D04-424C-8013-F4E2AE0ABE8E}">
  <ds:schemaRefs>
    <ds:schemaRef ds:uri="http://schemas.microsoft.com/office/2006/metadata/properties"/>
    <ds:schemaRef ds:uri="http://schemas.microsoft.com/office/infopath/2007/PartnerControls"/>
    <ds:schemaRef ds:uri="b3dd8164-fe87-4901-a150-756ada24181b"/>
  </ds:schemaRefs>
</ds:datastoreItem>
</file>

<file path=customXml/itemProps2.xml><?xml version="1.0" encoding="utf-8"?>
<ds:datastoreItem xmlns:ds="http://schemas.openxmlformats.org/officeDocument/2006/customXml" ds:itemID="{10B48669-043A-4F51-B041-0D96BBDF7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d8164-fe87-4901-a150-756ada241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152846-F02A-41C4-8974-12644CB67C24}">
  <ds:schemaRefs>
    <ds:schemaRef ds:uri="http://schemas.microsoft.com/sharepoint/v3/contenttype/forms"/>
  </ds:schemaRefs>
</ds:datastoreItem>
</file>

<file path=customXml/itemProps4.xml><?xml version="1.0" encoding="utf-8"?>
<ds:datastoreItem xmlns:ds="http://schemas.openxmlformats.org/officeDocument/2006/customXml" ds:itemID="{556D9805-2DBC-44CC-8C8C-E0634C42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4393</TotalTime>
  <Pages>1</Pages>
  <Words>51959</Words>
  <Characters>296169</Characters>
  <Application>Microsoft Office Word</Application>
  <DocSecurity>0</DocSecurity>
  <Lines>2468</Lines>
  <Paragraphs>694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Desislava Toshkova</dc:creator>
  <cp:keywords/>
  <dc:description/>
  <cp:lastModifiedBy>Nadezhda Borisova</cp:lastModifiedBy>
  <cp:revision>2080</cp:revision>
  <cp:lastPrinted>2023-03-30T13:39:00Z</cp:lastPrinted>
  <dcterms:created xsi:type="dcterms:W3CDTF">2023-03-14T06:29:00Z</dcterms:created>
  <dcterms:modified xsi:type="dcterms:W3CDTF">2023-03-30T13:40:00Z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0x0101007B2240CEB3EB96429049301A33A6485C</vt:lpwstr>
  </property>
  <property fmtid="{D5CDD505-2E9C-101B-9397-08002B2CF9AE}" pid="3" name="_Audience">
    <vt:lpwstr>9;#Деловодство;#5;#Собственици;#7;#Посетители;#9;#Деловодство;#5;#Собственици;#7;#Посетители</vt:lpwstr>
  </property>
</Properties>
</file>