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906AF0" w:rsidRDefault="00720140" w:rsidP="00906AF0">
      <w:pPr>
        <w:pStyle w:val="ListParagraph"/>
        <w:spacing w:after="0" w:line="360" w:lineRule="auto"/>
        <w:jc w:val="center"/>
        <w:rPr>
          <w:rFonts w:eastAsiaTheme="minorHAnsi"/>
          <w:b/>
          <w:color w:val="auto"/>
          <w:szCs w:val="24"/>
        </w:rPr>
      </w:pPr>
      <w:r w:rsidRPr="00720140">
        <w:rPr>
          <w:b/>
          <w:color w:val="auto"/>
          <w:szCs w:val="24"/>
          <w:lang w:val="en"/>
        </w:rPr>
        <w:t xml:space="preserve">RULES </w:t>
      </w:r>
      <w:r w:rsidR="00471CE3">
        <w:rPr>
          <w:b/>
          <w:color w:val="auto"/>
          <w:szCs w:val="24"/>
          <w:lang w:val="en"/>
        </w:rPr>
        <w:t>ON</w:t>
      </w:r>
      <w:r w:rsidRPr="00720140">
        <w:rPr>
          <w:b/>
          <w:color w:val="auto"/>
          <w:szCs w:val="24"/>
          <w:lang w:val="en"/>
        </w:rPr>
        <w:t xml:space="preserve"> THE PROVISION OF SUPPORT MEASURES PURSUANT TO ARTICLE 35</w:t>
      </w:r>
      <w:r w:rsidR="00471CE3">
        <w:rPr>
          <w:b/>
          <w:color w:val="auto"/>
          <w:szCs w:val="24"/>
          <w:lang w:val="en"/>
        </w:rPr>
        <w:t xml:space="preserve"> (</w:t>
      </w:r>
      <w:r w:rsidRPr="00720140">
        <w:rPr>
          <w:b/>
          <w:color w:val="auto"/>
          <w:szCs w:val="24"/>
          <w:lang w:val="en"/>
        </w:rPr>
        <w:t>1</w:t>
      </w:r>
      <w:r w:rsidR="00471CE3">
        <w:rPr>
          <w:b/>
          <w:color w:val="auto"/>
          <w:szCs w:val="24"/>
          <w:lang w:val="en"/>
        </w:rPr>
        <w:t>)</w:t>
      </w:r>
      <w:r w:rsidRPr="00720140">
        <w:rPr>
          <w:b/>
          <w:color w:val="auto"/>
          <w:szCs w:val="24"/>
          <w:lang w:val="en"/>
        </w:rPr>
        <w:t xml:space="preserve">, </w:t>
      </w:r>
      <w:r w:rsidR="00471CE3">
        <w:rPr>
          <w:b/>
          <w:color w:val="auto"/>
          <w:szCs w:val="24"/>
          <w:lang w:val="en"/>
        </w:rPr>
        <w:t xml:space="preserve">POINTS </w:t>
      </w:r>
      <w:r w:rsidRPr="00720140">
        <w:rPr>
          <w:b/>
          <w:color w:val="auto"/>
          <w:szCs w:val="24"/>
          <w:lang w:val="en"/>
        </w:rPr>
        <w:t xml:space="preserve">1 AND 2 OF THE ACT </w:t>
      </w:r>
      <w:r w:rsidR="00471CE3" w:rsidRPr="00471CE3">
        <w:rPr>
          <w:b/>
          <w:bCs/>
          <w:color w:val="auto"/>
          <w:szCs w:val="24"/>
          <w:lang w:val="en-US"/>
        </w:rPr>
        <w:t xml:space="preserve">ON PROTECTION OF PERSONS </w:t>
      </w:r>
      <w:r w:rsidR="00471CE3" w:rsidRPr="00471CE3">
        <w:rPr>
          <w:b/>
          <w:bCs/>
          <w:color w:val="auto"/>
          <w:szCs w:val="24"/>
          <w:lang w:val="en"/>
        </w:rPr>
        <w:t xml:space="preserve">REPORTING OR PUBLICLY DISCLOSING INFORMATION ON BREACHES </w:t>
      </w:r>
      <w:r w:rsidR="00471CE3" w:rsidRPr="00471CE3">
        <w:rPr>
          <w:b/>
          <w:bCs/>
          <w:color w:val="auto"/>
          <w:szCs w:val="24"/>
          <w:lang w:val="en-US"/>
        </w:rPr>
        <w:t>(</w:t>
      </w:r>
      <w:r w:rsidR="00077DFC">
        <w:rPr>
          <w:b/>
          <w:bCs/>
          <w:color w:val="auto"/>
          <w:szCs w:val="24"/>
          <w:lang w:val="en-US"/>
        </w:rPr>
        <w:t>WHISTLEBLOWER PROTECTION ACT</w:t>
      </w:r>
      <w:r w:rsidRPr="00720140">
        <w:rPr>
          <w:b/>
          <w:color w:val="auto"/>
          <w:szCs w:val="24"/>
          <w:lang w:val="en"/>
        </w:rPr>
        <w:t>)</w:t>
      </w:r>
    </w:p>
    <w:p w:rsidR="00906AF0" w:rsidRPr="00906AF0" w:rsidRDefault="00906AF0" w:rsidP="00906AF0">
      <w:pPr>
        <w:spacing w:after="0" w:line="360" w:lineRule="auto"/>
        <w:ind w:left="720" w:right="0" w:firstLine="0"/>
        <w:contextualSpacing/>
        <w:jc w:val="center"/>
        <w:rPr>
          <w:rFonts w:eastAsiaTheme="minorHAnsi"/>
          <w:b/>
          <w:color w:val="FF0000"/>
          <w:szCs w:val="24"/>
          <w:lang w:val="en-US"/>
        </w:rPr>
      </w:pPr>
    </w:p>
    <w:p w:rsidR="004B5090" w:rsidRPr="00C43F0D" w:rsidRDefault="004B5090" w:rsidP="004B5090">
      <w:pPr>
        <w:spacing w:after="160" w:line="276" w:lineRule="auto"/>
        <w:ind w:left="0" w:right="0" w:firstLine="720"/>
        <w:contextualSpacing/>
        <w:jc w:val="center"/>
        <w:rPr>
          <w:b/>
          <w:color w:val="auto"/>
          <w:szCs w:val="24"/>
        </w:rPr>
      </w:pPr>
    </w:p>
    <w:p w:rsidR="00C43F0D" w:rsidRPr="00C43F0D" w:rsidRDefault="00720140" w:rsidP="00906AF0">
      <w:pPr>
        <w:spacing w:after="160" w:line="360" w:lineRule="auto"/>
        <w:ind w:left="0" w:right="0" w:firstLine="720"/>
        <w:contextualSpacing/>
        <w:rPr>
          <w:bCs/>
          <w:color w:val="auto"/>
          <w:szCs w:val="24"/>
        </w:rPr>
      </w:pPr>
      <w:r w:rsidRPr="00720140">
        <w:rPr>
          <w:szCs w:val="24"/>
          <w:lang w:val="en"/>
        </w:rPr>
        <w:t xml:space="preserve">The </w:t>
      </w:r>
      <w:r w:rsidR="00471CE3" w:rsidRPr="00471CE3">
        <w:rPr>
          <w:szCs w:val="24"/>
          <w:lang w:val="en"/>
        </w:rPr>
        <w:t xml:space="preserve">Commission for Personal Data Protection </w:t>
      </w:r>
      <w:r w:rsidRPr="00720140">
        <w:rPr>
          <w:szCs w:val="24"/>
          <w:lang w:val="en"/>
        </w:rPr>
        <w:t>(</w:t>
      </w:r>
      <w:r w:rsidR="00471CE3">
        <w:rPr>
          <w:szCs w:val="24"/>
          <w:lang w:val="en"/>
        </w:rPr>
        <w:t>“</w:t>
      </w:r>
      <w:proofErr w:type="spellStart"/>
      <w:r w:rsidR="00471CE3" w:rsidRPr="00471CE3">
        <w:rPr>
          <w:szCs w:val="24"/>
          <w:lang w:val="en"/>
        </w:rPr>
        <w:t>CPDP</w:t>
      </w:r>
      <w:proofErr w:type="spellEnd"/>
      <w:r w:rsidR="00471CE3">
        <w:rPr>
          <w:szCs w:val="24"/>
          <w:lang w:val="en"/>
        </w:rPr>
        <w:t>”</w:t>
      </w:r>
      <w:r w:rsidRPr="00720140">
        <w:rPr>
          <w:szCs w:val="24"/>
          <w:lang w:val="en"/>
        </w:rPr>
        <w:t xml:space="preserve">) provides support measures </w:t>
      </w:r>
      <w:r w:rsidR="00077DFC">
        <w:rPr>
          <w:szCs w:val="24"/>
          <w:lang w:val="en"/>
        </w:rPr>
        <w:t>to</w:t>
      </w:r>
      <w:r w:rsidRPr="00720140">
        <w:rPr>
          <w:szCs w:val="24"/>
          <w:lang w:val="en"/>
        </w:rPr>
        <w:t xml:space="preserve"> the persons referred to in Article 5 of the </w:t>
      </w:r>
      <w:r w:rsidR="00077DFC">
        <w:rPr>
          <w:bCs/>
          <w:szCs w:val="24"/>
          <w:lang w:val="en-US"/>
        </w:rPr>
        <w:t>Whistleblower Protection Act</w:t>
      </w:r>
      <w:r w:rsidRPr="00720140">
        <w:rPr>
          <w:szCs w:val="24"/>
          <w:lang w:val="en"/>
        </w:rPr>
        <w:t>, consisting of</w:t>
      </w:r>
      <w:r w:rsidR="00C43F0D" w:rsidRPr="00C43F0D">
        <w:rPr>
          <w:bCs/>
          <w:color w:val="auto"/>
          <w:szCs w:val="24"/>
        </w:rPr>
        <w:t>:</w:t>
      </w:r>
    </w:p>
    <w:p w:rsidR="00C43F0D" w:rsidRPr="00C43F0D" w:rsidRDefault="00720140" w:rsidP="00906AF0">
      <w:pPr>
        <w:pStyle w:val="ListParagraph"/>
        <w:numPr>
          <w:ilvl w:val="1"/>
          <w:numId w:val="1"/>
        </w:numPr>
        <w:spacing w:after="160" w:line="360" w:lineRule="auto"/>
        <w:ind w:left="0" w:right="0" w:firstLine="1134"/>
        <w:rPr>
          <w:rFonts w:eastAsiaTheme="minorHAnsi"/>
          <w:bCs/>
          <w:color w:val="auto"/>
          <w:szCs w:val="24"/>
        </w:rPr>
      </w:pPr>
      <w:r w:rsidRPr="00720140">
        <w:rPr>
          <w:bCs/>
          <w:color w:val="auto"/>
          <w:szCs w:val="24"/>
          <w:lang w:val="en"/>
        </w:rPr>
        <w:t xml:space="preserve">On the Commission’s website, </w:t>
      </w:r>
      <w:r w:rsidR="00C94860">
        <w:rPr>
          <w:bCs/>
          <w:color w:val="auto"/>
          <w:szCs w:val="24"/>
          <w:lang w:val="en"/>
        </w:rPr>
        <w:t>in the</w:t>
      </w:r>
      <w:r w:rsidRPr="00720140">
        <w:rPr>
          <w:bCs/>
          <w:color w:val="auto"/>
          <w:szCs w:val="24"/>
          <w:lang w:val="en"/>
        </w:rPr>
        <w:t xml:space="preserve"> </w:t>
      </w:r>
      <w:r w:rsidR="00077DFC">
        <w:rPr>
          <w:bCs/>
          <w:color w:val="auto"/>
          <w:szCs w:val="24"/>
          <w:lang w:val="en-US"/>
        </w:rPr>
        <w:t>Whistleblower Protection Act</w:t>
      </w:r>
      <w:r w:rsidR="00C94860">
        <w:rPr>
          <w:bCs/>
          <w:color w:val="auto"/>
          <w:szCs w:val="24"/>
          <w:lang w:val="en-US"/>
        </w:rPr>
        <w:t xml:space="preserve"> </w:t>
      </w:r>
      <w:r w:rsidRPr="00720140">
        <w:rPr>
          <w:bCs/>
          <w:color w:val="auto"/>
          <w:szCs w:val="24"/>
          <w:lang w:val="en"/>
        </w:rPr>
        <w:t>section</w:t>
      </w:r>
      <w:r w:rsidR="00382516">
        <w:rPr>
          <w:bCs/>
          <w:color w:val="auto"/>
          <w:szCs w:val="24"/>
          <w:lang w:val="en"/>
        </w:rPr>
        <w:t>,</w:t>
      </w:r>
      <w:r w:rsidRPr="00720140">
        <w:rPr>
          <w:bCs/>
          <w:color w:val="auto"/>
          <w:szCs w:val="24"/>
          <w:lang w:val="en"/>
        </w:rPr>
        <w:t xml:space="preserve"> Support </w:t>
      </w:r>
      <w:r w:rsidR="00C94860" w:rsidRPr="00720140">
        <w:rPr>
          <w:bCs/>
          <w:color w:val="auto"/>
          <w:szCs w:val="24"/>
          <w:lang w:val="en"/>
        </w:rPr>
        <w:t>Measures</w:t>
      </w:r>
      <w:r w:rsidR="00382516">
        <w:rPr>
          <w:bCs/>
          <w:color w:val="auto"/>
          <w:szCs w:val="24"/>
          <w:lang w:val="en"/>
        </w:rPr>
        <w:t xml:space="preserve"> subsection</w:t>
      </w:r>
      <w:r w:rsidR="00C94860" w:rsidRPr="00720140">
        <w:rPr>
          <w:bCs/>
          <w:color w:val="auto"/>
          <w:szCs w:val="24"/>
          <w:lang w:val="en"/>
        </w:rPr>
        <w:t xml:space="preserve"> </w:t>
      </w:r>
      <w:r w:rsidR="00382516">
        <w:rPr>
          <w:bCs/>
          <w:color w:val="auto"/>
          <w:szCs w:val="24"/>
          <w:lang w:val="en"/>
        </w:rPr>
        <w:t>is inserted</w:t>
      </w:r>
      <w:r w:rsidRPr="00720140">
        <w:rPr>
          <w:bCs/>
          <w:color w:val="auto"/>
          <w:szCs w:val="24"/>
          <w:lang w:val="en"/>
        </w:rPr>
        <w:t>, which include</w:t>
      </w:r>
      <w:r w:rsidR="00741EA1">
        <w:rPr>
          <w:bCs/>
          <w:color w:val="auto"/>
          <w:szCs w:val="24"/>
          <w:lang w:val="en"/>
        </w:rPr>
        <w:t>s</w:t>
      </w:r>
      <w:r w:rsidRPr="00720140">
        <w:rPr>
          <w:bCs/>
          <w:color w:val="auto"/>
          <w:szCs w:val="24"/>
          <w:lang w:val="en"/>
        </w:rPr>
        <w:t xml:space="preserve"> comprehensive and easily accessible information and advice for persons referred to in Article 5 </w:t>
      </w:r>
      <w:r w:rsidR="007C31BF" w:rsidRPr="007C31BF">
        <w:rPr>
          <w:bCs/>
          <w:color w:val="auto"/>
          <w:szCs w:val="24"/>
          <w:lang w:val="en"/>
        </w:rPr>
        <w:t xml:space="preserve">of the </w:t>
      </w:r>
      <w:r w:rsidR="00077DFC">
        <w:rPr>
          <w:bCs/>
          <w:color w:val="auto"/>
          <w:szCs w:val="24"/>
          <w:lang w:val="en-US"/>
        </w:rPr>
        <w:t>Whistleblower Protection Act</w:t>
      </w:r>
      <w:r w:rsidR="007C31BF">
        <w:rPr>
          <w:bCs/>
          <w:color w:val="auto"/>
          <w:szCs w:val="24"/>
          <w:lang w:val="en-US"/>
        </w:rPr>
        <w:t xml:space="preserve"> </w:t>
      </w:r>
      <w:r w:rsidRPr="00720140">
        <w:rPr>
          <w:bCs/>
          <w:color w:val="auto"/>
          <w:szCs w:val="24"/>
          <w:lang w:val="en"/>
        </w:rPr>
        <w:t>on</w:t>
      </w:r>
      <w:r w:rsidR="00C43F0D" w:rsidRPr="00C43F0D">
        <w:rPr>
          <w:bCs/>
          <w:color w:val="auto"/>
          <w:szCs w:val="24"/>
        </w:rPr>
        <w:t>:</w:t>
      </w:r>
    </w:p>
    <w:p w:rsidR="00C43F0D" w:rsidRPr="00544526" w:rsidRDefault="00C43F0D" w:rsidP="00544526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544526">
        <w:rPr>
          <w:bCs/>
          <w:color w:val="auto"/>
          <w:szCs w:val="24"/>
        </w:rPr>
        <w:t xml:space="preserve"> </w:t>
      </w:r>
      <w:r w:rsidR="00544526" w:rsidRPr="00544526">
        <w:rPr>
          <w:bCs/>
          <w:color w:val="auto"/>
          <w:szCs w:val="24"/>
          <w:lang w:val="en"/>
        </w:rPr>
        <w:t xml:space="preserve">Temporary </w:t>
      </w:r>
      <w:r w:rsidR="00720140" w:rsidRPr="00544526">
        <w:rPr>
          <w:bCs/>
          <w:color w:val="auto"/>
          <w:szCs w:val="24"/>
          <w:lang w:val="en"/>
        </w:rPr>
        <w:t>measures</w:t>
      </w:r>
      <w:r w:rsidR="00AE4866">
        <w:rPr>
          <w:bCs/>
          <w:color w:val="auto"/>
          <w:szCs w:val="24"/>
          <w:lang w:val="en"/>
        </w:rPr>
        <w:t>:</w:t>
      </w:r>
      <w:r w:rsidR="00720140" w:rsidRPr="00544526">
        <w:rPr>
          <w:bCs/>
          <w:color w:val="auto"/>
          <w:szCs w:val="24"/>
          <w:lang w:val="en"/>
        </w:rPr>
        <w:t xml:space="preserve"> Article </w:t>
      </w:r>
      <w:proofErr w:type="spellStart"/>
      <w:r w:rsidR="00720140" w:rsidRPr="00544526">
        <w:rPr>
          <w:bCs/>
          <w:color w:val="auto"/>
          <w:szCs w:val="24"/>
          <w:lang w:val="en"/>
        </w:rPr>
        <w:t>34a</w:t>
      </w:r>
      <w:proofErr w:type="spellEnd"/>
      <w:r w:rsidR="00720140" w:rsidRPr="00544526">
        <w:rPr>
          <w:bCs/>
          <w:color w:val="auto"/>
          <w:szCs w:val="24"/>
          <w:lang w:val="en"/>
        </w:rPr>
        <w:t xml:space="preserve"> </w:t>
      </w:r>
      <w:r w:rsidR="00352084" w:rsidRPr="00544526">
        <w:rPr>
          <w:bCs/>
          <w:color w:val="auto"/>
          <w:szCs w:val="24"/>
          <w:lang w:val="en"/>
        </w:rPr>
        <w:t xml:space="preserve">of the </w:t>
      </w:r>
      <w:r w:rsidR="00077DFC">
        <w:rPr>
          <w:bCs/>
          <w:color w:val="auto"/>
          <w:szCs w:val="24"/>
          <w:lang w:val="en-US"/>
        </w:rPr>
        <w:t>Whistleblower Protection Act</w:t>
      </w:r>
      <w:r w:rsidR="00AE4866">
        <w:rPr>
          <w:bCs/>
          <w:color w:val="auto"/>
          <w:szCs w:val="24"/>
          <w:lang w:val="en"/>
        </w:rPr>
        <w:t>;</w:t>
      </w:r>
    </w:p>
    <w:p w:rsidR="00C43F0D" w:rsidRPr="00544526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544526">
        <w:rPr>
          <w:rFonts w:eastAsiaTheme="minorHAnsi"/>
          <w:bCs/>
          <w:color w:val="auto"/>
          <w:szCs w:val="24"/>
        </w:rPr>
        <w:t xml:space="preserve"> </w:t>
      </w:r>
      <w:r w:rsidR="00AE4866">
        <w:rPr>
          <w:rFonts w:eastAsiaTheme="minorHAnsi"/>
          <w:bCs/>
          <w:color w:val="auto"/>
          <w:szCs w:val="24"/>
          <w:lang w:val="en-US"/>
        </w:rPr>
        <w:t>Exemption from liability:</w:t>
      </w:r>
      <w:r w:rsidR="00720140" w:rsidRPr="00544526">
        <w:rPr>
          <w:rFonts w:eastAsiaTheme="minorHAnsi"/>
          <w:bCs/>
          <w:color w:val="auto"/>
          <w:szCs w:val="24"/>
          <w:lang w:val="en"/>
        </w:rPr>
        <w:t xml:space="preserve"> Article 36 </w:t>
      </w:r>
      <w:r w:rsidR="00352084" w:rsidRPr="00544526">
        <w:rPr>
          <w:rFonts w:eastAsiaTheme="minorHAnsi"/>
          <w:bCs/>
          <w:color w:val="auto"/>
          <w:szCs w:val="24"/>
          <w:lang w:val="en"/>
        </w:rPr>
        <w:t xml:space="preserve">of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="00AE4866">
        <w:rPr>
          <w:rFonts w:eastAsiaTheme="minorHAnsi"/>
          <w:bCs/>
          <w:color w:val="auto"/>
          <w:szCs w:val="24"/>
          <w:lang w:val="en-US"/>
        </w:rPr>
        <w:t>;</w:t>
      </w:r>
    </w:p>
    <w:p w:rsidR="00C43F0D" w:rsidRPr="00544526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544526">
        <w:rPr>
          <w:rFonts w:eastAsiaTheme="minorHAnsi"/>
          <w:bCs/>
          <w:color w:val="auto"/>
          <w:szCs w:val="24"/>
        </w:rPr>
        <w:t xml:space="preserve"> </w:t>
      </w:r>
      <w:r w:rsidR="00544526" w:rsidRPr="00544526">
        <w:rPr>
          <w:rFonts w:eastAsiaTheme="minorHAnsi"/>
          <w:bCs/>
          <w:color w:val="auto"/>
          <w:szCs w:val="24"/>
          <w:lang w:val="en-US"/>
        </w:rPr>
        <w:t xml:space="preserve">Damages caused to private </w:t>
      </w:r>
      <w:r w:rsidR="00C94860">
        <w:rPr>
          <w:rFonts w:eastAsiaTheme="minorHAnsi"/>
          <w:bCs/>
          <w:color w:val="auto"/>
          <w:szCs w:val="24"/>
          <w:lang w:val="en-US"/>
        </w:rPr>
        <w:t>parties</w:t>
      </w:r>
      <w:r w:rsidR="00AE4866">
        <w:rPr>
          <w:rFonts w:eastAsiaTheme="minorHAnsi"/>
          <w:bCs/>
          <w:color w:val="auto"/>
          <w:szCs w:val="24"/>
          <w:lang w:val="en-US"/>
        </w:rPr>
        <w:t>:</w:t>
      </w:r>
      <w:r w:rsidR="00720140" w:rsidRPr="00544526">
        <w:rPr>
          <w:rFonts w:eastAsiaTheme="minorHAnsi"/>
          <w:bCs/>
          <w:color w:val="auto"/>
          <w:szCs w:val="24"/>
          <w:lang w:val="en"/>
        </w:rPr>
        <w:t xml:space="preserve"> Article 37 </w:t>
      </w:r>
      <w:r w:rsidR="00352084" w:rsidRPr="00544526">
        <w:rPr>
          <w:rFonts w:eastAsiaTheme="minorHAnsi"/>
          <w:bCs/>
          <w:color w:val="auto"/>
          <w:szCs w:val="24"/>
          <w:lang w:val="en"/>
        </w:rPr>
        <w:t xml:space="preserve">of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="00AE4866">
        <w:rPr>
          <w:rFonts w:eastAsiaTheme="minorHAnsi"/>
          <w:bCs/>
          <w:color w:val="auto"/>
          <w:szCs w:val="24"/>
          <w:lang w:val="en-US"/>
        </w:rPr>
        <w:t>;</w:t>
      </w:r>
    </w:p>
    <w:p w:rsidR="00C43F0D" w:rsidRPr="00544526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544526">
        <w:rPr>
          <w:rFonts w:eastAsiaTheme="minorHAnsi"/>
          <w:bCs/>
          <w:color w:val="auto"/>
          <w:szCs w:val="24"/>
        </w:rPr>
        <w:t xml:space="preserve"> </w:t>
      </w:r>
      <w:r w:rsidR="00544526" w:rsidRPr="00544526">
        <w:rPr>
          <w:rFonts w:eastAsiaTheme="minorHAnsi"/>
          <w:bCs/>
          <w:color w:val="auto"/>
          <w:szCs w:val="24"/>
          <w:lang w:val="en-US"/>
        </w:rPr>
        <w:t>Option to terminate legal proceedings</w:t>
      </w:r>
      <w:r w:rsidR="00AE4866">
        <w:rPr>
          <w:rFonts w:eastAsiaTheme="minorHAnsi"/>
          <w:bCs/>
          <w:color w:val="auto"/>
          <w:szCs w:val="24"/>
          <w:lang w:val="en-US"/>
        </w:rPr>
        <w:t>:</w:t>
      </w:r>
      <w:r w:rsidR="00720140" w:rsidRPr="00544526">
        <w:rPr>
          <w:rFonts w:eastAsiaTheme="minorHAnsi"/>
          <w:bCs/>
          <w:color w:val="auto"/>
          <w:szCs w:val="24"/>
          <w:lang w:val="en"/>
        </w:rPr>
        <w:t xml:space="preserve"> Article 38 </w:t>
      </w:r>
      <w:r w:rsidR="00352084" w:rsidRPr="00544526">
        <w:rPr>
          <w:rFonts w:eastAsiaTheme="minorHAnsi"/>
          <w:bCs/>
          <w:color w:val="auto"/>
          <w:szCs w:val="24"/>
          <w:lang w:val="en"/>
        </w:rPr>
        <w:t xml:space="preserve">of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Pr="00544526">
        <w:rPr>
          <w:rFonts w:eastAsiaTheme="minorHAnsi"/>
          <w:bCs/>
          <w:color w:val="auto"/>
          <w:szCs w:val="24"/>
        </w:rPr>
        <w:t>;</w:t>
      </w:r>
    </w:p>
    <w:p w:rsidR="00C43F0D" w:rsidRPr="00544526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544526">
        <w:rPr>
          <w:rFonts w:eastAsiaTheme="minorHAnsi"/>
          <w:bCs/>
          <w:color w:val="auto"/>
          <w:szCs w:val="24"/>
        </w:rPr>
        <w:t xml:space="preserve"> </w:t>
      </w:r>
      <w:r w:rsidR="00544526" w:rsidRPr="00544526">
        <w:rPr>
          <w:rFonts w:eastAsiaTheme="minorHAnsi"/>
          <w:bCs/>
          <w:color w:val="auto"/>
          <w:szCs w:val="24"/>
          <w:lang w:val="en-US"/>
        </w:rPr>
        <w:t>Protection of persons concerned</w:t>
      </w:r>
      <w:r w:rsidR="00AE4866">
        <w:rPr>
          <w:rFonts w:eastAsiaTheme="minorHAnsi"/>
          <w:bCs/>
          <w:color w:val="auto"/>
          <w:szCs w:val="24"/>
          <w:lang w:val="en-US"/>
        </w:rPr>
        <w:t>:</w:t>
      </w:r>
      <w:r w:rsidR="00720140" w:rsidRPr="00544526">
        <w:rPr>
          <w:rFonts w:eastAsiaTheme="minorHAnsi"/>
          <w:bCs/>
          <w:color w:val="auto"/>
          <w:szCs w:val="24"/>
          <w:lang w:val="en"/>
        </w:rPr>
        <w:t xml:space="preserve"> Article 39 </w:t>
      </w:r>
      <w:r w:rsidR="00352084" w:rsidRPr="00544526">
        <w:rPr>
          <w:rFonts w:eastAsiaTheme="minorHAnsi"/>
          <w:bCs/>
          <w:color w:val="auto"/>
          <w:szCs w:val="24"/>
          <w:lang w:val="en"/>
        </w:rPr>
        <w:t xml:space="preserve">of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="00AE4866">
        <w:rPr>
          <w:rFonts w:eastAsiaTheme="minorHAnsi"/>
          <w:bCs/>
          <w:color w:val="auto"/>
          <w:szCs w:val="24"/>
          <w:lang w:val="en-US"/>
        </w:rPr>
        <w:t>;</w:t>
      </w:r>
    </w:p>
    <w:p w:rsidR="00C43F0D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544526">
        <w:rPr>
          <w:rFonts w:eastAsiaTheme="minorHAnsi"/>
          <w:bCs/>
          <w:color w:val="auto"/>
          <w:szCs w:val="24"/>
        </w:rPr>
        <w:t xml:space="preserve"> </w:t>
      </w:r>
      <w:r w:rsidR="00720140" w:rsidRPr="00544526">
        <w:rPr>
          <w:rFonts w:eastAsiaTheme="minorHAnsi"/>
          <w:bCs/>
          <w:color w:val="auto"/>
          <w:szCs w:val="24"/>
          <w:lang w:val="en"/>
        </w:rPr>
        <w:t xml:space="preserve">The possibility </w:t>
      </w:r>
      <w:r w:rsidR="00642E4B">
        <w:rPr>
          <w:rFonts w:eastAsiaTheme="minorHAnsi"/>
          <w:bCs/>
          <w:color w:val="auto"/>
          <w:szCs w:val="24"/>
          <w:lang w:val="en"/>
        </w:rPr>
        <w:t xml:space="preserve">to </w:t>
      </w:r>
      <w:r w:rsidR="00741EA1">
        <w:rPr>
          <w:rFonts w:eastAsiaTheme="minorHAnsi"/>
          <w:bCs/>
          <w:color w:val="auto"/>
          <w:szCs w:val="24"/>
          <w:lang w:val="en"/>
        </w:rPr>
        <w:t>provide</w:t>
      </w:r>
      <w:r w:rsidR="00720140" w:rsidRPr="00544526">
        <w:rPr>
          <w:rFonts w:eastAsiaTheme="minorHAnsi"/>
          <w:bCs/>
          <w:color w:val="auto"/>
          <w:szCs w:val="24"/>
          <w:lang w:val="en"/>
        </w:rPr>
        <w:t xml:space="preserve"> assistance </w:t>
      </w:r>
      <w:r w:rsidR="00642E4B">
        <w:rPr>
          <w:rFonts w:eastAsiaTheme="minorHAnsi"/>
          <w:bCs/>
          <w:color w:val="auto"/>
          <w:szCs w:val="24"/>
          <w:lang w:val="en"/>
        </w:rPr>
        <w:t xml:space="preserve">before any authority, as </w:t>
      </w:r>
      <w:r w:rsidR="00D01FCF">
        <w:rPr>
          <w:rFonts w:eastAsiaTheme="minorHAnsi"/>
          <w:bCs/>
          <w:color w:val="auto"/>
          <w:szCs w:val="24"/>
          <w:lang w:val="en-US"/>
        </w:rPr>
        <w:t>needed</w:t>
      </w:r>
      <w:r w:rsidR="00720140" w:rsidRPr="00544526">
        <w:rPr>
          <w:rFonts w:eastAsiaTheme="minorHAnsi"/>
          <w:bCs/>
          <w:color w:val="auto"/>
          <w:szCs w:val="24"/>
          <w:lang w:val="en"/>
        </w:rPr>
        <w:t xml:space="preserve"> to protect the persons referred to in</w:t>
      </w:r>
      <w:r w:rsidR="00720140" w:rsidRPr="00720140">
        <w:rPr>
          <w:rFonts w:eastAsiaTheme="minorHAnsi"/>
          <w:bCs/>
          <w:color w:val="auto"/>
          <w:szCs w:val="24"/>
          <w:lang w:val="en"/>
        </w:rPr>
        <w:t xml:space="preserve"> Article 5 </w:t>
      </w:r>
      <w:r w:rsidR="00352084" w:rsidRPr="00352084">
        <w:rPr>
          <w:rFonts w:eastAsiaTheme="minorHAnsi"/>
          <w:bCs/>
          <w:color w:val="auto"/>
          <w:szCs w:val="24"/>
          <w:lang w:val="en"/>
        </w:rPr>
        <w:t xml:space="preserve">of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="00352084">
        <w:rPr>
          <w:rFonts w:eastAsiaTheme="minorHAnsi"/>
          <w:bCs/>
          <w:color w:val="auto"/>
          <w:szCs w:val="24"/>
          <w:lang w:val="en-US"/>
        </w:rPr>
        <w:t xml:space="preserve"> </w:t>
      </w:r>
      <w:r w:rsidR="00720140" w:rsidRPr="00720140">
        <w:rPr>
          <w:rFonts w:eastAsiaTheme="minorHAnsi"/>
          <w:bCs/>
          <w:color w:val="auto"/>
          <w:szCs w:val="24"/>
          <w:lang w:val="en"/>
        </w:rPr>
        <w:t xml:space="preserve">against retaliation, including by </w:t>
      </w:r>
      <w:r w:rsidR="0044129D">
        <w:rPr>
          <w:rFonts w:eastAsiaTheme="minorHAnsi"/>
          <w:bCs/>
          <w:color w:val="auto"/>
          <w:szCs w:val="24"/>
          <w:lang w:val="en"/>
        </w:rPr>
        <w:t xml:space="preserve">giving proper notice of their right </w:t>
      </w:r>
      <w:r w:rsidR="00720140" w:rsidRPr="00720140">
        <w:rPr>
          <w:rFonts w:eastAsiaTheme="minorHAnsi"/>
          <w:bCs/>
          <w:color w:val="auto"/>
          <w:szCs w:val="24"/>
          <w:lang w:val="en"/>
        </w:rPr>
        <w:t xml:space="preserve">to protection under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Pr="00C43F0D">
        <w:rPr>
          <w:rFonts w:eastAsiaTheme="minorHAnsi"/>
          <w:bCs/>
          <w:color w:val="auto"/>
          <w:szCs w:val="24"/>
        </w:rPr>
        <w:t>.</w:t>
      </w:r>
    </w:p>
    <w:p w:rsidR="004B5090" w:rsidRDefault="004B5090" w:rsidP="00906AF0">
      <w:pPr>
        <w:pStyle w:val="ListParagraph"/>
        <w:spacing w:after="160" w:line="360" w:lineRule="auto"/>
        <w:ind w:left="1800" w:right="0" w:firstLine="0"/>
        <w:rPr>
          <w:rFonts w:eastAsiaTheme="minorHAnsi"/>
          <w:bCs/>
          <w:color w:val="auto"/>
          <w:szCs w:val="24"/>
        </w:rPr>
      </w:pPr>
    </w:p>
    <w:p w:rsidR="004B5090" w:rsidRDefault="0052466E" w:rsidP="00906AF0">
      <w:pPr>
        <w:pStyle w:val="ListParagraph"/>
        <w:numPr>
          <w:ilvl w:val="0"/>
          <w:numId w:val="2"/>
        </w:numPr>
        <w:spacing w:after="160" w:line="360" w:lineRule="auto"/>
        <w:ind w:left="0" w:right="0" w:firstLine="1170"/>
        <w:rPr>
          <w:rFonts w:eastAsiaTheme="minorHAnsi"/>
          <w:bCs/>
          <w:color w:val="auto"/>
          <w:szCs w:val="24"/>
        </w:rPr>
      </w:pPr>
      <w:r w:rsidRPr="0052466E">
        <w:rPr>
          <w:rFonts w:eastAsiaTheme="minorHAnsi"/>
          <w:bCs/>
          <w:color w:val="auto"/>
          <w:szCs w:val="24"/>
          <w:lang w:val="en"/>
        </w:rPr>
        <w:t xml:space="preserve">The </w:t>
      </w:r>
      <w:r w:rsidR="00A87E4E">
        <w:rPr>
          <w:rFonts w:eastAsiaTheme="minorHAnsi"/>
          <w:bCs/>
          <w:color w:val="auto"/>
          <w:szCs w:val="24"/>
          <w:lang w:val="en"/>
        </w:rPr>
        <w:t>notification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to the </w:t>
      </w:r>
      <w:r w:rsidR="000E219B">
        <w:rPr>
          <w:rFonts w:eastAsiaTheme="minorHAnsi"/>
          <w:bCs/>
          <w:color w:val="auto"/>
          <w:szCs w:val="24"/>
          <w:lang w:val="en-US"/>
        </w:rPr>
        <w:t xml:space="preserve">whistleblower, which </w:t>
      </w:r>
      <w:r w:rsidR="004B445D">
        <w:rPr>
          <w:rFonts w:eastAsiaTheme="minorHAnsi"/>
          <w:bCs/>
          <w:color w:val="auto"/>
          <w:szCs w:val="24"/>
          <w:lang w:val="en"/>
        </w:rPr>
        <w:t>contains the details</w:t>
      </w:r>
      <w:r w:rsidR="000E219B">
        <w:rPr>
          <w:rFonts w:eastAsiaTheme="minorHAnsi"/>
          <w:bCs/>
          <w:color w:val="auto"/>
          <w:szCs w:val="24"/>
          <w:lang w:val="en"/>
        </w:rPr>
        <w:t xml:space="preserve"> of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the registration number and </w:t>
      </w:r>
      <w:r w:rsidR="000E219B">
        <w:rPr>
          <w:rFonts w:eastAsiaTheme="minorHAnsi"/>
          <w:bCs/>
          <w:color w:val="auto"/>
          <w:szCs w:val="24"/>
          <w:lang w:val="en"/>
        </w:rPr>
        <w:t xml:space="preserve">the </w:t>
      </w:r>
      <w:r w:rsidRPr="0052466E">
        <w:rPr>
          <w:rFonts w:eastAsiaTheme="minorHAnsi"/>
          <w:bCs/>
          <w:color w:val="auto"/>
          <w:szCs w:val="24"/>
          <w:lang w:val="en"/>
        </w:rPr>
        <w:t>unique identification number (</w:t>
      </w:r>
      <w:proofErr w:type="spellStart"/>
      <w:r w:rsidRPr="0052466E">
        <w:rPr>
          <w:rFonts w:eastAsiaTheme="minorHAnsi"/>
          <w:bCs/>
          <w:color w:val="auto"/>
          <w:szCs w:val="24"/>
          <w:lang w:val="en"/>
        </w:rPr>
        <w:t>UIN</w:t>
      </w:r>
      <w:proofErr w:type="spellEnd"/>
      <w:r w:rsidRPr="0052466E">
        <w:rPr>
          <w:rFonts w:eastAsiaTheme="minorHAnsi"/>
          <w:bCs/>
          <w:color w:val="auto"/>
          <w:szCs w:val="24"/>
          <w:lang w:val="en"/>
        </w:rPr>
        <w:t>) of the report</w:t>
      </w:r>
      <w:r w:rsidR="000E219B">
        <w:rPr>
          <w:rFonts w:eastAsiaTheme="minorHAnsi"/>
          <w:bCs/>
          <w:color w:val="auto"/>
          <w:szCs w:val="24"/>
          <w:lang w:val="en"/>
        </w:rPr>
        <w:t>,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</w:t>
      </w:r>
      <w:r w:rsidR="004B445D">
        <w:rPr>
          <w:rFonts w:eastAsiaTheme="minorHAnsi"/>
          <w:bCs/>
          <w:color w:val="auto"/>
          <w:szCs w:val="24"/>
          <w:lang w:val="en"/>
        </w:rPr>
        <w:t xml:space="preserve">informs 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also </w:t>
      </w:r>
      <w:r w:rsidR="004B445D">
        <w:rPr>
          <w:rFonts w:eastAsiaTheme="minorHAnsi"/>
          <w:bCs/>
          <w:color w:val="auto"/>
          <w:szCs w:val="24"/>
          <w:lang w:val="en"/>
        </w:rPr>
        <w:t>of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the protection measures, the support measures and the means of </w:t>
      </w:r>
      <w:r w:rsidR="00EF0D81">
        <w:rPr>
          <w:rFonts w:eastAsiaTheme="minorHAnsi"/>
          <w:bCs/>
          <w:color w:val="auto"/>
          <w:szCs w:val="24"/>
          <w:lang w:val="en"/>
        </w:rPr>
        <w:t>receiving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legal aid from the </w:t>
      </w:r>
      <w:r w:rsidR="004B445D" w:rsidRPr="004B445D">
        <w:rPr>
          <w:rFonts w:eastAsiaTheme="minorHAnsi"/>
          <w:bCs/>
          <w:color w:val="auto"/>
          <w:szCs w:val="24"/>
          <w:lang w:val="en"/>
        </w:rPr>
        <w:t xml:space="preserve">National </w:t>
      </w:r>
      <w:r w:rsidR="00787841" w:rsidRPr="004B445D">
        <w:rPr>
          <w:rFonts w:eastAsiaTheme="minorHAnsi"/>
          <w:bCs/>
          <w:color w:val="auto"/>
          <w:szCs w:val="24"/>
          <w:lang w:val="en"/>
        </w:rPr>
        <w:t xml:space="preserve">Legal </w:t>
      </w:r>
      <w:r w:rsidR="00787841">
        <w:rPr>
          <w:rFonts w:eastAsiaTheme="minorHAnsi"/>
          <w:bCs/>
          <w:color w:val="auto"/>
          <w:szCs w:val="24"/>
          <w:lang w:val="en"/>
        </w:rPr>
        <w:t>Aid Office</w:t>
      </w:r>
      <w:r w:rsidR="00FF2CBD">
        <w:rPr>
          <w:rFonts w:eastAsiaTheme="minorHAnsi"/>
          <w:bCs/>
          <w:color w:val="auto"/>
          <w:szCs w:val="24"/>
          <w:lang w:val="en"/>
        </w:rPr>
        <w:t>;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this information </w:t>
      </w:r>
      <w:r w:rsidR="00FF2CBD">
        <w:rPr>
          <w:rFonts w:eastAsiaTheme="minorHAnsi"/>
          <w:bCs/>
          <w:color w:val="auto"/>
          <w:szCs w:val="24"/>
          <w:lang w:val="en"/>
        </w:rPr>
        <w:t>is in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the form of three </w:t>
      </w:r>
      <w:r w:rsidR="00FF2CBD">
        <w:rPr>
          <w:rFonts w:eastAsiaTheme="minorHAnsi"/>
          <w:bCs/>
          <w:color w:val="auto"/>
          <w:szCs w:val="24"/>
          <w:lang w:val="en"/>
        </w:rPr>
        <w:t xml:space="preserve">appendices constituting </w:t>
      </w:r>
      <w:r w:rsidRPr="0052466E">
        <w:rPr>
          <w:rFonts w:eastAsiaTheme="minorHAnsi"/>
          <w:bCs/>
          <w:color w:val="auto"/>
          <w:szCs w:val="24"/>
          <w:lang w:val="en"/>
        </w:rPr>
        <w:t>integral part</w:t>
      </w:r>
      <w:r w:rsidR="00FF2CBD">
        <w:rPr>
          <w:rFonts w:eastAsiaTheme="minorHAnsi"/>
          <w:bCs/>
          <w:color w:val="auto"/>
          <w:szCs w:val="24"/>
          <w:lang w:val="en"/>
        </w:rPr>
        <w:t>s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of the </w:t>
      </w:r>
      <w:r w:rsidR="00FF2CBD" w:rsidRPr="00FF2CBD">
        <w:rPr>
          <w:rFonts w:eastAsiaTheme="minorHAnsi"/>
          <w:bCs/>
          <w:color w:val="auto"/>
          <w:szCs w:val="24"/>
          <w:lang w:val="en"/>
        </w:rPr>
        <w:t>notification</w:t>
      </w:r>
      <w:r w:rsidR="004B5090">
        <w:rPr>
          <w:rFonts w:eastAsiaTheme="minorHAnsi"/>
          <w:bCs/>
          <w:color w:val="auto"/>
          <w:szCs w:val="24"/>
        </w:rPr>
        <w:t>.</w:t>
      </w:r>
    </w:p>
    <w:p w:rsidR="004B5090" w:rsidRPr="004B5090" w:rsidRDefault="004B5090" w:rsidP="00906AF0">
      <w:pPr>
        <w:pStyle w:val="ListParagraph"/>
        <w:spacing w:after="160" w:line="360" w:lineRule="auto"/>
        <w:ind w:left="1170" w:right="0" w:firstLine="0"/>
        <w:rPr>
          <w:rFonts w:eastAsiaTheme="minorHAnsi"/>
          <w:bCs/>
          <w:color w:val="auto"/>
          <w:szCs w:val="24"/>
        </w:rPr>
      </w:pPr>
    </w:p>
    <w:p w:rsidR="00C43F0D" w:rsidRDefault="0052466E" w:rsidP="00906AF0">
      <w:pPr>
        <w:pStyle w:val="ListParagraph"/>
        <w:numPr>
          <w:ilvl w:val="0"/>
          <w:numId w:val="2"/>
        </w:numPr>
        <w:spacing w:after="160" w:line="360" w:lineRule="auto"/>
        <w:ind w:left="0" w:right="0" w:firstLine="1134"/>
        <w:rPr>
          <w:rFonts w:eastAsiaTheme="minorHAnsi"/>
          <w:bCs/>
          <w:color w:val="auto"/>
          <w:szCs w:val="24"/>
        </w:rPr>
      </w:pPr>
      <w:r w:rsidRPr="0052466E">
        <w:rPr>
          <w:rFonts w:eastAsiaTheme="minorHAnsi"/>
          <w:bCs/>
          <w:color w:val="auto"/>
          <w:szCs w:val="24"/>
          <w:lang w:val="en"/>
        </w:rPr>
        <w:lastRenderedPageBreak/>
        <w:t xml:space="preserve">During working hours, any person referred to in Article 5 </w:t>
      </w:r>
      <w:r w:rsidR="00352084" w:rsidRPr="00352084">
        <w:rPr>
          <w:rFonts w:eastAsiaTheme="minorHAnsi"/>
          <w:bCs/>
          <w:color w:val="auto"/>
          <w:szCs w:val="24"/>
          <w:lang w:val="en"/>
        </w:rPr>
        <w:t xml:space="preserve">of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, as well as any citizen, </w:t>
      </w:r>
      <w:r w:rsidR="00B23C8F">
        <w:rPr>
          <w:rFonts w:eastAsiaTheme="minorHAnsi"/>
          <w:bCs/>
          <w:color w:val="auto"/>
          <w:szCs w:val="24"/>
          <w:lang w:val="en"/>
        </w:rPr>
        <w:t>may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receive</w:t>
      </w:r>
      <w:r w:rsidR="005A5E65">
        <w:rPr>
          <w:rFonts w:eastAsiaTheme="minorHAnsi"/>
          <w:bCs/>
          <w:color w:val="auto"/>
          <w:szCs w:val="24"/>
          <w:lang w:val="en"/>
        </w:rPr>
        <w:t>,</w:t>
      </w:r>
      <w:r w:rsidR="000F0C48">
        <w:rPr>
          <w:rFonts w:eastAsiaTheme="minorHAnsi"/>
          <w:bCs/>
          <w:color w:val="auto"/>
          <w:szCs w:val="24"/>
          <w:lang w:val="en"/>
        </w:rPr>
        <w:t xml:space="preserve"> on an </w:t>
      </w:r>
      <w:r w:rsidR="000F0C48" w:rsidRPr="0052466E">
        <w:rPr>
          <w:rFonts w:eastAsiaTheme="minorHAnsi"/>
          <w:bCs/>
          <w:color w:val="auto"/>
          <w:szCs w:val="24"/>
          <w:lang w:val="en"/>
        </w:rPr>
        <w:t>individual and confidential</w:t>
      </w:r>
      <w:r w:rsidR="000F0C48">
        <w:rPr>
          <w:rFonts w:eastAsiaTheme="minorHAnsi"/>
          <w:bCs/>
          <w:color w:val="auto"/>
          <w:szCs w:val="24"/>
          <w:lang w:val="en"/>
        </w:rPr>
        <w:t xml:space="preserve"> basis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in a personal meeting with an </w:t>
      </w:r>
      <w:r w:rsidR="00B23C8F">
        <w:rPr>
          <w:rFonts w:eastAsiaTheme="minorHAnsi"/>
          <w:bCs/>
          <w:color w:val="auto"/>
          <w:szCs w:val="24"/>
          <w:lang w:val="en"/>
        </w:rPr>
        <w:t>officer from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the </w:t>
      </w:r>
      <w:proofErr w:type="spellStart"/>
      <w:r w:rsidR="008E3CA1" w:rsidRPr="008E3CA1">
        <w:rPr>
          <w:rFonts w:eastAsiaTheme="minorHAnsi"/>
          <w:bCs/>
          <w:color w:val="auto"/>
          <w:szCs w:val="24"/>
          <w:lang w:val="en"/>
        </w:rPr>
        <w:t>ERC</w:t>
      </w:r>
      <w:proofErr w:type="spellEnd"/>
      <w:r w:rsidR="008E3CA1" w:rsidRPr="008E3CA1">
        <w:rPr>
          <w:rFonts w:eastAsiaTheme="minorHAnsi"/>
          <w:bCs/>
          <w:color w:val="auto"/>
          <w:szCs w:val="24"/>
          <w:lang w:val="en"/>
        </w:rPr>
        <w:t xml:space="preserve"> Directorate</w:t>
      </w:r>
      <w:r w:rsidRPr="0052466E">
        <w:rPr>
          <w:rFonts w:eastAsiaTheme="minorHAnsi"/>
          <w:bCs/>
          <w:color w:val="auto"/>
          <w:szCs w:val="24"/>
          <w:lang w:val="en"/>
        </w:rPr>
        <w:t>, comprehensive, independent, free and acc</w:t>
      </w:r>
      <w:r w:rsidR="000F0C48">
        <w:rPr>
          <w:rFonts w:eastAsiaTheme="minorHAnsi"/>
          <w:bCs/>
          <w:color w:val="auto"/>
          <w:szCs w:val="24"/>
          <w:lang w:val="en"/>
        </w:rPr>
        <w:t xml:space="preserve">essible information and advice 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on the procedures and </w:t>
      </w:r>
      <w:r w:rsidR="000F0C48">
        <w:rPr>
          <w:rFonts w:eastAsiaTheme="minorHAnsi"/>
          <w:bCs/>
          <w:color w:val="auto"/>
          <w:szCs w:val="24"/>
          <w:lang w:val="en"/>
        </w:rPr>
        <w:t xml:space="preserve">the 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protection measures referred to in point 1. A </w:t>
      </w:r>
      <w:r w:rsidR="000F0C48">
        <w:rPr>
          <w:rFonts w:eastAsiaTheme="minorHAnsi"/>
          <w:bCs/>
          <w:color w:val="auto"/>
          <w:szCs w:val="24"/>
          <w:lang w:val="en"/>
        </w:rPr>
        <w:t>protocol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of the provision of information and advice </w:t>
      </w:r>
      <w:r w:rsidR="00031499">
        <w:rPr>
          <w:rFonts w:eastAsiaTheme="minorHAnsi"/>
          <w:bCs/>
          <w:color w:val="auto"/>
          <w:szCs w:val="24"/>
          <w:lang w:val="en"/>
        </w:rPr>
        <w:t>will</w:t>
      </w:r>
      <w:bookmarkStart w:id="0" w:name="_GoBack"/>
      <w:bookmarkEnd w:id="0"/>
      <w:r w:rsidRPr="0052466E">
        <w:rPr>
          <w:rFonts w:eastAsiaTheme="minorHAnsi"/>
          <w:bCs/>
          <w:color w:val="auto"/>
          <w:szCs w:val="24"/>
          <w:lang w:val="en"/>
        </w:rPr>
        <w:t xml:space="preserve"> be drawn up, signed by the persons </w:t>
      </w:r>
      <w:r w:rsidR="000F0C48">
        <w:rPr>
          <w:rFonts w:eastAsiaTheme="minorHAnsi"/>
          <w:bCs/>
          <w:color w:val="auto"/>
          <w:szCs w:val="24"/>
          <w:lang w:val="en"/>
        </w:rPr>
        <w:t>attending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the meeting</w:t>
      </w:r>
      <w:r w:rsidR="005A5E65">
        <w:rPr>
          <w:rFonts w:eastAsiaTheme="minorHAnsi"/>
          <w:bCs/>
          <w:color w:val="auto"/>
          <w:szCs w:val="24"/>
          <w:lang w:val="en"/>
        </w:rPr>
        <w:t>,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and registered in the </w:t>
      </w:r>
      <w:r w:rsidR="000F0C48">
        <w:rPr>
          <w:rFonts w:eastAsiaTheme="minorHAnsi"/>
          <w:bCs/>
          <w:color w:val="auto"/>
          <w:szCs w:val="24"/>
          <w:lang w:val="en"/>
        </w:rPr>
        <w:t>Report</w:t>
      </w:r>
      <w:r w:rsidRPr="0052466E">
        <w:rPr>
          <w:rFonts w:eastAsiaTheme="minorHAnsi"/>
          <w:bCs/>
          <w:color w:val="auto"/>
          <w:szCs w:val="24"/>
          <w:lang w:val="en"/>
        </w:rPr>
        <w:t xml:space="preserve"> system</w:t>
      </w:r>
      <w:r w:rsidR="00C43F0D" w:rsidRPr="00C43F0D">
        <w:rPr>
          <w:rFonts w:eastAsiaTheme="minorHAnsi"/>
          <w:bCs/>
          <w:color w:val="auto"/>
          <w:szCs w:val="24"/>
        </w:rPr>
        <w:t>.</w:t>
      </w:r>
    </w:p>
    <w:p w:rsidR="004B5090" w:rsidRPr="004B5090" w:rsidRDefault="004B5090" w:rsidP="00906AF0">
      <w:pPr>
        <w:pStyle w:val="ListParagraph"/>
        <w:spacing w:line="360" w:lineRule="auto"/>
        <w:rPr>
          <w:rFonts w:eastAsiaTheme="minorHAnsi"/>
          <w:bCs/>
          <w:color w:val="auto"/>
          <w:szCs w:val="24"/>
        </w:rPr>
      </w:pPr>
    </w:p>
    <w:p w:rsidR="00C43F0D" w:rsidRPr="00906AF0" w:rsidRDefault="00B738DD" w:rsidP="00906AF0">
      <w:pPr>
        <w:pStyle w:val="ListParagraph"/>
        <w:numPr>
          <w:ilvl w:val="0"/>
          <w:numId w:val="2"/>
        </w:numPr>
        <w:spacing w:after="160" w:line="360" w:lineRule="auto"/>
        <w:ind w:left="0" w:right="0" w:firstLine="1134"/>
        <w:rPr>
          <w:rFonts w:eastAsiaTheme="minorHAnsi"/>
          <w:bCs/>
          <w:i/>
          <w:iCs/>
          <w:color w:val="auto"/>
          <w:szCs w:val="24"/>
        </w:rPr>
      </w:pPr>
      <w:r w:rsidRPr="00B738DD">
        <w:rPr>
          <w:rFonts w:eastAsiaTheme="minorHAnsi"/>
          <w:bCs/>
          <w:color w:val="auto"/>
          <w:szCs w:val="24"/>
          <w:lang w:val="en"/>
        </w:rPr>
        <w:t xml:space="preserve">On the Commission’s website, in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Pr="00B738DD">
        <w:rPr>
          <w:rFonts w:eastAsiaTheme="minorHAnsi"/>
          <w:bCs/>
          <w:color w:val="auto"/>
          <w:szCs w:val="24"/>
          <w:lang w:val="en-US"/>
        </w:rPr>
        <w:t xml:space="preserve"> </w:t>
      </w:r>
      <w:r w:rsidRPr="00B738DD">
        <w:rPr>
          <w:rFonts w:eastAsiaTheme="minorHAnsi"/>
          <w:bCs/>
          <w:color w:val="auto"/>
          <w:szCs w:val="24"/>
          <w:lang w:val="en"/>
        </w:rPr>
        <w:t xml:space="preserve">section, </w:t>
      </w:r>
      <w:r w:rsidR="00787841" w:rsidRPr="00787841">
        <w:rPr>
          <w:rFonts w:eastAsiaTheme="minorHAnsi"/>
          <w:bCs/>
          <w:color w:val="auto"/>
          <w:szCs w:val="24"/>
          <w:lang w:val="en"/>
        </w:rPr>
        <w:t>National Legal Aid Office</w:t>
      </w:r>
      <w:r w:rsidRPr="00B738DD">
        <w:rPr>
          <w:rFonts w:eastAsiaTheme="minorHAnsi"/>
          <w:bCs/>
          <w:color w:val="auto"/>
          <w:szCs w:val="24"/>
          <w:lang w:val="en"/>
        </w:rPr>
        <w:t xml:space="preserve"> subsection is inserted, </w:t>
      </w:r>
      <w:r w:rsidR="0052466E" w:rsidRPr="0052466E">
        <w:rPr>
          <w:rFonts w:eastAsiaTheme="minorHAnsi"/>
          <w:bCs/>
          <w:color w:val="auto"/>
          <w:szCs w:val="24"/>
          <w:lang w:val="en"/>
        </w:rPr>
        <w:t xml:space="preserve">which includes the conditions and means of </w:t>
      </w:r>
      <w:r>
        <w:rPr>
          <w:rFonts w:eastAsiaTheme="minorHAnsi"/>
          <w:bCs/>
          <w:color w:val="auto"/>
          <w:szCs w:val="24"/>
          <w:lang w:val="en"/>
        </w:rPr>
        <w:t>receiving</w:t>
      </w:r>
      <w:r w:rsidR="0052466E" w:rsidRPr="0052466E">
        <w:rPr>
          <w:rFonts w:eastAsiaTheme="minorHAnsi"/>
          <w:bCs/>
          <w:color w:val="auto"/>
          <w:szCs w:val="24"/>
          <w:lang w:val="en"/>
        </w:rPr>
        <w:t xml:space="preserve"> support under the </w:t>
      </w:r>
      <w:r w:rsidR="00077DFC">
        <w:rPr>
          <w:rFonts w:eastAsiaTheme="minorHAnsi"/>
          <w:bCs/>
          <w:color w:val="auto"/>
          <w:szCs w:val="24"/>
          <w:lang w:val="en-US"/>
        </w:rPr>
        <w:t>Whistleblower Protection Act</w:t>
      </w:r>
      <w:r w:rsidR="00C43F0D" w:rsidRPr="00C43F0D">
        <w:rPr>
          <w:rFonts w:eastAsiaTheme="minorHAnsi"/>
          <w:bCs/>
          <w:color w:val="auto"/>
          <w:szCs w:val="24"/>
        </w:rPr>
        <w:t xml:space="preserve">. </w:t>
      </w:r>
    </w:p>
    <w:p w:rsidR="00906AF0" w:rsidRPr="00906AF0" w:rsidRDefault="00906AF0" w:rsidP="00906AF0">
      <w:pPr>
        <w:pStyle w:val="ListParagraph"/>
        <w:rPr>
          <w:rFonts w:eastAsiaTheme="minorHAnsi"/>
          <w:bCs/>
          <w:i/>
          <w:iCs/>
          <w:color w:val="auto"/>
          <w:szCs w:val="24"/>
        </w:rPr>
      </w:pPr>
    </w:p>
    <w:p w:rsidR="00906AF0" w:rsidRDefault="008E3CA1" w:rsidP="00906AF0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0" w:firstLine="1170"/>
        <w:rPr>
          <w:szCs w:val="24"/>
        </w:rPr>
      </w:pPr>
      <w:r w:rsidRPr="008E3CA1">
        <w:rPr>
          <w:szCs w:val="24"/>
          <w:lang w:val="en"/>
        </w:rPr>
        <w:t xml:space="preserve">These Rules are to be uploaded </w:t>
      </w:r>
      <w:r w:rsidR="00543592">
        <w:rPr>
          <w:szCs w:val="24"/>
          <w:lang w:val="en"/>
        </w:rPr>
        <w:t xml:space="preserve">as </w:t>
      </w:r>
      <w:r w:rsidR="00543592" w:rsidRPr="008E3CA1">
        <w:rPr>
          <w:szCs w:val="24"/>
          <w:lang w:val="en"/>
        </w:rPr>
        <w:t>a separate subsection</w:t>
      </w:r>
      <w:r w:rsidR="00543592">
        <w:rPr>
          <w:szCs w:val="24"/>
          <w:lang w:val="en"/>
        </w:rPr>
        <w:t xml:space="preserve"> in </w:t>
      </w:r>
      <w:r w:rsidR="00543592" w:rsidRPr="008E3CA1">
        <w:rPr>
          <w:szCs w:val="24"/>
          <w:lang w:val="en"/>
        </w:rPr>
        <w:t xml:space="preserve">the </w:t>
      </w:r>
      <w:r w:rsidR="00077DFC">
        <w:rPr>
          <w:bCs/>
          <w:szCs w:val="24"/>
          <w:lang w:val="en-US"/>
        </w:rPr>
        <w:t>Whistleblower Protection Act</w:t>
      </w:r>
      <w:r w:rsidR="00543592" w:rsidRPr="008E3CA1">
        <w:rPr>
          <w:bCs/>
          <w:szCs w:val="24"/>
          <w:lang w:val="en-US"/>
        </w:rPr>
        <w:t xml:space="preserve"> </w:t>
      </w:r>
      <w:r w:rsidR="00543592" w:rsidRPr="008E3CA1">
        <w:rPr>
          <w:szCs w:val="24"/>
          <w:lang w:val="en"/>
        </w:rPr>
        <w:t>section</w:t>
      </w:r>
      <w:r w:rsidR="00543592">
        <w:rPr>
          <w:szCs w:val="24"/>
          <w:lang w:val="en"/>
        </w:rPr>
        <w:t xml:space="preserve"> </w:t>
      </w:r>
      <w:r w:rsidRPr="008E3CA1">
        <w:rPr>
          <w:szCs w:val="24"/>
          <w:lang w:val="en"/>
        </w:rPr>
        <w:t xml:space="preserve">on the </w:t>
      </w:r>
      <w:proofErr w:type="spellStart"/>
      <w:r w:rsidRPr="008E3CA1">
        <w:rPr>
          <w:szCs w:val="24"/>
          <w:lang w:val="en"/>
        </w:rPr>
        <w:t>CPDP</w:t>
      </w:r>
      <w:proofErr w:type="spellEnd"/>
      <w:r w:rsidRPr="008E3CA1">
        <w:rPr>
          <w:szCs w:val="24"/>
          <w:lang w:val="en"/>
        </w:rPr>
        <w:t xml:space="preserve"> website</w:t>
      </w:r>
      <w:r w:rsidR="00543592">
        <w:rPr>
          <w:szCs w:val="24"/>
          <w:lang w:val="en"/>
        </w:rPr>
        <w:t>.</w:t>
      </w:r>
    </w:p>
    <w:p w:rsidR="00906AF0" w:rsidRPr="0052466E" w:rsidRDefault="00906AF0" w:rsidP="00906AF0">
      <w:pPr>
        <w:pStyle w:val="ListParagraph"/>
        <w:tabs>
          <w:tab w:val="left" w:pos="360"/>
        </w:tabs>
        <w:spacing w:after="0" w:line="360" w:lineRule="auto"/>
        <w:ind w:firstLine="0"/>
        <w:rPr>
          <w:szCs w:val="24"/>
          <w:lang w:val="en-US"/>
        </w:rPr>
      </w:pPr>
    </w:p>
    <w:p w:rsidR="00906AF0" w:rsidRPr="004820C2" w:rsidRDefault="00906AF0" w:rsidP="00906AF0">
      <w:pPr>
        <w:pStyle w:val="ListParagraph"/>
        <w:tabs>
          <w:tab w:val="left" w:pos="360"/>
        </w:tabs>
        <w:spacing w:after="0" w:line="360" w:lineRule="auto"/>
        <w:ind w:left="0"/>
        <w:rPr>
          <w:szCs w:val="24"/>
        </w:rPr>
      </w:pPr>
      <w:r w:rsidRPr="0052466E">
        <w:rPr>
          <w:szCs w:val="24"/>
          <w:lang w:val="en-US"/>
        </w:rPr>
        <w:tab/>
      </w:r>
      <w:r w:rsidRPr="0052466E">
        <w:rPr>
          <w:szCs w:val="24"/>
          <w:lang w:val="en-US"/>
        </w:rPr>
        <w:tab/>
      </w:r>
      <w:r w:rsidRPr="0052466E">
        <w:rPr>
          <w:szCs w:val="24"/>
          <w:lang w:val="en-US"/>
        </w:rPr>
        <w:tab/>
        <w:t xml:space="preserve">        6</w:t>
      </w:r>
      <w:r w:rsidRPr="004820C2">
        <w:rPr>
          <w:szCs w:val="24"/>
        </w:rPr>
        <w:t xml:space="preserve">. </w:t>
      </w:r>
      <w:r w:rsidR="008E3CA1" w:rsidRPr="008E3CA1">
        <w:rPr>
          <w:szCs w:val="24"/>
          <w:lang w:val="en"/>
        </w:rPr>
        <w:t xml:space="preserve">These Rules were adopted at a </w:t>
      </w:r>
      <w:proofErr w:type="spellStart"/>
      <w:r w:rsidR="008E3CA1" w:rsidRPr="008E3CA1">
        <w:rPr>
          <w:szCs w:val="24"/>
          <w:lang w:val="en"/>
        </w:rPr>
        <w:t>CPDP</w:t>
      </w:r>
      <w:proofErr w:type="spellEnd"/>
      <w:r w:rsidR="008E3CA1" w:rsidRPr="008E3CA1">
        <w:rPr>
          <w:szCs w:val="24"/>
          <w:lang w:val="en"/>
        </w:rPr>
        <w:t xml:space="preserve"> meeting held on 4 June 2024</w:t>
      </w:r>
      <w:r w:rsidRPr="004820C2">
        <w:rPr>
          <w:szCs w:val="24"/>
        </w:rPr>
        <w:t>.</w:t>
      </w:r>
    </w:p>
    <w:p w:rsidR="00AF3EA6" w:rsidRPr="00C43F0D" w:rsidRDefault="00215589" w:rsidP="00906AF0">
      <w:pPr>
        <w:spacing w:line="360" w:lineRule="auto"/>
        <w:rPr>
          <w:color w:val="auto"/>
        </w:rPr>
      </w:pPr>
    </w:p>
    <w:sectPr w:rsidR="00AF3EA6" w:rsidRPr="00C43F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89" w:rsidRDefault="00215589" w:rsidP="00906AF0">
      <w:pPr>
        <w:spacing w:after="0" w:line="240" w:lineRule="auto"/>
      </w:pPr>
      <w:r>
        <w:separator/>
      </w:r>
    </w:p>
  </w:endnote>
  <w:endnote w:type="continuationSeparator" w:id="0">
    <w:p w:rsidR="00215589" w:rsidRDefault="00215589" w:rsidP="0090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54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AF0" w:rsidRDefault="00906A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AF0" w:rsidRDefault="00906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89" w:rsidRDefault="00215589" w:rsidP="00906AF0">
      <w:pPr>
        <w:spacing w:after="0" w:line="240" w:lineRule="auto"/>
      </w:pPr>
      <w:r>
        <w:separator/>
      </w:r>
    </w:p>
  </w:footnote>
  <w:footnote w:type="continuationSeparator" w:id="0">
    <w:p w:rsidR="00215589" w:rsidRDefault="00215589" w:rsidP="0090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E17"/>
    <w:multiLevelType w:val="multilevel"/>
    <w:tmpl w:val="3976C44A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1">
    <w:nsid w:val="578677B3"/>
    <w:multiLevelType w:val="multilevel"/>
    <w:tmpl w:val="494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D7788"/>
    <w:multiLevelType w:val="hybridMultilevel"/>
    <w:tmpl w:val="E4A05B44"/>
    <w:lvl w:ilvl="0" w:tplc="989063A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CE"/>
    <w:rsid w:val="00031499"/>
    <w:rsid w:val="00077DFC"/>
    <w:rsid w:val="000E1290"/>
    <w:rsid w:val="000E219B"/>
    <w:rsid w:val="000F0C48"/>
    <w:rsid w:val="00215589"/>
    <w:rsid w:val="002A13D4"/>
    <w:rsid w:val="002D7BCE"/>
    <w:rsid w:val="0030471C"/>
    <w:rsid w:val="00352084"/>
    <w:rsid w:val="00382516"/>
    <w:rsid w:val="0044129D"/>
    <w:rsid w:val="00471CE3"/>
    <w:rsid w:val="004957C0"/>
    <w:rsid w:val="004B445D"/>
    <w:rsid w:val="004B5090"/>
    <w:rsid w:val="004C6426"/>
    <w:rsid w:val="0052466E"/>
    <w:rsid w:val="00543592"/>
    <w:rsid w:val="00544526"/>
    <w:rsid w:val="005A5E65"/>
    <w:rsid w:val="00642E4B"/>
    <w:rsid w:val="00720140"/>
    <w:rsid w:val="00741EA1"/>
    <w:rsid w:val="00787841"/>
    <w:rsid w:val="007C31BF"/>
    <w:rsid w:val="008E3CA1"/>
    <w:rsid w:val="00906AF0"/>
    <w:rsid w:val="0099740F"/>
    <w:rsid w:val="00A87E4E"/>
    <w:rsid w:val="00AE4866"/>
    <w:rsid w:val="00B23C8F"/>
    <w:rsid w:val="00B60E66"/>
    <w:rsid w:val="00B738DD"/>
    <w:rsid w:val="00C43F0D"/>
    <w:rsid w:val="00C76096"/>
    <w:rsid w:val="00C94860"/>
    <w:rsid w:val="00D01FCF"/>
    <w:rsid w:val="00D4694E"/>
    <w:rsid w:val="00DC4113"/>
    <w:rsid w:val="00DD17EB"/>
    <w:rsid w:val="00EF0D81"/>
    <w:rsid w:val="00F11311"/>
    <w:rsid w:val="00F82367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0D"/>
    <w:pPr>
      <w:spacing w:after="11" w:line="38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3F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3F0D"/>
    <w:rPr>
      <w:rFonts w:ascii="Times New Roman" w:eastAsia="Times New Roman" w:hAnsi="Times New Roman" w:cs="Times New Roman"/>
      <w:color w:val="000000"/>
      <w:sz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06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F0"/>
    <w:rPr>
      <w:rFonts w:ascii="Times New Roman" w:eastAsia="Times New Roman" w:hAnsi="Times New Roman" w:cs="Times New Roman"/>
      <w:color w:val="000000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06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F0"/>
    <w:rPr>
      <w:rFonts w:ascii="Times New Roman" w:eastAsia="Times New Roman" w:hAnsi="Times New Roman" w:cs="Times New Roman"/>
      <w:color w:val="000000"/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0D"/>
    <w:pPr>
      <w:spacing w:after="11" w:line="38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3F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3F0D"/>
    <w:rPr>
      <w:rFonts w:ascii="Times New Roman" w:eastAsia="Times New Roman" w:hAnsi="Times New Roman" w:cs="Times New Roman"/>
      <w:color w:val="000000"/>
      <w:sz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06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F0"/>
    <w:rPr>
      <w:rFonts w:ascii="Times New Roman" w:eastAsia="Times New Roman" w:hAnsi="Times New Roman" w:cs="Times New Roman"/>
      <w:color w:val="000000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06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F0"/>
    <w:rPr>
      <w:rFonts w:ascii="Times New Roman" w:eastAsia="Times New Roman" w:hAnsi="Times New Roman" w:cs="Times New Roman"/>
      <w:color w:val="000000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Atanaska Georgieva</dc:creator>
  <cp:keywords/>
  <dc:description/>
  <cp:lastModifiedBy>author</cp:lastModifiedBy>
  <cp:revision>14</cp:revision>
  <dcterms:created xsi:type="dcterms:W3CDTF">2024-05-21T05:45:00Z</dcterms:created>
  <dcterms:modified xsi:type="dcterms:W3CDTF">2024-06-14T08:12:00Z</dcterms:modified>
</cp:coreProperties>
</file>