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8F" w:rsidRPr="008364C4" w:rsidRDefault="00937E09" w:rsidP="005E568F">
      <w:pPr>
        <w:spacing w:after="0" w:line="360" w:lineRule="auto"/>
        <w:ind w:left="-284" w:right="-109"/>
        <w:rPr>
          <w:rFonts w:ascii="Times New Roman" w:eastAsia="Times New Roman" w:hAnsi="Times New Roman"/>
          <w:b/>
          <w:w w:val="120"/>
          <w:sz w:val="24"/>
          <w:szCs w:val="24"/>
        </w:rPr>
      </w:pPr>
      <w:r>
        <w:rPr>
          <w:rFonts w:ascii="Times New Roman" w:eastAsia="Times New Roman" w:hAnsi="Times New Roman"/>
          <w:b/>
          <w:noProof/>
          <w:sz w:val="24"/>
          <w:szCs w:val="24"/>
          <w:lang w:val="bg-BG" w:eastAsia="bg-BG" w:bidi="ar-SA"/>
        </w:rPr>
        <mc:AlternateContent>
          <mc:Choice Requires="wps">
            <w:drawing>
              <wp:anchor distT="0" distB="0" distL="114300" distR="114300" simplePos="0" relativeHeight="251658240" behindDoc="0" locked="0" layoutInCell="1" allowOverlap="1">
                <wp:simplePos x="0" y="0"/>
                <wp:positionH relativeFrom="column">
                  <wp:posOffset>939165</wp:posOffset>
                </wp:positionH>
                <wp:positionV relativeFrom="paragraph">
                  <wp:posOffset>33020</wp:posOffset>
                </wp:positionV>
                <wp:extent cx="5438775" cy="866775"/>
                <wp:effectExtent l="0" t="4445" r="381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751" w:rsidRPr="0077741D" w:rsidRDefault="00740751" w:rsidP="0077741D">
                            <w:pPr>
                              <w:spacing w:after="0" w:line="360" w:lineRule="auto"/>
                              <w:jc w:val="center"/>
                              <w:rPr>
                                <w:rFonts w:ascii="Times New Roman" w:hAnsi="Times New Roman"/>
                                <w:b/>
                                <w:sz w:val="44"/>
                                <w:szCs w:val="44"/>
                              </w:rPr>
                            </w:pPr>
                            <w:r>
                              <w:rPr>
                                <w:rFonts w:ascii="Times New Roman" w:hAnsi="Times New Roman"/>
                                <w:b/>
                                <w:sz w:val="44"/>
                              </w:rPr>
                              <w:t>REPUBLIC OF BULGARIA</w:t>
                            </w:r>
                          </w:p>
                          <w:p w:rsidR="00740751" w:rsidRPr="0077741D" w:rsidRDefault="00740751" w:rsidP="0077741D">
                            <w:pPr>
                              <w:spacing w:after="0" w:line="360" w:lineRule="auto"/>
                              <w:jc w:val="center"/>
                              <w:rPr>
                                <w:rFonts w:ascii="Times New Roman" w:hAnsi="Times New Roman"/>
                                <w:b/>
                                <w:sz w:val="36"/>
                                <w:szCs w:val="36"/>
                              </w:rPr>
                            </w:pPr>
                            <w:r>
                              <w:rPr>
                                <w:rFonts w:ascii="Times New Roman" w:hAnsi="Times New Roman"/>
                                <w:b/>
                                <w:sz w:val="36"/>
                              </w:rPr>
                              <w:t>COMMISSION FOR PERSONAL DATA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3.95pt;margin-top:2.6pt;width:428.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xftA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" filled="f" stroked="f">
                <v:textbox>
                  <w:txbxContent>
                    <w:p w:rsidR="00F21E3B" w:rsidRPr="0077741D" w:rsidRDefault="00F21E3B" w:rsidP="0077741D">
                      <w:pPr>
                        <w:spacing w:after="0" w:line="360" w:lineRule="auto"/>
                        <w:jc w:val="center"/>
                        <w:rPr>
                          <w:rFonts w:ascii="Times New Roman" w:hAnsi="Times New Roman"/>
                          <w:b/>
                          <w:sz w:val="44"/>
                          <w:szCs w:val="44"/>
                        </w:rPr>
                      </w:pPr>
                      <w:r>
                        <w:rPr>
                          <w:rFonts w:ascii="Times New Roman" w:hAnsi="Times New Roman"/>
                          <w:b/>
                          <w:sz w:val="44"/>
                        </w:rPr>
                        <w:t>REPUBLIC OF BULGARIA</w:t>
                      </w:r>
                    </w:p>
                    <w:p w:rsidR="00F21E3B" w:rsidRPr="0077741D" w:rsidRDefault="00F21E3B" w:rsidP="0077741D">
                      <w:pPr>
                        <w:spacing w:after="0" w:line="360" w:lineRule="auto"/>
                        <w:jc w:val="center"/>
                        <w:rPr>
                          <w:rFonts w:ascii="Times New Roman" w:hAnsi="Times New Roman"/>
                          <w:b/>
                          <w:sz w:val="36"/>
                          <w:szCs w:val="36"/>
                        </w:rPr>
                      </w:pPr>
                      <w:r>
                        <w:rPr>
                          <w:rFonts w:ascii="Times New Roman" w:hAnsi="Times New Roman"/>
                          <w:b/>
                          <w:sz w:val="36"/>
                        </w:rPr>
                        <w:t>COMMISSION FOR PERSONAL DATA PROTECTION</w:t>
                      </w:r>
                    </w:p>
                  </w:txbxContent>
                </v:textbox>
              </v:shape>
            </w:pict>
          </mc:Fallback>
        </mc:AlternateContent>
      </w:r>
      <w:r w:rsidR="001831E4" w:rsidRPr="008364C4">
        <w:rPr>
          <w:rFonts w:ascii="Times New Roman" w:eastAsia="Times New Roman" w:hAnsi="Times New Roman"/>
          <w:b/>
          <w:noProof/>
          <w:w w:val="120"/>
          <w:sz w:val="24"/>
          <w:szCs w:val="24"/>
          <w:lang w:val="bg-BG" w:eastAsia="bg-BG" w:bidi="ar-SA"/>
        </w:rPr>
        <w:drawing>
          <wp:inline distT="0" distB="0" distL="0" distR="0">
            <wp:extent cx="1076325" cy="895350"/>
            <wp:effectExtent l="19050" t="0" r="9525" b="0"/>
            <wp:docPr id="1" name="Picture 1" descr="Logo_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ko"/>
                    <pic:cNvPicPr>
                      <a:picLocks noChangeAspect="1" noChangeArrowheads="1"/>
                    </pic:cNvPicPr>
                  </pic:nvPicPr>
                  <pic:blipFill>
                    <a:blip r:embed="rId9" cstate="print"/>
                    <a:srcRect/>
                    <a:stretch>
                      <a:fillRect/>
                    </a:stretch>
                  </pic:blipFill>
                  <pic:spPr bwMode="auto">
                    <a:xfrm>
                      <a:off x="0" y="0"/>
                      <a:ext cx="1076325" cy="895350"/>
                    </a:xfrm>
                    <a:prstGeom prst="rect">
                      <a:avLst/>
                    </a:prstGeom>
                    <a:noFill/>
                    <a:ln w="9525">
                      <a:noFill/>
                      <a:miter lim="800000"/>
                      <a:headEnd/>
                      <a:tailEnd/>
                    </a:ln>
                  </pic:spPr>
                </pic:pic>
              </a:graphicData>
            </a:graphic>
          </wp:inline>
        </w:drawing>
      </w:r>
    </w:p>
    <w:p w:rsidR="005E568F" w:rsidRPr="008364C4" w:rsidRDefault="00937E09" w:rsidP="005E568F">
      <w:pPr>
        <w:spacing w:after="0" w:line="360" w:lineRule="auto"/>
        <w:ind w:right="-109" w:firstLine="748"/>
        <w:jc w:val="center"/>
        <w:rPr>
          <w:rFonts w:ascii="Times New Roman" w:eastAsia="Times New Roman" w:hAnsi="Times New Roman"/>
          <w:b/>
          <w:w w:val="120"/>
          <w:sz w:val="24"/>
          <w:szCs w:val="24"/>
        </w:rPr>
      </w:pPr>
      <w:r>
        <w:rPr>
          <w:rFonts w:ascii="Times New Roman" w:eastAsia="Times New Roman" w:hAnsi="Times New Roman"/>
          <w:b/>
          <w:noProof/>
          <w:sz w:val="24"/>
          <w:szCs w:val="24"/>
          <w:lang w:val="bg-BG" w:eastAsia="bg-BG" w:bidi="ar-SA"/>
        </w:rPr>
        <mc:AlternateContent>
          <mc:Choice Requires="wps">
            <w:drawing>
              <wp:anchor distT="0" distB="0" distL="114300" distR="114300" simplePos="0" relativeHeight="251657216" behindDoc="0" locked="0" layoutInCell="0" allowOverlap="1">
                <wp:simplePos x="0" y="0"/>
                <wp:positionH relativeFrom="column">
                  <wp:posOffset>-114935</wp:posOffset>
                </wp:positionH>
                <wp:positionV relativeFrom="paragraph">
                  <wp:posOffset>66040</wp:posOffset>
                </wp:positionV>
                <wp:extent cx="6492875" cy="0"/>
                <wp:effectExtent l="37465" t="37465" r="32385" b="2921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8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5.2pt" to="502.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" o:allowincell="f" strokeweight="4.5pt">
                <v:stroke linestyle="thickThin"/>
              </v:line>
            </w:pict>
          </mc:Fallback>
        </mc:AlternateContent>
      </w:r>
    </w:p>
    <w:p w:rsidR="005E568F" w:rsidRPr="008364C4" w:rsidRDefault="005E568F" w:rsidP="005E568F">
      <w:pPr>
        <w:spacing w:after="0" w:line="360" w:lineRule="auto"/>
        <w:ind w:right="-109" w:firstLine="748"/>
        <w:jc w:val="center"/>
        <w:rPr>
          <w:rFonts w:ascii="Times New Roman" w:eastAsia="Times New Roman" w:hAnsi="Times New Roman"/>
          <w:b/>
          <w:w w:val="120"/>
          <w:sz w:val="52"/>
          <w:szCs w:val="26"/>
        </w:rPr>
      </w:pPr>
    </w:p>
    <w:p w:rsidR="005E568F" w:rsidRPr="008364C4" w:rsidRDefault="005E568F" w:rsidP="005E568F">
      <w:pPr>
        <w:spacing w:after="0" w:line="360" w:lineRule="auto"/>
        <w:ind w:right="-109" w:firstLine="748"/>
        <w:jc w:val="center"/>
        <w:rPr>
          <w:rFonts w:ascii="Times New Roman" w:eastAsia="Times New Roman" w:hAnsi="Times New Roman"/>
          <w:b/>
          <w:w w:val="120"/>
          <w:sz w:val="52"/>
          <w:szCs w:val="26"/>
        </w:rPr>
      </w:pPr>
    </w:p>
    <w:p w:rsidR="005E568F" w:rsidRPr="008364C4" w:rsidRDefault="005E568F" w:rsidP="005E568F">
      <w:pPr>
        <w:spacing w:after="0" w:line="360" w:lineRule="auto"/>
        <w:ind w:right="-109" w:firstLine="748"/>
        <w:jc w:val="center"/>
        <w:rPr>
          <w:rFonts w:ascii="Times New Roman" w:eastAsia="Times New Roman" w:hAnsi="Times New Roman"/>
          <w:b/>
          <w:w w:val="120"/>
          <w:sz w:val="52"/>
          <w:szCs w:val="26"/>
        </w:rPr>
      </w:pPr>
    </w:p>
    <w:p w:rsidR="005E568F" w:rsidRPr="008364C4" w:rsidRDefault="005E568F" w:rsidP="005E568F">
      <w:pPr>
        <w:spacing w:after="0" w:line="360" w:lineRule="auto"/>
        <w:ind w:right="-109"/>
        <w:jc w:val="center"/>
        <w:rPr>
          <w:rFonts w:ascii="Times New Roman" w:eastAsia="Times New Roman" w:hAnsi="Times New Roman"/>
          <w:b/>
          <w:w w:val="120"/>
          <w:sz w:val="52"/>
          <w:szCs w:val="26"/>
        </w:rPr>
      </w:pPr>
      <w:r w:rsidRPr="008364C4">
        <w:rPr>
          <w:rFonts w:ascii="Times New Roman" w:hAnsi="Times New Roman"/>
          <w:b/>
          <w:w w:val="120"/>
          <w:sz w:val="52"/>
        </w:rPr>
        <w:t xml:space="preserve">A N </w:t>
      </w:r>
      <w:proofErr w:type="spellStart"/>
      <w:r w:rsidRPr="008364C4">
        <w:rPr>
          <w:rFonts w:ascii="Times New Roman" w:hAnsi="Times New Roman"/>
          <w:b/>
          <w:w w:val="120"/>
          <w:sz w:val="52"/>
        </w:rPr>
        <w:t>N</w:t>
      </w:r>
      <w:proofErr w:type="spellEnd"/>
      <w:r w:rsidRPr="008364C4">
        <w:rPr>
          <w:rFonts w:ascii="Times New Roman" w:hAnsi="Times New Roman"/>
          <w:b/>
          <w:w w:val="120"/>
          <w:sz w:val="52"/>
        </w:rPr>
        <w:t xml:space="preserve"> U A </w:t>
      </w:r>
      <w:proofErr w:type="gramStart"/>
      <w:r w:rsidRPr="008364C4">
        <w:rPr>
          <w:rFonts w:ascii="Times New Roman" w:hAnsi="Times New Roman"/>
          <w:b/>
          <w:w w:val="120"/>
          <w:sz w:val="52"/>
        </w:rPr>
        <w:t>L  R</w:t>
      </w:r>
      <w:proofErr w:type="gramEnd"/>
      <w:r w:rsidRPr="008364C4">
        <w:rPr>
          <w:rFonts w:ascii="Times New Roman" w:hAnsi="Times New Roman"/>
          <w:b/>
          <w:w w:val="120"/>
          <w:sz w:val="52"/>
        </w:rPr>
        <w:t xml:space="preserve"> E P O R T</w:t>
      </w:r>
    </w:p>
    <w:p w:rsidR="005E568F" w:rsidRPr="008364C4" w:rsidRDefault="005E568F" w:rsidP="005E568F">
      <w:pPr>
        <w:spacing w:after="0" w:line="360" w:lineRule="auto"/>
        <w:ind w:right="-109"/>
        <w:jc w:val="center"/>
        <w:rPr>
          <w:rFonts w:ascii="Times New Roman" w:eastAsia="Times New Roman" w:hAnsi="Times New Roman"/>
          <w:b/>
          <w:sz w:val="44"/>
          <w:szCs w:val="26"/>
        </w:rPr>
      </w:pPr>
    </w:p>
    <w:p w:rsidR="005E568F" w:rsidRPr="008364C4" w:rsidRDefault="005E568F" w:rsidP="005E568F">
      <w:pPr>
        <w:spacing w:after="0" w:line="360" w:lineRule="auto"/>
        <w:ind w:right="-109"/>
        <w:jc w:val="center"/>
        <w:rPr>
          <w:rFonts w:ascii="Times New Roman" w:eastAsia="Times New Roman" w:hAnsi="Times New Roman"/>
          <w:b/>
          <w:sz w:val="44"/>
          <w:szCs w:val="26"/>
        </w:rPr>
      </w:pPr>
    </w:p>
    <w:p w:rsidR="005E568F" w:rsidRPr="008364C4" w:rsidRDefault="005E568F" w:rsidP="005E568F">
      <w:pPr>
        <w:spacing w:after="0" w:line="360" w:lineRule="auto"/>
        <w:ind w:right="-109"/>
        <w:jc w:val="center"/>
        <w:rPr>
          <w:rFonts w:ascii="Times New Roman" w:eastAsia="Times New Roman" w:hAnsi="Times New Roman"/>
          <w:b/>
          <w:sz w:val="44"/>
          <w:szCs w:val="26"/>
        </w:rPr>
      </w:pPr>
    </w:p>
    <w:p w:rsidR="005E568F" w:rsidRPr="008364C4" w:rsidRDefault="005E568F" w:rsidP="005E568F">
      <w:pPr>
        <w:spacing w:after="0" w:line="360" w:lineRule="auto"/>
        <w:ind w:right="-109"/>
        <w:jc w:val="center"/>
        <w:rPr>
          <w:rFonts w:ascii="Times New Roman" w:eastAsia="Times New Roman" w:hAnsi="Times New Roman"/>
          <w:b/>
          <w:sz w:val="44"/>
          <w:szCs w:val="26"/>
        </w:rPr>
      </w:pPr>
      <w:proofErr w:type="gramStart"/>
      <w:r w:rsidRPr="008364C4">
        <w:rPr>
          <w:rFonts w:ascii="Times New Roman" w:hAnsi="Times New Roman"/>
          <w:b/>
          <w:sz w:val="44"/>
        </w:rPr>
        <w:t>of</w:t>
      </w:r>
      <w:proofErr w:type="gramEnd"/>
      <w:r w:rsidRPr="008364C4">
        <w:rPr>
          <w:rFonts w:ascii="Times New Roman" w:hAnsi="Times New Roman"/>
          <w:b/>
          <w:sz w:val="44"/>
        </w:rPr>
        <w:t xml:space="preserve"> the Commission for Personal Data Protection </w:t>
      </w:r>
    </w:p>
    <w:p w:rsidR="005E568F" w:rsidRPr="008364C4" w:rsidRDefault="005E568F" w:rsidP="005E568F">
      <w:pPr>
        <w:tabs>
          <w:tab w:val="left" w:pos="284"/>
        </w:tabs>
        <w:spacing w:after="0" w:line="360" w:lineRule="auto"/>
        <w:ind w:right="-109"/>
        <w:jc w:val="center"/>
        <w:rPr>
          <w:rFonts w:ascii="Times New Roman" w:eastAsia="Times New Roman" w:hAnsi="Times New Roman"/>
          <w:b/>
          <w:sz w:val="44"/>
          <w:szCs w:val="26"/>
        </w:rPr>
      </w:pPr>
      <w:proofErr w:type="gramStart"/>
      <w:r w:rsidRPr="008364C4">
        <w:rPr>
          <w:rFonts w:ascii="Times New Roman" w:hAnsi="Times New Roman"/>
          <w:b/>
          <w:sz w:val="44"/>
        </w:rPr>
        <w:t>for</w:t>
      </w:r>
      <w:proofErr w:type="gramEnd"/>
      <w:r w:rsidRPr="008364C4">
        <w:rPr>
          <w:rFonts w:ascii="Times New Roman" w:hAnsi="Times New Roman"/>
          <w:b/>
          <w:sz w:val="44"/>
        </w:rPr>
        <w:t xml:space="preserve"> 2013</w:t>
      </w:r>
    </w:p>
    <w:p w:rsidR="005E568F" w:rsidRPr="008364C4" w:rsidRDefault="005E568F" w:rsidP="005E568F">
      <w:pPr>
        <w:spacing w:after="0" w:line="360" w:lineRule="auto"/>
        <w:ind w:right="-109"/>
        <w:jc w:val="center"/>
        <w:rPr>
          <w:rFonts w:ascii="Times New Roman" w:eastAsia="Times New Roman" w:hAnsi="Times New Roman"/>
          <w:b/>
          <w:sz w:val="36"/>
          <w:szCs w:val="26"/>
        </w:rPr>
      </w:pPr>
    </w:p>
    <w:p w:rsidR="005E568F" w:rsidRPr="008364C4" w:rsidRDefault="005E568F" w:rsidP="005E568F">
      <w:pPr>
        <w:spacing w:after="0" w:line="360" w:lineRule="auto"/>
        <w:ind w:right="-109"/>
        <w:jc w:val="center"/>
        <w:rPr>
          <w:rFonts w:ascii="Times New Roman" w:eastAsia="Times New Roman" w:hAnsi="Times New Roman"/>
          <w:b/>
          <w:sz w:val="36"/>
          <w:szCs w:val="26"/>
        </w:rPr>
      </w:pPr>
    </w:p>
    <w:p w:rsidR="005E568F" w:rsidRPr="008364C4" w:rsidRDefault="005E568F" w:rsidP="005E568F">
      <w:pPr>
        <w:spacing w:after="0" w:line="360" w:lineRule="auto"/>
        <w:ind w:right="-109"/>
        <w:jc w:val="center"/>
        <w:rPr>
          <w:rFonts w:ascii="Times New Roman" w:eastAsia="Times New Roman" w:hAnsi="Times New Roman"/>
          <w:b/>
          <w:sz w:val="36"/>
          <w:szCs w:val="26"/>
        </w:rPr>
      </w:pPr>
    </w:p>
    <w:p w:rsidR="005E568F" w:rsidRPr="008364C4" w:rsidRDefault="005E568F" w:rsidP="005E568F">
      <w:pPr>
        <w:spacing w:after="0" w:line="360" w:lineRule="auto"/>
        <w:ind w:right="-109"/>
        <w:jc w:val="center"/>
        <w:rPr>
          <w:rFonts w:ascii="Times New Roman" w:eastAsia="Times New Roman" w:hAnsi="Times New Roman"/>
          <w:b/>
          <w:sz w:val="36"/>
          <w:szCs w:val="26"/>
        </w:rPr>
      </w:pPr>
    </w:p>
    <w:p w:rsidR="005E568F" w:rsidRPr="008364C4" w:rsidRDefault="005E568F" w:rsidP="005E568F">
      <w:pPr>
        <w:spacing w:after="0" w:line="360" w:lineRule="auto"/>
        <w:ind w:right="-109"/>
        <w:jc w:val="center"/>
        <w:rPr>
          <w:rFonts w:ascii="Times New Roman" w:eastAsia="Times New Roman" w:hAnsi="Times New Roman"/>
          <w:b/>
          <w:sz w:val="28"/>
          <w:szCs w:val="26"/>
        </w:rPr>
      </w:pPr>
    </w:p>
    <w:p w:rsidR="005E568F" w:rsidRPr="008364C4" w:rsidRDefault="005E568F" w:rsidP="005E568F">
      <w:pPr>
        <w:spacing w:after="0" w:line="360" w:lineRule="auto"/>
        <w:ind w:right="-109"/>
        <w:jc w:val="center"/>
        <w:rPr>
          <w:rFonts w:ascii="Times New Roman" w:eastAsia="Times New Roman" w:hAnsi="Times New Roman"/>
          <w:b/>
          <w:sz w:val="28"/>
          <w:szCs w:val="26"/>
        </w:rPr>
      </w:pPr>
      <w:r w:rsidRPr="008364C4">
        <w:rPr>
          <w:rFonts w:ascii="Times New Roman" w:hAnsi="Times New Roman"/>
          <w:b/>
          <w:sz w:val="28"/>
        </w:rPr>
        <w:t xml:space="preserve"> </w:t>
      </w:r>
    </w:p>
    <w:p w:rsidR="005E568F" w:rsidRPr="008364C4" w:rsidRDefault="005E568F" w:rsidP="005E568F">
      <w:pPr>
        <w:spacing w:after="0" w:line="360" w:lineRule="auto"/>
        <w:ind w:right="-109"/>
        <w:jc w:val="center"/>
        <w:rPr>
          <w:rFonts w:ascii="Times New Roman" w:eastAsia="Times New Roman" w:hAnsi="Times New Roman"/>
          <w:b/>
          <w:sz w:val="28"/>
          <w:szCs w:val="26"/>
        </w:rPr>
      </w:pPr>
      <w:proofErr w:type="gramStart"/>
      <w:r w:rsidRPr="008364C4">
        <w:rPr>
          <w:rFonts w:ascii="Times New Roman" w:hAnsi="Times New Roman"/>
          <w:b/>
          <w:sz w:val="28"/>
        </w:rPr>
        <w:t>pursuant</w:t>
      </w:r>
      <w:proofErr w:type="gramEnd"/>
      <w:r w:rsidRPr="008364C4">
        <w:rPr>
          <w:rFonts w:ascii="Times New Roman" w:hAnsi="Times New Roman"/>
          <w:b/>
          <w:sz w:val="28"/>
        </w:rPr>
        <w:t xml:space="preserve"> to Art. 7 (6) of the Law for Protection of Personal Data</w:t>
      </w:r>
    </w:p>
    <w:p w:rsidR="00633967" w:rsidRPr="008364C4" w:rsidRDefault="00633967">
      <w:pPr>
        <w:spacing w:after="0" w:line="240" w:lineRule="auto"/>
        <w:rPr>
          <w:rFonts w:ascii="Times New Roman" w:eastAsia="Times New Roman" w:hAnsi="Times New Roman"/>
          <w:b/>
          <w:sz w:val="36"/>
          <w:szCs w:val="36"/>
        </w:rPr>
      </w:pPr>
      <w:r w:rsidRPr="008364C4">
        <w:br w:type="page"/>
      </w:r>
    </w:p>
    <w:p w:rsidR="005E568F" w:rsidRPr="008364C4" w:rsidRDefault="005E568F" w:rsidP="005E568F">
      <w:pPr>
        <w:spacing w:after="0" w:line="360" w:lineRule="auto"/>
        <w:ind w:right="-109" w:firstLine="748"/>
        <w:jc w:val="center"/>
        <w:rPr>
          <w:rFonts w:ascii="Times New Roman" w:eastAsia="Times New Roman" w:hAnsi="Times New Roman"/>
          <w:b/>
          <w:sz w:val="36"/>
          <w:szCs w:val="36"/>
        </w:rPr>
      </w:pPr>
    </w:p>
    <w:p w:rsidR="005E568F" w:rsidRPr="008364C4" w:rsidRDefault="005E568F" w:rsidP="005E568F">
      <w:pPr>
        <w:spacing w:after="0" w:line="360" w:lineRule="auto"/>
        <w:ind w:right="-109" w:firstLine="748"/>
        <w:jc w:val="center"/>
        <w:rPr>
          <w:rFonts w:ascii="Times New Roman" w:eastAsia="Times New Roman" w:hAnsi="Times New Roman"/>
          <w:b/>
          <w:sz w:val="36"/>
          <w:szCs w:val="36"/>
        </w:rPr>
      </w:pPr>
      <w:r w:rsidRPr="008364C4">
        <w:rPr>
          <w:rFonts w:ascii="Times New Roman" w:hAnsi="Times New Roman"/>
          <w:b/>
          <w:sz w:val="36"/>
        </w:rPr>
        <w:t>TABLE OF CONTENTS</w:t>
      </w:r>
    </w:p>
    <w:sdt>
      <w:sdtPr>
        <w:rPr>
          <w:rFonts w:ascii="Times New Roman" w:eastAsia="Calibri" w:hAnsi="Times New Roman" w:cs="Times New Roman"/>
          <w:b w:val="0"/>
          <w:bCs w:val="0"/>
          <w:color w:val="auto"/>
          <w:sz w:val="22"/>
          <w:szCs w:val="22"/>
        </w:rPr>
        <w:id w:val="37550845"/>
        <w:docPartObj>
          <w:docPartGallery w:val="Table of Contents"/>
          <w:docPartUnique/>
        </w:docPartObj>
      </w:sdtPr>
      <w:sdtEndPr>
        <w:rPr>
          <w:rFonts w:ascii="Calibri" w:hAnsi="Calibri"/>
        </w:rPr>
      </w:sdtEndPr>
      <w:sdtContent>
        <w:p w:rsidR="003D726B" w:rsidRPr="006150A4" w:rsidRDefault="003D726B">
          <w:pPr>
            <w:pStyle w:val="TOCHeading"/>
            <w:rPr>
              <w:rFonts w:ascii="Times New Roman" w:hAnsi="Times New Roman" w:cs="Times New Roman"/>
            </w:rPr>
          </w:pPr>
        </w:p>
        <w:p w:rsidR="00F72F00" w:rsidRPr="006150A4" w:rsidRDefault="00C061C2">
          <w:pPr>
            <w:pStyle w:val="TOC1"/>
            <w:tabs>
              <w:tab w:val="right" w:leader="dot" w:pos="9344"/>
            </w:tabs>
            <w:rPr>
              <w:rFonts w:ascii="Times New Roman" w:eastAsiaTheme="minorEastAsia" w:hAnsi="Times New Roman"/>
              <w:noProof/>
              <w:sz w:val="28"/>
              <w:szCs w:val="28"/>
              <w:lang w:val="bg-BG" w:eastAsia="bg-BG" w:bidi="ar-SA"/>
            </w:rPr>
          </w:pPr>
          <w:r w:rsidRPr="008364C4">
            <w:fldChar w:fldCharType="begin"/>
          </w:r>
          <w:r w:rsidR="003D726B" w:rsidRPr="008364C4">
            <w:instrText xml:space="preserve"> TOC \o "1-3" \h \z \u </w:instrText>
          </w:r>
          <w:r w:rsidRPr="008364C4">
            <w:fldChar w:fldCharType="separate"/>
          </w:r>
          <w:hyperlink w:anchor="_Toc380740741" w:history="1">
            <w:r w:rsidR="00F72F00" w:rsidRPr="006150A4">
              <w:rPr>
                <w:rStyle w:val="Hyperlink"/>
                <w:rFonts w:ascii="Times New Roman" w:hAnsi="Times New Roman"/>
                <w:noProof/>
                <w:sz w:val="28"/>
                <w:szCs w:val="28"/>
              </w:rPr>
              <w:t>I. Introduction</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_Toc380740741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3</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2" w:history="1">
            <w:r w:rsidR="00F72F00" w:rsidRPr="006150A4">
              <w:rPr>
                <w:rStyle w:val="Hyperlink"/>
                <w:rFonts w:ascii="Times New Roman" w:hAnsi="Times New Roman"/>
                <w:noProof/>
                <w:sz w:val="28"/>
                <w:szCs w:val="28"/>
              </w:rPr>
              <w:t>II. Analysis and report on the fulfilment of the Commission for Personal Data Protection priorities, set out in the 2012 Annual Report</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_Toc380740742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4</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3" w:history="1">
            <w:r w:rsidR="00F72F00" w:rsidRPr="006150A4">
              <w:rPr>
                <w:rStyle w:val="Hyperlink"/>
                <w:rFonts w:ascii="Times New Roman" w:hAnsi="Times New Roman"/>
                <w:noProof/>
                <w:sz w:val="28"/>
                <w:szCs w:val="28"/>
              </w:rPr>
              <w:t>III. Powers of the Commission for Personal Data Protection:</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_Toc380740743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6</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4" w:history="1">
            <w:r w:rsidR="00F72F00" w:rsidRPr="006150A4">
              <w:rPr>
                <w:rStyle w:val="Hyperlink"/>
                <w:rFonts w:ascii="Times New Roman" w:hAnsi="Times New Roman"/>
                <w:noProof/>
                <w:sz w:val="28"/>
                <w:szCs w:val="28"/>
              </w:rPr>
              <w:t>IV. Exercise of the rights of</w:t>
            </w:r>
            <w:r w:rsidR="00F72F00" w:rsidRPr="006150A4">
              <w:rPr>
                <w:rStyle w:val="Hyperlink"/>
                <w:rFonts w:ascii="Times New Roman" w:hAnsi="Times New Roman"/>
                <w:noProof/>
                <w:color w:val="auto"/>
                <w:sz w:val="28"/>
                <w:szCs w:val="28"/>
              </w:rPr>
              <w:t xml:space="preserve"> </w:t>
            </w:r>
            <w:r w:rsidR="00A50670" w:rsidRPr="006150A4">
              <w:rPr>
                <w:rStyle w:val="Hyperlink"/>
                <w:rFonts w:ascii="Times New Roman" w:hAnsi="Times New Roman"/>
                <w:noProof/>
                <w:color w:val="auto"/>
                <w:sz w:val="28"/>
                <w:szCs w:val="28"/>
              </w:rPr>
              <w:t>individuals</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_Toc380740744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8</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5" w:history="1">
            <w:r w:rsidR="00F72F00" w:rsidRPr="006150A4">
              <w:rPr>
                <w:rStyle w:val="Hyperlink"/>
                <w:rFonts w:ascii="Times New Roman" w:hAnsi="Times New Roman"/>
                <w:noProof/>
                <w:sz w:val="28"/>
                <w:szCs w:val="28"/>
              </w:rPr>
              <w:t>V. Registration of data controllers and data registers kept by them. State of deployed information and communication systems. Volume of incoming and outgoing correspondence.</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_Toc380740745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15</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6" w:history="1">
            <w:r w:rsidR="00F72F00" w:rsidRPr="006150A4">
              <w:rPr>
                <w:rStyle w:val="Hyperlink"/>
                <w:rFonts w:ascii="Times New Roman" w:hAnsi="Times New Roman"/>
                <w:noProof/>
                <w:sz w:val="28"/>
                <w:szCs w:val="28"/>
              </w:rPr>
              <w:t>VI. Analysis and statistics of complaints and requests submitted under Art. 38 (1) of LPPD. Case law and practice of the Commission. Analysis of judicial practice.</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_Toc380740746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20</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7" w:history="1">
            <w:r w:rsidR="00F72F00" w:rsidRPr="006150A4">
              <w:rPr>
                <w:rStyle w:val="Hyperlink"/>
                <w:rFonts w:ascii="Times New Roman" w:hAnsi="Times New Roman"/>
                <w:noProof/>
                <w:sz w:val="28"/>
                <w:szCs w:val="28"/>
              </w:rPr>
              <w:t>VII. Control and administrative-penal activities of the Commission</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_Toc380740747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31</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8" w:history="1">
            <w:r w:rsidR="00F72F00" w:rsidRPr="006150A4">
              <w:rPr>
                <w:rStyle w:val="Hyperlink"/>
                <w:rFonts w:ascii="Times New Roman" w:hAnsi="Times New Roman"/>
                <w:noProof/>
                <w:sz w:val="28"/>
                <w:szCs w:val="28"/>
              </w:rPr>
              <w:t>VIІІ. Proceedings on expressing opinio</w:t>
            </w:r>
            <w:r w:rsidR="0048386C" w:rsidRPr="006150A4">
              <w:rPr>
                <w:rStyle w:val="Hyperlink"/>
                <w:rFonts w:ascii="Times New Roman" w:hAnsi="Times New Roman"/>
                <w:noProof/>
                <w:sz w:val="28"/>
                <w:szCs w:val="28"/>
              </w:rPr>
              <w:t>ns and authorization to</w:t>
            </w:r>
            <w:r w:rsidR="0048386C" w:rsidRPr="006150A4">
              <w:rPr>
                <w:rStyle w:val="Hyperlink"/>
                <w:rFonts w:ascii="Times New Roman" w:hAnsi="Times New Roman"/>
                <w:noProof/>
                <w:color w:val="auto"/>
                <w:sz w:val="28"/>
                <w:szCs w:val="28"/>
              </w:rPr>
              <w:t xml:space="preserve"> transfer</w:t>
            </w:r>
            <w:r w:rsidR="00F72F00" w:rsidRPr="006150A4">
              <w:rPr>
                <w:rStyle w:val="Hyperlink"/>
                <w:rFonts w:ascii="Times New Roman" w:hAnsi="Times New Roman"/>
                <w:noProof/>
                <w:sz w:val="28"/>
                <w:szCs w:val="28"/>
              </w:rPr>
              <w:t xml:space="preserve"> data to third countries</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_Toc380740748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46</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49" w:history="1">
            <w:r w:rsidR="00F72F00" w:rsidRPr="006150A4">
              <w:rPr>
                <w:rStyle w:val="Hyperlink"/>
                <w:rFonts w:ascii="Times New Roman" w:hAnsi="Times New Roman"/>
                <w:noProof/>
                <w:sz w:val="28"/>
                <w:szCs w:val="28"/>
              </w:rPr>
              <w:t>ІХ. Training in the field of personal data protection</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_Toc380740749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63</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50" w:history="1">
            <w:r w:rsidR="00F72F00" w:rsidRPr="006150A4">
              <w:rPr>
                <w:rStyle w:val="Hyperlink"/>
                <w:rFonts w:ascii="Times New Roman" w:hAnsi="Times New Roman"/>
                <w:noProof/>
                <w:sz w:val="28"/>
                <w:szCs w:val="28"/>
              </w:rPr>
              <w:t>X. Personal data protection reform</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_Toc380740750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74</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51" w:history="1">
            <w:r w:rsidR="00F72F00" w:rsidRPr="006150A4">
              <w:rPr>
                <w:rStyle w:val="Hyperlink"/>
                <w:rFonts w:ascii="Times New Roman" w:hAnsi="Times New Roman"/>
                <w:noProof/>
                <w:sz w:val="28"/>
                <w:szCs w:val="28"/>
              </w:rPr>
              <w:t>ХI. National and international cooperation</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_Toc380740751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77</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52" w:history="1">
            <w:r w:rsidR="00F72F00" w:rsidRPr="006150A4">
              <w:rPr>
                <w:rStyle w:val="Hyperlink"/>
                <w:rFonts w:ascii="Times New Roman" w:hAnsi="Times New Roman"/>
                <w:noProof/>
                <w:sz w:val="28"/>
                <w:szCs w:val="28"/>
              </w:rPr>
              <w:t>ХII. Institutional interaction and cooperation with higher education institutions and NGOs. Public relations and publicity and transparency policy</w:t>
            </w:r>
            <w:r w:rsidR="0048386C" w:rsidRPr="006150A4">
              <w:rPr>
                <w:rStyle w:val="Hyperlink"/>
                <w:rFonts w:ascii="Times New Roman" w:hAnsi="Times New Roman"/>
                <w:noProof/>
                <w:sz w:val="28"/>
                <w:szCs w:val="28"/>
              </w:rPr>
              <w:t xml:space="preserve">. </w:t>
            </w:r>
            <w:r w:rsidR="00F72F00" w:rsidRPr="006150A4">
              <w:rPr>
                <w:rStyle w:val="Hyperlink"/>
                <w:rFonts w:ascii="Times New Roman" w:hAnsi="Times New Roman"/>
                <w:noProof/>
                <w:sz w:val="28"/>
                <w:szCs w:val="28"/>
              </w:rPr>
              <w:t>Partnership with media representatives and information activity.</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_Toc380740752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83</w:t>
            </w:r>
            <w:r w:rsidR="00F72F00" w:rsidRPr="006150A4">
              <w:rPr>
                <w:rFonts w:ascii="Times New Roman" w:hAnsi="Times New Roman"/>
                <w:noProof/>
                <w:webHidden/>
                <w:sz w:val="28"/>
                <w:szCs w:val="28"/>
              </w:rPr>
              <w:fldChar w:fldCharType="end"/>
            </w:r>
          </w:hyperlink>
        </w:p>
        <w:p w:rsidR="00F72F00" w:rsidRPr="006150A4" w:rsidRDefault="0071677C">
          <w:pPr>
            <w:pStyle w:val="TOC1"/>
            <w:tabs>
              <w:tab w:val="right" w:leader="dot" w:pos="9344"/>
            </w:tabs>
            <w:rPr>
              <w:rFonts w:ascii="Times New Roman" w:eastAsiaTheme="minorEastAsia" w:hAnsi="Times New Roman"/>
              <w:noProof/>
              <w:sz w:val="28"/>
              <w:szCs w:val="28"/>
              <w:lang w:val="bg-BG" w:eastAsia="bg-BG" w:bidi="ar-SA"/>
            </w:rPr>
          </w:pPr>
          <w:hyperlink w:anchor="_Toc380740753" w:history="1">
            <w:r w:rsidR="00F72F00" w:rsidRPr="006150A4">
              <w:rPr>
                <w:rStyle w:val="Hyperlink"/>
                <w:rFonts w:ascii="Times New Roman" w:hAnsi="Times New Roman"/>
                <w:noProof/>
                <w:sz w:val="28"/>
                <w:szCs w:val="28"/>
              </w:rPr>
              <w:t>ХІІI. Administrative capacity and financial status</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_Toc380740753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89</w:t>
            </w:r>
            <w:r w:rsidR="00F72F00" w:rsidRPr="006150A4">
              <w:rPr>
                <w:rFonts w:ascii="Times New Roman" w:hAnsi="Times New Roman"/>
                <w:noProof/>
                <w:webHidden/>
                <w:sz w:val="28"/>
                <w:szCs w:val="28"/>
              </w:rPr>
              <w:fldChar w:fldCharType="end"/>
            </w:r>
          </w:hyperlink>
        </w:p>
        <w:p w:rsidR="00F72F00" w:rsidRDefault="0071677C">
          <w:pPr>
            <w:pStyle w:val="TOC1"/>
            <w:tabs>
              <w:tab w:val="right" w:leader="dot" w:pos="9344"/>
            </w:tabs>
            <w:rPr>
              <w:rFonts w:asciiTheme="minorHAnsi" w:eastAsiaTheme="minorEastAsia" w:hAnsiTheme="minorHAnsi" w:cstheme="minorBidi"/>
              <w:noProof/>
              <w:lang w:val="bg-BG" w:eastAsia="bg-BG" w:bidi="ar-SA"/>
            </w:rPr>
          </w:pPr>
          <w:hyperlink w:anchor="_Toc380740754" w:history="1">
            <w:r w:rsidR="00F72F00" w:rsidRPr="006150A4">
              <w:rPr>
                <w:rStyle w:val="Hyperlink"/>
                <w:rFonts w:ascii="Times New Roman" w:hAnsi="Times New Roman"/>
                <w:noProof/>
                <w:sz w:val="28"/>
                <w:szCs w:val="28"/>
              </w:rPr>
              <w:t>XIV. Conclusion</w:t>
            </w:r>
            <w:r w:rsidR="00F72F00" w:rsidRPr="006150A4">
              <w:rPr>
                <w:rFonts w:ascii="Times New Roman" w:hAnsi="Times New Roman"/>
                <w:noProof/>
                <w:webHidden/>
                <w:sz w:val="28"/>
                <w:szCs w:val="28"/>
              </w:rPr>
              <w:tab/>
            </w:r>
            <w:r w:rsidR="00F72F00" w:rsidRPr="006150A4">
              <w:rPr>
                <w:rFonts w:ascii="Times New Roman" w:hAnsi="Times New Roman"/>
                <w:noProof/>
                <w:webHidden/>
                <w:sz w:val="28"/>
                <w:szCs w:val="28"/>
              </w:rPr>
              <w:fldChar w:fldCharType="begin"/>
            </w:r>
            <w:r w:rsidR="00F72F00" w:rsidRPr="006150A4">
              <w:rPr>
                <w:rFonts w:ascii="Times New Roman" w:hAnsi="Times New Roman"/>
                <w:noProof/>
                <w:webHidden/>
                <w:sz w:val="28"/>
                <w:szCs w:val="28"/>
              </w:rPr>
              <w:instrText xml:space="preserve"> PAGEREF _Toc380740754 \h </w:instrText>
            </w:r>
            <w:r w:rsidR="00F72F00" w:rsidRPr="006150A4">
              <w:rPr>
                <w:rFonts w:ascii="Times New Roman" w:hAnsi="Times New Roman"/>
                <w:noProof/>
                <w:webHidden/>
                <w:sz w:val="28"/>
                <w:szCs w:val="28"/>
              </w:rPr>
            </w:r>
            <w:r w:rsidR="00F72F00" w:rsidRPr="006150A4">
              <w:rPr>
                <w:rFonts w:ascii="Times New Roman" w:hAnsi="Times New Roman"/>
                <w:noProof/>
                <w:webHidden/>
                <w:sz w:val="28"/>
                <w:szCs w:val="28"/>
              </w:rPr>
              <w:fldChar w:fldCharType="separate"/>
            </w:r>
            <w:r w:rsidR="00A90103">
              <w:rPr>
                <w:rFonts w:ascii="Times New Roman" w:hAnsi="Times New Roman"/>
                <w:noProof/>
                <w:webHidden/>
                <w:sz w:val="28"/>
                <w:szCs w:val="28"/>
              </w:rPr>
              <w:t>97</w:t>
            </w:r>
            <w:r w:rsidR="00F72F00" w:rsidRPr="006150A4">
              <w:rPr>
                <w:rFonts w:ascii="Times New Roman" w:hAnsi="Times New Roman"/>
                <w:noProof/>
                <w:webHidden/>
                <w:sz w:val="28"/>
                <w:szCs w:val="28"/>
              </w:rPr>
              <w:fldChar w:fldCharType="end"/>
            </w:r>
          </w:hyperlink>
        </w:p>
        <w:p w:rsidR="003D726B" w:rsidRPr="008364C4" w:rsidRDefault="00C061C2">
          <w:pPr>
            <w:pStyle w:val="TOC1"/>
            <w:tabs>
              <w:tab w:val="right" w:leader="dot" w:pos="9344"/>
            </w:tabs>
            <w:rPr>
              <w:rFonts w:asciiTheme="minorHAnsi" w:eastAsiaTheme="minorEastAsia" w:hAnsiTheme="minorHAnsi" w:cstheme="minorBidi"/>
            </w:rPr>
          </w:pPr>
          <w:r w:rsidRPr="008364C4">
            <w:fldChar w:fldCharType="end"/>
          </w:r>
        </w:p>
      </w:sdtContent>
    </w:sdt>
    <w:p w:rsidR="00E90B9A" w:rsidRPr="008364C4" w:rsidRDefault="004752E3" w:rsidP="003D726B">
      <w:pPr>
        <w:pStyle w:val="Heading1"/>
      </w:pPr>
      <w:r w:rsidRPr="008364C4">
        <w:br w:type="page"/>
      </w:r>
      <w:bookmarkStart w:id="0" w:name="_Toc380595205"/>
      <w:bookmarkStart w:id="1" w:name="_Toc380740741"/>
      <w:r w:rsidRPr="008364C4">
        <w:lastRenderedPageBreak/>
        <w:t>I. Introduction</w:t>
      </w:r>
      <w:bookmarkEnd w:id="0"/>
      <w:bookmarkEnd w:id="1"/>
    </w:p>
    <w:p w:rsidR="004752E3" w:rsidRPr="008364C4" w:rsidRDefault="004752E3" w:rsidP="004752E3">
      <w:pPr>
        <w:pStyle w:val="NoSpacing"/>
        <w:ind w:firstLine="709"/>
        <w:rPr>
          <w:rFonts w:ascii="Times New Roman" w:hAnsi="Times New Roman"/>
          <w:b/>
          <w:sz w:val="28"/>
          <w:szCs w:val="28"/>
        </w:rPr>
      </w:pPr>
    </w:p>
    <w:p w:rsidR="004A51B4" w:rsidRPr="008364C4" w:rsidRDefault="004A51B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Annual Report of the Commission for Personal Data Protection (CPDP) is prepared pursuant Art. </w:t>
      </w:r>
      <w:proofErr w:type="gramStart"/>
      <w:r w:rsidRPr="008364C4">
        <w:rPr>
          <w:rFonts w:ascii="Times New Roman" w:hAnsi="Times New Roman"/>
          <w:sz w:val="28"/>
        </w:rPr>
        <w:t>7 (6) of the Law for Protection of Personal Data (LPPD) and covers the period from 01.01.2013 to 31.12.2013.</w:t>
      </w:r>
      <w:proofErr w:type="gramEnd"/>
    </w:p>
    <w:p w:rsidR="0028732B" w:rsidRPr="008364C4" w:rsidRDefault="004A51B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Report contains an analysis of the achievement of CPDP priorities for 2013. It</w:t>
      </w:r>
      <w:r w:rsidR="00173091">
        <w:rPr>
          <w:rFonts w:ascii="Times New Roman" w:hAnsi="Times New Roman"/>
          <w:color w:val="FF0000"/>
          <w:sz w:val="28"/>
        </w:rPr>
        <w:t xml:space="preserve"> </w:t>
      </w:r>
      <w:r w:rsidR="00173091">
        <w:rPr>
          <w:rFonts w:ascii="Times New Roman" w:hAnsi="Times New Roman"/>
          <w:sz w:val="28"/>
        </w:rPr>
        <w:t xml:space="preserve">consecutively </w:t>
      </w:r>
      <w:r w:rsidRPr="008364C4">
        <w:rPr>
          <w:rFonts w:ascii="Times New Roman" w:hAnsi="Times New Roman"/>
          <w:sz w:val="28"/>
        </w:rPr>
        <w:t>analyses the powers of the institution, data controllers’ registration and data registers kept by them; statistics on t</w:t>
      </w:r>
      <w:r w:rsidR="008364C4">
        <w:rPr>
          <w:rFonts w:ascii="Times New Roman" w:hAnsi="Times New Roman"/>
          <w:sz w:val="28"/>
        </w:rPr>
        <w:t xml:space="preserve">he complaints filed under LPPD </w:t>
      </w:r>
      <w:r w:rsidRPr="008364C4">
        <w:rPr>
          <w:rFonts w:ascii="Times New Roman" w:hAnsi="Times New Roman"/>
          <w:sz w:val="28"/>
        </w:rPr>
        <w:t>and the Commission’s supervisory activity, as well as an analysis on the issued opinions and statistics on the requests for personal data transfers authorization, and the access provided to public information.</w:t>
      </w:r>
    </w:p>
    <w:p w:rsidR="004A51B4" w:rsidRPr="008364C4" w:rsidRDefault="004A51B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Commission’s administrative capacity and financial status during 2013 are also reported. </w:t>
      </w:r>
    </w:p>
    <w:p w:rsidR="004A51B4" w:rsidRPr="008364C4" w:rsidRDefault="004A51B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report also addresses the information activities and public relations activities of CPDP; the implemented information and communication technology; training conducted and implementation of projects funded by European programs.</w:t>
      </w:r>
    </w:p>
    <w:p w:rsidR="00E90B9A" w:rsidRPr="008364C4" w:rsidRDefault="005E568F" w:rsidP="003D726B">
      <w:pPr>
        <w:pStyle w:val="Heading1"/>
      </w:pPr>
      <w:r w:rsidRPr="008364C4">
        <w:br w:type="page"/>
      </w:r>
      <w:bookmarkStart w:id="2" w:name="_Toc380595206"/>
      <w:bookmarkStart w:id="3" w:name="_Toc380740742"/>
      <w:r w:rsidRPr="008364C4">
        <w:lastRenderedPageBreak/>
        <w:t>II. Analysis and report on the fulfilment of the Commission for Personal Data Protection priorities, set out in the 2012 Annual Report</w:t>
      </w:r>
      <w:bookmarkEnd w:id="2"/>
      <w:bookmarkEnd w:id="3"/>
      <w:r w:rsidRPr="008364C4">
        <w:t xml:space="preserve"> </w:t>
      </w:r>
    </w:p>
    <w:p w:rsidR="00C06E8E" w:rsidRPr="008364C4" w:rsidRDefault="00C06E8E" w:rsidP="00B112A9">
      <w:pPr>
        <w:spacing w:after="0" w:line="360" w:lineRule="auto"/>
        <w:ind w:firstLine="709"/>
        <w:jc w:val="both"/>
        <w:rPr>
          <w:rFonts w:ascii="Times New Roman" w:hAnsi="Times New Roman"/>
          <w:b/>
          <w:sz w:val="28"/>
          <w:szCs w:val="28"/>
        </w:rPr>
      </w:pPr>
    </w:p>
    <w:p w:rsidR="00C15AC2" w:rsidRDefault="00D9626E" w:rsidP="00D9626E">
      <w:pPr>
        <w:spacing w:after="0" w:line="360" w:lineRule="auto"/>
        <w:ind w:firstLine="709"/>
        <w:jc w:val="both"/>
        <w:rPr>
          <w:rFonts w:ascii="Times New Roman" w:hAnsi="Times New Roman"/>
          <w:sz w:val="28"/>
        </w:rPr>
      </w:pPr>
      <w:r w:rsidRPr="008364C4">
        <w:rPr>
          <w:rFonts w:ascii="Times New Roman" w:hAnsi="Times New Roman"/>
          <w:sz w:val="28"/>
        </w:rPr>
        <w:t>An extremely important focus of the Commission for Personal Data Protection for 2013 is the increased participation in specialized working groups of the European Union and the Council of Europe, involved in the preparation of amendments to the existing</w:t>
      </w:r>
      <w:r w:rsidR="00A50670">
        <w:rPr>
          <w:rFonts w:ascii="Times New Roman" w:hAnsi="Times New Roman"/>
          <w:sz w:val="28"/>
        </w:rPr>
        <w:t xml:space="preserve"> </w:t>
      </w:r>
      <w:r w:rsidR="00A50670" w:rsidRPr="00173091">
        <w:rPr>
          <w:rFonts w:ascii="Times New Roman" w:hAnsi="Times New Roman"/>
          <w:sz w:val="28"/>
        </w:rPr>
        <w:t>privacy and personal data protection</w:t>
      </w:r>
      <w:r w:rsidRPr="00173091">
        <w:rPr>
          <w:rFonts w:ascii="Times New Roman" w:hAnsi="Times New Roman"/>
          <w:sz w:val="28"/>
        </w:rPr>
        <w:t xml:space="preserve"> </w:t>
      </w:r>
      <w:r w:rsidRPr="008364C4">
        <w:rPr>
          <w:rFonts w:ascii="Times New Roman" w:hAnsi="Times New Roman"/>
          <w:sz w:val="28"/>
        </w:rPr>
        <w:t>legal framework</w:t>
      </w:r>
      <w:r w:rsidR="00A50670">
        <w:rPr>
          <w:rFonts w:ascii="Times New Roman" w:hAnsi="Times New Roman"/>
          <w:sz w:val="28"/>
        </w:rPr>
        <w:t xml:space="preserve">. </w:t>
      </w:r>
      <w:r w:rsidR="00C15AC2">
        <w:rPr>
          <w:rFonts w:ascii="Times New Roman" w:hAnsi="Times New Roman"/>
          <w:sz w:val="28"/>
        </w:rPr>
        <w:t>The coordination of the new legislative proposal continues at this moment due to the principal</w:t>
      </w:r>
      <w:r w:rsidRPr="00173091">
        <w:rPr>
          <w:rFonts w:ascii="Times New Roman" w:hAnsi="Times New Roman"/>
          <w:sz w:val="28"/>
        </w:rPr>
        <w:t xml:space="preserve"> </w:t>
      </w:r>
      <w:r w:rsidRPr="008364C4">
        <w:rPr>
          <w:rFonts w:ascii="Times New Roman" w:hAnsi="Times New Roman"/>
          <w:sz w:val="28"/>
        </w:rPr>
        <w:t>nature of the reform and the importance of the planned amendments to the legislation</w:t>
      </w:r>
      <w:r w:rsidR="00C15AC2">
        <w:rPr>
          <w:rFonts w:ascii="Times New Roman" w:hAnsi="Times New Roman"/>
          <w:sz w:val="28"/>
        </w:rPr>
        <w:t>.</w:t>
      </w:r>
    </w:p>
    <w:p w:rsidR="00D9626E" w:rsidRPr="008364C4" w:rsidRDefault="00C15AC2" w:rsidP="00D9626E">
      <w:pPr>
        <w:spacing w:after="0" w:line="360" w:lineRule="auto"/>
        <w:ind w:firstLine="709"/>
        <w:jc w:val="both"/>
        <w:rPr>
          <w:rFonts w:ascii="Times New Roman" w:hAnsi="Times New Roman"/>
          <w:sz w:val="28"/>
          <w:szCs w:val="28"/>
        </w:rPr>
      </w:pPr>
      <w:proofErr w:type="spellStart"/>
      <w:r w:rsidRPr="00C15AC2">
        <w:rPr>
          <w:rFonts w:ascii="Times New Roman" w:hAnsi="Times New Roman"/>
          <w:sz w:val="28"/>
        </w:rPr>
        <w:t>Beeing</w:t>
      </w:r>
      <w:proofErr w:type="spellEnd"/>
      <w:r w:rsidRPr="00C15AC2">
        <w:rPr>
          <w:rFonts w:ascii="Times New Roman" w:hAnsi="Times New Roman"/>
          <w:sz w:val="28"/>
        </w:rPr>
        <w:t xml:space="preserve"> part of the debate</w:t>
      </w:r>
      <w:r w:rsidR="00D9626E" w:rsidRPr="00C15AC2">
        <w:rPr>
          <w:rFonts w:ascii="Times New Roman" w:hAnsi="Times New Roman"/>
          <w:sz w:val="28"/>
        </w:rPr>
        <w:t xml:space="preserve">, </w:t>
      </w:r>
      <w:r>
        <w:rPr>
          <w:rFonts w:ascii="Times New Roman" w:hAnsi="Times New Roman"/>
          <w:sz w:val="28"/>
        </w:rPr>
        <w:t xml:space="preserve">CPDP expresses its principal </w:t>
      </w:r>
      <w:r w:rsidR="00D9626E" w:rsidRPr="008364C4">
        <w:rPr>
          <w:rFonts w:ascii="Times New Roman" w:hAnsi="Times New Roman"/>
          <w:sz w:val="28"/>
        </w:rPr>
        <w:t xml:space="preserve">position that the </w:t>
      </w:r>
      <w:r w:rsidR="00A50670">
        <w:rPr>
          <w:rFonts w:ascii="Times New Roman" w:hAnsi="Times New Roman"/>
          <w:sz w:val="28"/>
        </w:rPr>
        <w:t xml:space="preserve">priority areas are the </w:t>
      </w:r>
      <w:r w:rsidR="00D9626E" w:rsidRPr="008364C4">
        <w:rPr>
          <w:rFonts w:ascii="Times New Roman" w:hAnsi="Times New Roman"/>
          <w:sz w:val="28"/>
        </w:rPr>
        <w:t xml:space="preserve">following: introduction of the "one stop shop" principle; extension of the scope of the international </w:t>
      </w:r>
      <w:r w:rsidR="00A50670" w:rsidRPr="00C15AC2">
        <w:rPr>
          <w:rFonts w:ascii="Times New Roman" w:hAnsi="Times New Roman"/>
          <w:sz w:val="28"/>
        </w:rPr>
        <w:t xml:space="preserve">personal data </w:t>
      </w:r>
      <w:r w:rsidR="00D9626E" w:rsidRPr="008364C4">
        <w:rPr>
          <w:rFonts w:ascii="Times New Roman" w:hAnsi="Times New Roman"/>
          <w:sz w:val="28"/>
        </w:rPr>
        <w:t xml:space="preserve">transfers; </w:t>
      </w:r>
      <w:r w:rsidR="00B83E11">
        <w:rPr>
          <w:rFonts w:ascii="Times New Roman" w:hAnsi="Times New Roman"/>
          <w:sz w:val="28"/>
        </w:rPr>
        <w:t xml:space="preserve">the coordination and cooperation </w:t>
      </w:r>
      <w:r w:rsidR="00D9626E" w:rsidRPr="008364C4">
        <w:rPr>
          <w:rFonts w:ascii="Times New Roman" w:hAnsi="Times New Roman"/>
          <w:sz w:val="28"/>
        </w:rPr>
        <w:t xml:space="preserve">mechanism </w:t>
      </w:r>
      <w:r w:rsidR="00B83E11">
        <w:rPr>
          <w:rFonts w:ascii="Times New Roman" w:hAnsi="Times New Roman"/>
          <w:sz w:val="28"/>
        </w:rPr>
        <w:t>between the national</w:t>
      </w:r>
      <w:r w:rsidR="00D9626E" w:rsidRPr="008364C4">
        <w:rPr>
          <w:rFonts w:ascii="Times New Roman" w:hAnsi="Times New Roman"/>
          <w:sz w:val="28"/>
        </w:rPr>
        <w:t xml:space="preserve"> supervisory authorities; enhancing the role of the national data protection supervisory authorities and the European Data Protection Board. Despite the ambitions of the Vice-President of the European Commission Viviane </w:t>
      </w:r>
      <w:proofErr w:type="spellStart"/>
      <w:r w:rsidR="00D9626E" w:rsidRPr="008364C4">
        <w:rPr>
          <w:rFonts w:ascii="Times New Roman" w:hAnsi="Times New Roman"/>
          <w:sz w:val="28"/>
        </w:rPr>
        <w:t>Reding</w:t>
      </w:r>
      <w:proofErr w:type="spellEnd"/>
      <w:r w:rsidR="00D9626E" w:rsidRPr="008364C4">
        <w:rPr>
          <w:rFonts w:ascii="Times New Roman" w:hAnsi="Times New Roman"/>
          <w:sz w:val="28"/>
        </w:rPr>
        <w:t xml:space="preserve"> for the successful finalization of the </w:t>
      </w:r>
      <w:proofErr w:type="spellStart"/>
      <w:r w:rsidR="00D9626E" w:rsidRPr="008364C4">
        <w:rPr>
          <w:rFonts w:ascii="Times New Roman" w:hAnsi="Times New Roman"/>
          <w:sz w:val="28"/>
        </w:rPr>
        <w:t>ongoing</w:t>
      </w:r>
      <w:proofErr w:type="spellEnd"/>
      <w:r w:rsidR="00D9626E" w:rsidRPr="008364C4">
        <w:rPr>
          <w:rFonts w:ascii="Times New Roman" w:hAnsi="Times New Roman"/>
          <w:sz w:val="28"/>
        </w:rPr>
        <w:t xml:space="preserve"> reform in late 2012 or 2013, the debate on the proposal for a new legislative package is expected to continue in the first half of 2014. </w:t>
      </w:r>
    </w:p>
    <w:p w:rsidR="00D9626E" w:rsidRPr="008364C4" w:rsidRDefault="00D9626E" w:rsidP="00D9626E">
      <w:pPr>
        <w:spacing w:after="0" w:line="360" w:lineRule="auto"/>
        <w:ind w:firstLine="709"/>
        <w:jc w:val="both"/>
        <w:rPr>
          <w:rFonts w:ascii="Times New Roman" w:hAnsi="Times New Roman"/>
          <w:sz w:val="28"/>
          <w:szCs w:val="28"/>
        </w:rPr>
      </w:pPr>
      <w:r w:rsidRPr="008364C4">
        <w:rPr>
          <w:rFonts w:ascii="Times New Roman" w:hAnsi="Times New Roman"/>
          <w:sz w:val="28"/>
        </w:rPr>
        <w:t>The introduction of the position of the data protection officer is an essential element of the reform</w:t>
      </w:r>
      <w:r w:rsidR="00395C5A">
        <w:rPr>
          <w:rFonts w:ascii="Times New Roman" w:hAnsi="Times New Roman"/>
          <w:sz w:val="28"/>
        </w:rPr>
        <w:t xml:space="preserve"> proposed by EC in the </w:t>
      </w:r>
      <w:r w:rsidRPr="008364C4">
        <w:rPr>
          <w:rFonts w:ascii="Times New Roman" w:hAnsi="Times New Roman"/>
          <w:sz w:val="28"/>
        </w:rPr>
        <w:t>data protection</w:t>
      </w:r>
      <w:r w:rsidR="00395C5A">
        <w:rPr>
          <w:rFonts w:ascii="Times New Roman" w:hAnsi="Times New Roman"/>
          <w:sz w:val="28"/>
        </w:rPr>
        <w:t xml:space="preserve"> field</w:t>
      </w:r>
      <w:r w:rsidRPr="008364C4">
        <w:rPr>
          <w:rFonts w:ascii="Times New Roman" w:hAnsi="Times New Roman"/>
          <w:sz w:val="28"/>
        </w:rPr>
        <w:t>. In order to prepare for its successful implementation in Bulgaria, when carryi</w:t>
      </w:r>
      <w:r w:rsidR="00395C5A">
        <w:rPr>
          <w:rFonts w:ascii="Times New Roman" w:hAnsi="Times New Roman"/>
          <w:sz w:val="28"/>
        </w:rPr>
        <w:t xml:space="preserve">ng out training on </w:t>
      </w:r>
      <w:r w:rsidRPr="008364C4">
        <w:rPr>
          <w:rFonts w:ascii="Times New Roman" w:hAnsi="Times New Roman"/>
          <w:sz w:val="28"/>
        </w:rPr>
        <w:t xml:space="preserve">personal data protection, CPDP focuses on the forthcoming introduction of this position and its binding nature. The Commission's experience in conducting training of data controllers </w:t>
      </w:r>
      <w:r w:rsidR="00C15AC2">
        <w:rPr>
          <w:rFonts w:ascii="Times New Roman" w:hAnsi="Times New Roman"/>
          <w:sz w:val="28"/>
        </w:rPr>
        <w:t>guarantees</w:t>
      </w:r>
      <w:r w:rsidRPr="008364C4">
        <w:rPr>
          <w:rFonts w:ascii="Times New Roman" w:hAnsi="Times New Roman"/>
          <w:sz w:val="28"/>
        </w:rPr>
        <w:t xml:space="preserve"> the Commission's preparedness for training data protection officers after the entry into force of the regulation that would impose their compulsory institutionalization. </w:t>
      </w:r>
    </w:p>
    <w:p w:rsidR="00D9626E" w:rsidRPr="008364C4" w:rsidRDefault="00D9626E" w:rsidP="00D9626E">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analysis of the practice and legislation of related data protection supervisory authorities shows that the CPDP powers to enter into agreements in the </w:t>
      </w:r>
      <w:r w:rsidRPr="008364C4">
        <w:rPr>
          <w:rFonts w:ascii="Times New Roman" w:hAnsi="Times New Roman"/>
          <w:sz w:val="28"/>
        </w:rPr>
        <w:lastRenderedPageBreak/>
        <w:t xml:space="preserve">field of personal data protection has no analogue in other countries. This uniqueness, however, is a legal impediment </w:t>
      </w:r>
      <w:r w:rsidR="00C15AC2" w:rsidRPr="00C15AC2">
        <w:rPr>
          <w:rFonts w:ascii="Times New Roman" w:hAnsi="Times New Roman"/>
          <w:sz w:val="28"/>
        </w:rPr>
        <w:t>to</w:t>
      </w:r>
      <w:r w:rsidR="00C15AC2">
        <w:rPr>
          <w:rFonts w:ascii="Times New Roman" w:hAnsi="Times New Roman"/>
          <w:sz w:val="28"/>
        </w:rPr>
        <w:t xml:space="preserve"> legally bind</w:t>
      </w:r>
      <w:r w:rsidR="00C15AC2" w:rsidRPr="00C15AC2">
        <w:rPr>
          <w:rFonts w:ascii="Times New Roman" w:hAnsi="Times New Roman"/>
          <w:sz w:val="28"/>
        </w:rPr>
        <w:t xml:space="preserve"> </w:t>
      </w:r>
      <w:r w:rsidRPr="008364C4">
        <w:rPr>
          <w:rFonts w:ascii="Times New Roman" w:hAnsi="Times New Roman"/>
          <w:sz w:val="28"/>
        </w:rPr>
        <w:t xml:space="preserve">the bilateral relations of the Commission with other EU supervisory authorities. The fact that the European supervisory authorities are not legally allowed to enter into international agreements regarding matters within their competence is an objective obstacle for CPDP to effectively exercise in practice these particular powers of the Commission. </w:t>
      </w:r>
      <w:r w:rsidR="004B6F6F">
        <w:rPr>
          <w:rFonts w:ascii="Times New Roman" w:hAnsi="Times New Roman"/>
          <w:sz w:val="28"/>
        </w:rPr>
        <w:t>In this regard, during the</w:t>
      </w:r>
      <w:r w:rsidRPr="008364C4">
        <w:rPr>
          <w:rFonts w:ascii="Times New Roman" w:hAnsi="Times New Roman"/>
          <w:sz w:val="28"/>
        </w:rPr>
        <w:t xml:space="preserve"> reporting period, CPDP has not received requests for entering into agreements sent by similar European institutions, despite the Commission's stated willingness and readiness to establish formal legal relationship with them. </w:t>
      </w:r>
    </w:p>
    <w:p w:rsidR="00E90B9A" w:rsidRPr="008E16EC" w:rsidRDefault="00D9626E" w:rsidP="004B6F6F">
      <w:pPr>
        <w:spacing w:after="0" w:line="360" w:lineRule="auto"/>
        <w:ind w:firstLine="709"/>
        <w:rPr>
          <w:rFonts w:ascii="Times New Roman" w:hAnsi="Times New Roman"/>
          <w:b/>
          <w:sz w:val="28"/>
          <w:szCs w:val="28"/>
          <w:lang w:val="en-US"/>
        </w:rPr>
      </w:pPr>
      <w:r w:rsidRPr="008364C4">
        <w:rPr>
          <w:rFonts w:ascii="Times New Roman" w:hAnsi="Times New Roman"/>
          <w:sz w:val="28"/>
        </w:rPr>
        <w:t xml:space="preserve">The process of moving the Commission for Personal Data Protection to a new building is to be finalized. </w:t>
      </w:r>
      <w:r w:rsidR="004B6F6F" w:rsidRPr="004B6F6F">
        <w:rPr>
          <w:rFonts w:ascii="Times New Roman" w:hAnsi="Times New Roman"/>
          <w:sz w:val="28"/>
          <w:szCs w:val="28"/>
        </w:rPr>
        <w:t>This is the main technical reason preventing the expansion of European Union internal electronic network via setting up a contact point in CPDP.</w:t>
      </w:r>
      <w:r w:rsidR="009D1307" w:rsidRPr="004B6F6F">
        <w:rPr>
          <w:rFonts w:ascii="Times New Roman" w:hAnsi="Times New Roman"/>
          <w:sz w:val="28"/>
          <w:szCs w:val="28"/>
        </w:rPr>
        <w:br w:type="page"/>
      </w:r>
      <w:bookmarkStart w:id="4" w:name="_Toc380595207"/>
      <w:bookmarkStart w:id="5" w:name="_Toc380740743"/>
      <w:r w:rsidR="009D1307" w:rsidRPr="008E16EC">
        <w:rPr>
          <w:rFonts w:ascii="Times New Roman" w:hAnsi="Times New Roman"/>
          <w:b/>
          <w:sz w:val="28"/>
          <w:szCs w:val="28"/>
        </w:rPr>
        <w:lastRenderedPageBreak/>
        <w:t>III. Powers of the Commission for Personal Data Protection:</w:t>
      </w:r>
      <w:bookmarkEnd w:id="4"/>
      <w:bookmarkEnd w:id="5"/>
      <w:r w:rsidR="009D1307" w:rsidRPr="008E16EC">
        <w:rPr>
          <w:rFonts w:ascii="Times New Roman" w:hAnsi="Times New Roman"/>
          <w:b/>
          <w:sz w:val="28"/>
          <w:szCs w:val="28"/>
        </w:rPr>
        <w:t xml:space="preserve"> </w:t>
      </w:r>
    </w:p>
    <w:p w:rsidR="00ED0A33" w:rsidRPr="008364C4" w:rsidRDefault="00ED0A33" w:rsidP="00B32885">
      <w:pPr>
        <w:tabs>
          <w:tab w:val="left" w:pos="993"/>
        </w:tabs>
        <w:spacing w:after="0" w:line="360" w:lineRule="auto"/>
        <w:ind w:firstLine="709"/>
        <w:jc w:val="both"/>
        <w:rPr>
          <w:rFonts w:ascii="Times New Roman" w:hAnsi="Times New Roman"/>
          <w:b/>
          <w:sz w:val="28"/>
          <w:szCs w:val="28"/>
        </w:rPr>
      </w:pPr>
    </w:p>
    <w:p w:rsidR="00B32885" w:rsidRPr="008364C4" w:rsidRDefault="00B32885" w:rsidP="00B32885">
      <w:pPr>
        <w:tabs>
          <w:tab w:val="left" w:pos="993"/>
        </w:tabs>
        <w:spacing w:after="0" w:line="360" w:lineRule="auto"/>
        <w:ind w:firstLine="709"/>
        <w:jc w:val="both"/>
        <w:rPr>
          <w:rFonts w:ascii="Times New Roman" w:hAnsi="Times New Roman"/>
          <w:b/>
          <w:sz w:val="28"/>
          <w:szCs w:val="28"/>
        </w:rPr>
      </w:pPr>
      <w:r w:rsidRPr="008364C4">
        <w:rPr>
          <w:rFonts w:ascii="Times New Roman" w:hAnsi="Times New Roman"/>
          <w:b/>
          <w:sz w:val="28"/>
        </w:rPr>
        <w:t>1. Pursuant to the Law for Protection of Personal Data</w:t>
      </w:r>
    </w:p>
    <w:p w:rsidR="00B32885" w:rsidRPr="008364C4" w:rsidRDefault="00B32885" w:rsidP="00B32885">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As the only public authority whose main task is to ensure privacy and personal data protection, the Commission for Personal Data Protection has diverse tools for impact. The main activities of the Commission can be grouped into two areas: adequate prevention and effective control.</w:t>
      </w:r>
    </w:p>
    <w:p w:rsidR="00B32885" w:rsidRPr="008F1880" w:rsidRDefault="00B32885" w:rsidP="008F1880">
      <w:pPr>
        <w:tabs>
          <w:tab w:val="left" w:pos="993"/>
        </w:tabs>
        <w:spacing w:after="0" w:line="360" w:lineRule="auto"/>
        <w:ind w:firstLine="709"/>
        <w:jc w:val="both"/>
        <w:rPr>
          <w:rFonts w:ascii="Times New Roman" w:hAnsi="Times New Roman"/>
          <w:sz w:val="28"/>
        </w:rPr>
      </w:pPr>
      <w:r w:rsidRPr="008364C4">
        <w:rPr>
          <w:rFonts w:ascii="Times New Roman" w:hAnsi="Times New Roman"/>
          <w:sz w:val="28"/>
        </w:rPr>
        <w:t>Preventive activities are carried out through coordinating and expressing opinions on draft laws and</w:t>
      </w:r>
      <w:r w:rsidR="0035345B">
        <w:rPr>
          <w:rFonts w:ascii="Times New Roman" w:hAnsi="Times New Roman"/>
          <w:sz w:val="28"/>
        </w:rPr>
        <w:t xml:space="preserve"> regulations </w:t>
      </w:r>
      <w:proofErr w:type="spellStart"/>
      <w:r w:rsidR="0035345B">
        <w:rPr>
          <w:rFonts w:ascii="Times New Roman" w:hAnsi="Times New Roman"/>
          <w:sz w:val="28"/>
        </w:rPr>
        <w:t>concering</w:t>
      </w:r>
      <w:proofErr w:type="spellEnd"/>
      <w:r w:rsidRPr="008364C4">
        <w:rPr>
          <w:rFonts w:ascii="Times New Roman" w:hAnsi="Times New Roman"/>
          <w:sz w:val="28"/>
        </w:rPr>
        <w:t xml:space="preserve"> the</w:t>
      </w:r>
      <w:r w:rsidR="0035345B">
        <w:rPr>
          <w:rFonts w:ascii="Times New Roman" w:hAnsi="Times New Roman"/>
          <w:sz w:val="28"/>
        </w:rPr>
        <w:t xml:space="preserve"> personal data processing</w:t>
      </w:r>
      <w:r w:rsidRPr="008364C4">
        <w:rPr>
          <w:rFonts w:ascii="Times New Roman" w:hAnsi="Times New Roman"/>
          <w:sz w:val="28"/>
        </w:rPr>
        <w:t xml:space="preserve">; issuing regulations on the </w:t>
      </w:r>
      <w:r w:rsidR="008F1880">
        <w:rPr>
          <w:rFonts w:ascii="Times New Roman" w:hAnsi="Times New Roman"/>
          <w:sz w:val="28"/>
        </w:rPr>
        <w:t xml:space="preserve">personal data </w:t>
      </w:r>
      <w:r w:rsidRPr="008364C4">
        <w:rPr>
          <w:rFonts w:ascii="Times New Roman" w:hAnsi="Times New Roman"/>
          <w:sz w:val="28"/>
        </w:rPr>
        <w:t xml:space="preserve">protection; direct involvement in the </w:t>
      </w:r>
      <w:r w:rsidR="0035345B" w:rsidRPr="0035345B">
        <w:rPr>
          <w:rFonts w:ascii="Times New Roman" w:hAnsi="Times New Roman"/>
          <w:sz w:val="28"/>
        </w:rPr>
        <w:t>preparation</w:t>
      </w:r>
      <w:r w:rsidR="0035345B">
        <w:rPr>
          <w:rFonts w:ascii="Times New Roman" w:hAnsi="Times New Roman"/>
          <w:color w:val="FF0000"/>
          <w:sz w:val="28"/>
          <w:u w:val="single"/>
        </w:rPr>
        <w:t xml:space="preserve"> </w:t>
      </w:r>
      <w:r w:rsidRPr="008364C4">
        <w:rPr>
          <w:rFonts w:ascii="Times New Roman" w:hAnsi="Times New Roman"/>
          <w:sz w:val="28"/>
        </w:rPr>
        <w:t xml:space="preserve">of European and international </w:t>
      </w:r>
      <w:r w:rsidR="008F1880">
        <w:rPr>
          <w:rFonts w:ascii="Times New Roman" w:hAnsi="Times New Roman"/>
          <w:sz w:val="28"/>
        </w:rPr>
        <w:t xml:space="preserve">data protection </w:t>
      </w:r>
      <w:r w:rsidRPr="008364C4">
        <w:rPr>
          <w:rFonts w:ascii="Times New Roman" w:hAnsi="Times New Roman"/>
          <w:sz w:val="28"/>
        </w:rPr>
        <w:t xml:space="preserve">policies </w:t>
      </w:r>
      <w:r w:rsidR="008F1880">
        <w:rPr>
          <w:rFonts w:ascii="Times New Roman" w:hAnsi="Times New Roman"/>
          <w:sz w:val="28"/>
        </w:rPr>
        <w:t>via</w:t>
      </w:r>
      <w:r w:rsidRPr="008364C4">
        <w:rPr>
          <w:rFonts w:ascii="Times New Roman" w:hAnsi="Times New Roman"/>
          <w:sz w:val="28"/>
        </w:rPr>
        <w:t xml:space="preserve"> participation in various international forums; conducting training of data controllers in the field of personal data protection and expression of opinions </w:t>
      </w:r>
      <w:r w:rsidR="0035345B">
        <w:rPr>
          <w:rFonts w:ascii="Times New Roman" w:hAnsi="Times New Roman"/>
          <w:sz w:val="28"/>
        </w:rPr>
        <w:t>on various issues in accordance with the Commission’s competence</w:t>
      </w:r>
      <w:r w:rsidRPr="008364C4">
        <w:rPr>
          <w:rFonts w:ascii="Times New Roman" w:hAnsi="Times New Roman"/>
          <w:sz w:val="28"/>
        </w:rPr>
        <w:t>; keeping a register of data controllers.</w:t>
      </w:r>
    </w:p>
    <w:p w:rsidR="00B32885" w:rsidRPr="008364C4" w:rsidRDefault="00B32885" w:rsidP="00B32885">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The Commission exercises effective contro</w:t>
      </w:r>
      <w:r w:rsidR="008F1880">
        <w:rPr>
          <w:rFonts w:ascii="Times New Roman" w:hAnsi="Times New Roman"/>
          <w:sz w:val="28"/>
        </w:rPr>
        <w:t>l by carrying out inspections of</w:t>
      </w:r>
      <w:r w:rsidRPr="008364C4">
        <w:rPr>
          <w:rFonts w:ascii="Times New Roman" w:hAnsi="Times New Roman"/>
          <w:sz w:val="28"/>
        </w:rPr>
        <w:t xml:space="preserve"> data controllers processing personal data; application of an authorization regime for</w:t>
      </w:r>
      <w:r w:rsidR="008F1880">
        <w:rPr>
          <w:rFonts w:ascii="Times New Roman" w:hAnsi="Times New Roman"/>
          <w:sz w:val="28"/>
        </w:rPr>
        <w:t xml:space="preserve"> third countries data transfers</w:t>
      </w:r>
      <w:r w:rsidRPr="008364C4">
        <w:rPr>
          <w:rFonts w:ascii="Times New Roman" w:hAnsi="Times New Roman"/>
          <w:sz w:val="28"/>
        </w:rPr>
        <w:t xml:space="preserve">; issuance of compulsory instructions to data controllers; imposing a temporary ban on the </w:t>
      </w:r>
      <w:r w:rsidR="008F1880">
        <w:rPr>
          <w:rFonts w:ascii="Times New Roman" w:hAnsi="Times New Roman"/>
          <w:sz w:val="28"/>
        </w:rPr>
        <w:t xml:space="preserve">personal data </w:t>
      </w:r>
      <w:r w:rsidRPr="008364C4">
        <w:rPr>
          <w:rFonts w:ascii="Times New Roman" w:hAnsi="Times New Roman"/>
          <w:sz w:val="28"/>
        </w:rPr>
        <w:t>processing and administrative sanctions.</w:t>
      </w:r>
    </w:p>
    <w:p w:rsidR="00ED0A33" w:rsidRPr="008364C4" w:rsidRDefault="00ED0A33" w:rsidP="00B32885">
      <w:pPr>
        <w:tabs>
          <w:tab w:val="left" w:pos="993"/>
        </w:tabs>
        <w:spacing w:after="0" w:line="360" w:lineRule="auto"/>
        <w:ind w:firstLine="709"/>
        <w:jc w:val="both"/>
        <w:rPr>
          <w:rFonts w:ascii="Times New Roman" w:hAnsi="Times New Roman"/>
          <w:b/>
          <w:sz w:val="28"/>
          <w:szCs w:val="28"/>
        </w:rPr>
      </w:pPr>
    </w:p>
    <w:p w:rsidR="00B32885" w:rsidRPr="008364C4" w:rsidRDefault="00B32885" w:rsidP="00B32885">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b/>
          <w:sz w:val="28"/>
        </w:rPr>
        <w:t>2. Pursuant to the Law on Electronic Communications</w:t>
      </w:r>
    </w:p>
    <w:p w:rsidR="00B32885" w:rsidRPr="008364C4" w:rsidRDefault="00B32885" w:rsidP="00B32885">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Processing of personal data in the electronic communications sector is considered risky by experts in the</w:t>
      </w:r>
      <w:r w:rsidR="008F1880">
        <w:rPr>
          <w:rFonts w:ascii="Times New Roman" w:hAnsi="Times New Roman"/>
          <w:sz w:val="28"/>
        </w:rPr>
        <w:t xml:space="preserve"> personal data protection </w:t>
      </w:r>
      <w:r w:rsidRPr="008364C4">
        <w:rPr>
          <w:rFonts w:ascii="Times New Roman" w:hAnsi="Times New Roman"/>
          <w:sz w:val="28"/>
        </w:rPr>
        <w:t xml:space="preserve">field. As such, it is subject to further regulation. The national, respectively the European legislator periodically introduces specific duties and additional requirements to all entities that process personal data in the electronic communications sector. </w:t>
      </w:r>
    </w:p>
    <w:p w:rsidR="00B32885" w:rsidRPr="008364C4" w:rsidRDefault="00B32885" w:rsidP="00B32885">
      <w:pPr>
        <w:tabs>
          <w:tab w:val="left" w:pos="993"/>
        </w:tabs>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t>Pursuant to Art.</w:t>
      </w:r>
      <w:proofErr w:type="gramEnd"/>
      <w:r w:rsidRPr="008364C4">
        <w:rPr>
          <w:rFonts w:ascii="Times New Roman" w:hAnsi="Times New Roman"/>
          <w:sz w:val="28"/>
        </w:rPr>
        <w:t xml:space="preserve"> 261a of the Law on Electronic Communications, the Commission is designated by the Bulgarian legislator as the monitoring authority </w:t>
      </w:r>
      <w:r w:rsidRPr="008364C4">
        <w:rPr>
          <w:rFonts w:ascii="Times New Roman" w:hAnsi="Times New Roman"/>
          <w:sz w:val="28"/>
        </w:rPr>
        <w:lastRenderedPageBreak/>
        <w:t xml:space="preserve">on the </w:t>
      </w:r>
      <w:r w:rsidR="00F87C45">
        <w:rPr>
          <w:rFonts w:ascii="Times New Roman" w:hAnsi="Times New Roman"/>
          <w:sz w:val="28"/>
        </w:rPr>
        <w:t xml:space="preserve">security </w:t>
      </w:r>
      <w:r w:rsidRPr="008364C4">
        <w:rPr>
          <w:rFonts w:ascii="Times New Roman" w:hAnsi="Times New Roman"/>
          <w:sz w:val="28"/>
        </w:rPr>
        <w:t xml:space="preserve">of traffic data stored by enterprises that provide public electronic communication networks and/or services. For this purpose, it supervises the operation of these providers in order to ensure the compliance with certain </w:t>
      </w:r>
      <w:r w:rsidR="00F87C45" w:rsidRPr="00F87C45">
        <w:rPr>
          <w:rFonts w:ascii="Times New Roman" w:hAnsi="Times New Roman"/>
          <w:sz w:val="28"/>
        </w:rPr>
        <w:t xml:space="preserve">data retention </w:t>
      </w:r>
      <w:r w:rsidRPr="008364C4">
        <w:rPr>
          <w:rFonts w:ascii="Times New Roman" w:hAnsi="Times New Roman"/>
          <w:sz w:val="28"/>
        </w:rPr>
        <w:t>rules to ensure data protection and security.</w:t>
      </w:r>
    </w:p>
    <w:p w:rsidR="00B32885" w:rsidRPr="008364C4" w:rsidRDefault="00B32885" w:rsidP="00B32885">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 xml:space="preserve">After analysing and summarizing the statistics of </w:t>
      </w:r>
      <w:r w:rsidR="00F87C45">
        <w:rPr>
          <w:rFonts w:ascii="Times New Roman" w:hAnsi="Times New Roman"/>
          <w:sz w:val="28"/>
        </w:rPr>
        <w:t xml:space="preserve">the </w:t>
      </w:r>
      <w:r w:rsidRPr="00F87C45">
        <w:rPr>
          <w:rFonts w:ascii="Times New Roman" w:hAnsi="Times New Roman"/>
          <w:sz w:val="28"/>
        </w:rPr>
        <w:t>liable e</w:t>
      </w:r>
      <w:r w:rsidRPr="008364C4">
        <w:rPr>
          <w:rFonts w:ascii="Times New Roman" w:hAnsi="Times New Roman"/>
          <w:sz w:val="28"/>
        </w:rPr>
        <w:t xml:space="preserve">nterprises, the Commission annually submits a summary to the attention of the National Assembly and the European Commission on: the total number of liable enterprises which have provided statistical information, the authorities which have requested access to traffic data, the service nature, and the data retention period. </w:t>
      </w:r>
    </w:p>
    <w:p w:rsidR="00B32885" w:rsidRPr="008364C4" w:rsidRDefault="00B32885" w:rsidP="00B32885">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During the reporting period there is a significant growth in the number of enterprises that have submitted information to the Commission in 2013, compared to the previous two years. It is noteworthy that in 2013 no enterprises have failed to comply with the instructions of the Commission regarding data submission form which allows for more efficient data analysis and summary. Significantly reduced is the number of unlawful access requests by the competent authorities, which is a result</w:t>
      </w:r>
      <w:r w:rsidR="004B0002">
        <w:rPr>
          <w:rFonts w:ascii="Times New Roman" w:hAnsi="Times New Roman"/>
          <w:sz w:val="28"/>
        </w:rPr>
        <w:t>, achieved with</w:t>
      </w:r>
      <w:r w:rsidR="004B0002" w:rsidRPr="008364C4">
        <w:rPr>
          <w:rFonts w:ascii="Times New Roman" w:hAnsi="Times New Roman"/>
          <w:sz w:val="28"/>
        </w:rPr>
        <w:t xml:space="preserve"> the</w:t>
      </w:r>
      <w:r w:rsidR="004B0002">
        <w:rPr>
          <w:rFonts w:ascii="Times New Roman" w:hAnsi="Times New Roman"/>
          <w:sz w:val="28"/>
        </w:rPr>
        <w:t xml:space="preserve"> 2012</w:t>
      </w:r>
      <w:r w:rsidR="004B0002" w:rsidRPr="008364C4">
        <w:rPr>
          <w:rFonts w:ascii="Times New Roman" w:hAnsi="Times New Roman"/>
          <w:sz w:val="28"/>
        </w:rPr>
        <w:t xml:space="preserve"> Commission's guidelines</w:t>
      </w:r>
      <w:r w:rsidR="004B0002">
        <w:rPr>
          <w:rFonts w:ascii="Times New Roman" w:hAnsi="Times New Roman"/>
          <w:sz w:val="28"/>
        </w:rPr>
        <w:t xml:space="preserve"> on</w:t>
      </w:r>
      <w:r w:rsidRPr="008364C4">
        <w:rPr>
          <w:rFonts w:ascii="Times New Roman" w:hAnsi="Times New Roman"/>
          <w:sz w:val="28"/>
        </w:rPr>
        <w:t xml:space="preserve"> the standardization of the procedures for request of information</w:t>
      </w:r>
      <w:r w:rsidR="004B0002">
        <w:rPr>
          <w:rFonts w:ascii="Times New Roman" w:hAnsi="Times New Roman"/>
          <w:sz w:val="28"/>
        </w:rPr>
        <w:t>,</w:t>
      </w:r>
      <w:r w:rsidRPr="008364C4">
        <w:rPr>
          <w:rFonts w:ascii="Times New Roman" w:hAnsi="Times New Roman"/>
          <w:sz w:val="28"/>
        </w:rPr>
        <w:t xml:space="preserve"> </w:t>
      </w:r>
    </w:p>
    <w:p w:rsidR="00B32885" w:rsidRPr="004B0002" w:rsidRDefault="00B32885" w:rsidP="00B32885">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In its</w:t>
      </w:r>
      <w:r w:rsidR="004B0002">
        <w:rPr>
          <w:rFonts w:ascii="Times New Roman" w:hAnsi="Times New Roman"/>
          <w:sz w:val="28"/>
        </w:rPr>
        <w:t xml:space="preserve"> 2012</w:t>
      </w:r>
      <w:r w:rsidRPr="008364C4">
        <w:rPr>
          <w:rFonts w:ascii="Times New Roman" w:hAnsi="Times New Roman"/>
          <w:sz w:val="28"/>
        </w:rPr>
        <w:t xml:space="preserve"> </w:t>
      </w:r>
      <w:r w:rsidR="004B0002" w:rsidRPr="008364C4">
        <w:rPr>
          <w:rFonts w:ascii="Times New Roman" w:hAnsi="Times New Roman"/>
          <w:sz w:val="28"/>
        </w:rPr>
        <w:t>report</w:t>
      </w:r>
      <w:r w:rsidR="004B0002">
        <w:rPr>
          <w:rFonts w:ascii="Times New Roman" w:hAnsi="Times New Roman"/>
          <w:sz w:val="28"/>
        </w:rPr>
        <w:t>,</w:t>
      </w:r>
      <w:r w:rsidRPr="008364C4">
        <w:rPr>
          <w:rFonts w:ascii="Times New Roman" w:hAnsi="Times New Roman"/>
          <w:sz w:val="28"/>
        </w:rPr>
        <w:t xml:space="preserve"> presented to the National Assembly, deposited on 30 May 2013, the Commission </w:t>
      </w:r>
      <w:r w:rsidRPr="004B0002">
        <w:rPr>
          <w:rFonts w:ascii="Times New Roman" w:hAnsi="Times New Roman"/>
          <w:sz w:val="28"/>
        </w:rPr>
        <w:t xml:space="preserve">presented a detailed analysis of the on-going development of the process of requesting and providing access to traffic data </w:t>
      </w:r>
      <w:r w:rsidR="004B0002" w:rsidRPr="004B0002">
        <w:rPr>
          <w:rFonts w:ascii="Times New Roman" w:hAnsi="Times New Roman"/>
          <w:sz w:val="28"/>
        </w:rPr>
        <w:t xml:space="preserve">and has </w:t>
      </w:r>
      <w:r w:rsidRPr="004B0002">
        <w:rPr>
          <w:rFonts w:ascii="Times New Roman" w:hAnsi="Times New Roman"/>
          <w:sz w:val="28"/>
        </w:rPr>
        <w:t xml:space="preserve">identified </w:t>
      </w:r>
      <w:r w:rsidR="004B0002" w:rsidRPr="004B0002">
        <w:rPr>
          <w:rFonts w:ascii="Times New Roman" w:hAnsi="Times New Roman"/>
          <w:sz w:val="28"/>
        </w:rPr>
        <w:t xml:space="preserve">the relevant </w:t>
      </w:r>
      <w:r w:rsidRPr="004B0002">
        <w:rPr>
          <w:rFonts w:ascii="Times New Roman" w:hAnsi="Times New Roman"/>
          <w:sz w:val="28"/>
        </w:rPr>
        <w:t xml:space="preserve">trends.  </w:t>
      </w:r>
    </w:p>
    <w:p w:rsidR="00B32885" w:rsidRPr="00C16B65" w:rsidRDefault="00B32885" w:rsidP="003D726B">
      <w:pPr>
        <w:pStyle w:val="Heading1"/>
        <w:rPr>
          <w:color w:val="FF0000"/>
        </w:rPr>
      </w:pPr>
      <w:r w:rsidRPr="008364C4">
        <w:br w:type="page"/>
      </w:r>
      <w:bookmarkStart w:id="6" w:name="_Toc380595208"/>
      <w:bookmarkStart w:id="7" w:name="_Toc380740744"/>
      <w:r w:rsidRPr="008364C4">
        <w:lastRenderedPageBreak/>
        <w:t xml:space="preserve">IV. Exercise of the rights of </w:t>
      </w:r>
      <w:bookmarkEnd w:id="6"/>
      <w:bookmarkEnd w:id="7"/>
      <w:r w:rsidR="00C16B65" w:rsidRPr="006D2E20">
        <w:t>individuals</w:t>
      </w:r>
    </w:p>
    <w:p w:rsidR="00B32885" w:rsidRPr="008364C4" w:rsidRDefault="00B32885" w:rsidP="00B32885">
      <w:pPr>
        <w:spacing w:after="0" w:line="360" w:lineRule="auto"/>
        <w:ind w:firstLine="709"/>
        <w:jc w:val="both"/>
        <w:rPr>
          <w:rFonts w:ascii="Times New Roman" w:hAnsi="Times New Roman"/>
          <w:bCs/>
          <w:sz w:val="28"/>
          <w:szCs w:val="28"/>
        </w:rPr>
      </w:pPr>
      <w:r w:rsidRPr="008364C4">
        <w:rPr>
          <w:rFonts w:ascii="Times New Roman" w:hAnsi="Times New Roman"/>
          <w:sz w:val="28"/>
        </w:rPr>
        <w:t xml:space="preserve">In 2013, the Commission was approached with different types of inquiries by individuals. Not all inquiries from individuals can be united under a common indicator. Some of the inquiries, however, refer to a wide range of third </w:t>
      </w:r>
      <w:r w:rsidR="006D2E20" w:rsidRPr="008364C4">
        <w:rPr>
          <w:rFonts w:ascii="Times New Roman" w:hAnsi="Times New Roman"/>
          <w:sz w:val="28"/>
        </w:rPr>
        <w:t>parties;</w:t>
      </w:r>
      <w:r w:rsidRPr="008364C4">
        <w:rPr>
          <w:rFonts w:ascii="Times New Roman" w:hAnsi="Times New Roman"/>
          <w:sz w:val="28"/>
        </w:rPr>
        <w:t xml:space="preserve"> therefore in this analysis we focus on them.</w:t>
      </w:r>
    </w:p>
    <w:p w:rsidR="00ED0A33" w:rsidRPr="008364C4" w:rsidRDefault="00ED0A33" w:rsidP="00B32885">
      <w:pPr>
        <w:spacing w:after="0" w:line="360" w:lineRule="auto"/>
        <w:ind w:firstLine="709"/>
        <w:jc w:val="both"/>
        <w:rPr>
          <w:rFonts w:ascii="Times New Roman" w:hAnsi="Times New Roman"/>
          <w:bCs/>
          <w:sz w:val="28"/>
          <w:szCs w:val="28"/>
        </w:rPr>
      </w:pPr>
    </w:p>
    <w:p w:rsidR="00B32885" w:rsidRPr="008364C4" w:rsidRDefault="00B32885" w:rsidP="00B32885">
      <w:pPr>
        <w:numPr>
          <w:ilvl w:val="0"/>
          <w:numId w:val="23"/>
        </w:numPr>
        <w:spacing w:after="0" w:line="360" w:lineRule="auto"/>
        <w:jc w:val="both"/>
        <w:rPr>
          <w:rFonts w:ascii="Times New Roman" w:hAnsi="Times New Roman"/>
          <w:b/>
          <w:bCs/>
          <w:sz w:val="28"/>
          <w:szCs w:val="28"/>
        </w:rPr>
      </w:pPr>
      <w:r w:rsidRPr="008364C4">
        <w:rPr>
          <w:rFonts w:ascii="Times New Roman" w:hAnsi="Times New Roman"/>
          <w:b/>
          <w:sz w:val="28"/>
        </w:rPr>
        <w:t>Pursuant to the Law for Protection of Personal Data</w:t>
      </w:r>
    </w:p>
    <w:p w:rsidR="00B32885" w:rsidRPr="008364C4" w:rsidRDefault="00B32885" w:rsidP="00B32885">
      <w:pPr>
        <w:numPr>
          <w:ilvl w:val="1"/>
          <w:numId w:val="23"/>
        </w:numPr>
        <w:tabs>
          <w:tab w:val="left" w:pos="993"/>
        </w:tabs>
        <w:spacing w:after="0" w:line="360" w:lineRule="auto"/>
        <w:jc w:val="both"/>
        <w:rPr>
          <w:rFonts w:ascii="Times New Roman" w:hAnsi="Times New Roman"/>
          <w:b/>
          <w:sz w:val="28"/>
          <w:szCs w:val="28"/>
        </w:rPr>
      </w:pPr>
      <w:r w:rsidRPr="008364C4">
        <w:rPr>
          <w:rFonts w:ascii="Times New Roman" w:hAnsi="Times New Roman"/>
          <w:b/>
          <w:sz w:val="28"/>
        </w:rPr>
        <w:t>New technology</w:t>
      </w:r>
    </w:p>
    <w:p w:rsidR="00B32885" w:rsidRPr="008364C4" w:rsidRDefault="00B32885" w:rsidP="00B3288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With the advance of technology in all spheres of public and private life more and more individuals and data controllers raise issues relating to the permissible and lawful use of biometric data. In this regard, the Commission </w:t>
      </w:r>
      <w:r w:rsidR="006D2E20" w:rsidRPr="006D2E20">
        <w:rPr>
          <w:rFonts w:ascii="Times New Roman" w:hAnsi="Times New Roman"/>
          <w:sz w:val="28"/>
        </w:rPr>
        <w:t>was asked about</w:t>
      </w:r>
      <w:r w:rsidRPr="006D2E20">
        <w:rPr>
          <w:rFonts w:ascii="Times New Roman" w:hAnsi="Times New Roman"/>
          <w:sz w:val="28"/>
        </w:rPr>
        <w:t xml:space="preserve"> </w:t>
      </w:r>
      <w:r w:rsidRPr="008364C4">
        <w:rPr>
          <w:rFonts w:ascii="Times New Roman" w:hAnsi="Times New Roman"/>
          <w:sz w:val="28"/>
        </w:rPr>
        <w:t xml:space="preserve">the possibility </w:t>
      </w:r>
      <w:r w:rsidR="006D2E20">
        <w:rPr>
          <w:rFonts w:ascii="Times New Roman" w:hAnsi="Times New Roman"/>
          <w:sz w:val="28"/>
        </w:rPr>
        <w:t>the employer to</w:t>
      </w:r>
      <w:r w:rsidRPr="008364C4">
        <w:rPr>
          <w:rFonts w:ascii="Times New Roman" w:hAnsi="Times New Roman"/>
          <w:sz w:val="28"/>
        </w:rPr>
        <w:t xml:space="preserve"> dismiss any employee </w:t>
      </w:r>
      <w:r w:rsidR="00C16B65">
        <w:rPr>
          <w:rFonts w:ascii="Times New Roman" w:hAnsi="Times New Roman"/>
          <w:sz w:val="28"/>
        </w:rPr>
        <w:t xml:space="preserve">if he/she refuses </w:t>
      </w:r>
      <w:r w:rsidRPr="008364C4">
        <w:rPr>
          <w:rFonts w:ascii="Times New Roman" w:hAnsi="Times New Roman"/>
          <w:sz w:val="28"/>
        </w:rPr>
        <w:t>to provide fingerprints. The Commission has clarified that in the absence of any of the conditions set out under Art. 4 (1) of LPPD regarding the lawfulness of the processing of personal data of individuals, including biometric</w:t>
      </w:r>
      <w:r w:rsidR="00C16B65">
        <w:rPr>
          <w:rFonts w:ascii="Times New Roman" w:hAnsi="Times New Roman"/>
          <w:sz w:val="28"/>
        </w:rPr>
        <w:t>,</w:t>
      </w:r>
      <w:r w:rsidRPr="008364C4">
        <w:rPr>
          <w:rFonts w:ascii="Times New Roman" w:hAnsi="Times New Roman"/>
          <w:sz w:val="28"/>
        </w:rPr>
        <w:t xml:space="preserve"> the only legal option for an employer to lawfully processed personal data remains the consent of the affected person. Regarding challenging the legality of the terminated employment, the employee is entitled to challenge the legality of the dismissal before the employer or the court.</w:t>
      </w:r>
    </w:p>
    <w:p w:rsidR="00B32885" w:rsidRPr="008364C4" w:rsidRDefault="00C16B65" w:rsidP="00B32885">
      <w:pPr>
        <w:spacing w:after="0" w:line="360" w:lineRule="auto"/>
        <w:ind w:firstLine="709"/>
        <w:jc w:val="both"/>
        <w:rPr>
          <w:rFonts w:ascii="Times New Roman" w:hAnsi="Times New Roman"/>
          <w:sz w:val="28"/>
          <w:szCs w:val="28"/>
        </w:rPr>
      </w:pPr>
      <w:r>
        <w:rPr>
          <w:rFonts w:ascii="Times New Roman" w:hAnsi="Times New Roman"/>
          <w:sz w:val="28"/>
        </w:rPr>
        <w:t xml:space="preserve">More </w:t>
      </w:r>
      <w:r w:rsidR="00B32885" w:rsidRPr="008364C4">
        <w:rPr>
          <w:rFonts w:ascii="Times New Roman" w:hAnsi="Times New Roman"/>
          <w:sz w:val="28"/>
        </w:rPr>
        <w:t>often CPDP is approached with issued regarding the use of biometric data for access control in mass events or to public buildings (music concerts, school buildings, enterprises). Commission ruled that when it comes to processing personal data of students, and especially students aged below 1</w:t>
      </w:r>
      <w:r w:rsidR="00B32885" w:rsidRPr="00C16B65">
        <w:rPr>
          <w:rFonts w:ascii="Times New Roman" w:hAnsi="Times New Roman"/>
          <w:sz w:val="28"/>
        </w:rPr>
        <w:t>8,</w:t>
      </w:r>
      <w:r w:rsidR="00B32885" w:rsidRPr="008364C4">
        <w:rPr>
          <w:rFonts w:ascii="Times New Roman" w:hAnsi="Times New Roman"/>
          <w:sz w:val="28"/>
        </w:rPr>
        <w:t xml:space="preserve"> the explicit consent of their parents is mandatory.</w:t>
      </w:r>
    </w:p>
    <w:p w:rsidR="00B32885" w:rsidRPr="008364C4" w:rsidRDefault="00B32885" w:rsidP="00B32885">
      <w:pPr>
        <w:spacing w:after="0" w:line="360" w:lineRule="auto"/>
        <w:ind w:firstLine="709"/>
        <w:jc w:val="both"/>
        <w:rPr>
          <w:rFonts w:ascii="Times New Roman" w:hAnsi="Times New Roman"/>
          <w:sz w:val="28"/>
          <w:szCs w:val="28"/>
        </w:rPr>
      </w:pPr>
      <w:r w:rsidRPr="008364C4">
        <w:rPr>
          <w:rFonts w:ascii="Times New Roman" w:hAnsi="Times New Roman"/>
          <w:sz w:val="28"/>
        </w:rPr>
        <w:t>Given the expansion of video surveillance as a means of controlling access to residential building</w:t>
      </w:r>
      <w:r w:rsidRPr="00C16B65">
        <w:rPr>
          <w:rFonts w:ascii="Times New Roman" w:hAnsi="Times New Roman"/>
          <w:sz w:val="28"/>
        </w:rPr>
        <w:t>s,</w:t>
      </w:r>
      <w:r w:rsidRPr="008364C4">
        <w:rPr>
          <w:rFonts w:ascii="Times New Roman" w:hAnsi="Times New Roman"/>
          <w:sz w:val="28"/>
        </w:rPr>
        <w:t xml:space="preserve"> </w:t>
      </w:r>
      <w:r w:rsidRPr="006D2E20">
        <w:rPr>
          <w:rFonts w:ascii="Times New Roman" w:hAnsi="Times New Roman"/>
          <w:sz w:val="28"/>
        </w:rPr>
        <w:t>in</w:t>
      </w:r>
      <w:r w:rsidR="006D2E20" w:rsidRPr="006D2E20">
        <w:rPr>
          <w:rFonts w:ascii="Times New Roman" w:hAnsi="Times New Roman"/>
          <w:sz w:val="28"/>
        </w:rPr>
        <w:t xml:space="preserve"> its</w:t>
      </w:r>
      <w:r w:rsidRPr="006D2E20">
        <w:rPr>
          <w:rFonts w:ascii="Times New Roman" w:hAnsi="Times New Roman"/>
          <w:sz w:val="28"/>
        </w:rPr>
        <w:t xml:space="preserve"> practice, the </w:t>
      </w:r>
      <w:r w:rsidRPr="008364C4">
        <w:rPr>
          <w:rFonts w:ascii="Times New Roman" w:hAnsi="Times New Roman"/>
          <w:sz w:val="28"/>
        </w:rPr>
        <w:t>Commission p</w:t>
      </w:r>
      <w:r w:rsidR="006D2E20">
        <w:rPr>
          <w:rFonts w:ascii="Times New Roman" w:hAnsi="Times New Roman"/>
          <w:sz w:val="28"/>
        </w:rPr>
        <w:t>rovides specific guidance on the</w:t>
      </w:r>
      <w:r w:rsidRPr="008364C4">
        <w:rPr>
          <w:rFonts w:ascii="Times New Roman" w:hAnsi="Times New Roman"/>
          <w:sz w:val="28"/>
        </w:rPr>
        <w:t xml:space="preserve"> legal implementation. The Commission accepts that under certain conditions video surveillance constitutes </w:t>
      </w:r>
      <w:r w:rsidR="006D2E20">
        <w:rPr>
          <w:rFonts w:ascii="Times New Roman" w:hAnsi="Times New Roman"/>
          <w:sz w:val="28"/>
        </w:rPr>
        <w:t xml:space="preserve">a </w:t>
      </w:r>
      <w:r w:rsidRPr="008364C4">
        <w:rPr>
          <w:rFonts w:ascii="Times New Roman" w:hAnsi="Times New Roman"/>
          <w:sz w:val="28"/>
        </w:rPr>
        <w:t xml:space="preserve">"personal data processing" for the purpose of storing them in a "personal data register" within the meaning of §1 (1) </w:t>
      </w:r>
      <w:r w:rsidR="006D2E20">
        <w:rPr>
          <w:rFonts w:ascii="Times New Roman" w:hAnsi="Times New Roman"/>
          <w:sz w:val="28"/>
        </w:rPr>
        <w:lastRenderedPageBreak/>
        <w:t xml:space="preserve">and (2) of the Additional </w:t>
      </w:r>
      <w:r w:rsidRPr="008364C4">
        <w:rPr>
          <w:rFonts w:ascii="Times New Roman" w:hAnsi="Times New Roman"/>
          <w:sz w:val="28"/>
        </w:rPr>
        <w:t>Provisions of LPPD; however, according to Art. 1 (9) of LPPD it shall not apply to personal data processing carried out by individuals for their personal or domestic activities, such as video surveillance in common areas of the property – residential buildings in a condominium. In general, the regulation of the use of the common areas and the adjacent areas in a condominium is within the powers of the General Meeting of the respective condominium. The rules of its convening, decision-making and decision-implementation are governed by the Law on Condominium Management. Any owner may request annulment of unlawful decisions of the General Meeting before the district court at the location of the condominium.</w:t>
      </w:r>
    </w:p>
    <w:p w:rsidR="00B32885" w:rsidRPr="008364C4" w:rsidRDefault="00B32885" w:rsidP="00B3288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general, when carrying out video surveillance, data controllers are bound to comply with the regulatory requirements governing their operation and to </w:t>
      </w:r>
      <w:r w:rsidR="00C16B65">
        <w:rPr>
          <w:rFonts w:ascii="Times New Roman" w:hAnsi="Times New Roman"/>
          <w:sz w:val="28"/>
        </w:rPr>
        <w:t>declare a</w:t>
      </w:r>
      <w:r w:rsidRPr="008364C4">
        <w:rPr>
          <w:rFonts w:ascii="Times New Roman" w:hAnsi="Times New Roman"/>
          <w:sz w:val="28"/>
        </w:rPr>
        <w:t xml:space="preserve"> separate CCTV Register in the Register of Data Controllers and Registers Kept by Them with CPDP. It is imperative that visitors in a building subject to video surveillance be informed by means of information boards placed </w:t>
      </w:r>
      <w:r w:rsidRPr="00EC06C0">
        <w:rPr>
          <w:rFonts w:ascii="Times New Roman" w:hAnsi="Times New Roman"/>
          <w:sz w:val="28"/>
        </w:rPr>
        <w:t xml:space="preserve">prominently </w:t>
      </w:r>
      <w:r w:rsidRPr="008364C4">
        <w:rPr>
          <w:rFonts w:ascii="Times New Roman" w:hAnsi="Times New Roman"/>
          <w:sz w:val="28"/>
        </w:rPr>
        <w:t>on the use of technical means for monitoring and control of the site, without specifying their location, as well as the respective data controller's contact data. In case the visitors have not objected to the data controller for the processing of their personal data, it is assumed that they have given their consent within the meaning of LPPD for the processing of their personal data</w:t>
      </w:r>
      <w:r w:rsidR="00C16B65">
        <w:rPr>
          <w:rFonts w:ascii="Times New Roman" w:hAnsi="Times New Roman"/>
          <w:sz w:val="28"/>
        </w:rPr>
        <w:t xml:space="preserve"> using technical means of video </w:t>
      </w:r>
      <w:r w:rsidRPr="008364C4">
        <w:rPr>
          <w:rFonts w:ascii="Times New Roman" w:hAnsi="Times New Roman"/>
          <w:sz w:val="28"/>
        </w:rPr>
        <w:t>control.</w:t>
      </w:r>
    </w:p>
    <w:p w:rsidR="00B32885" w:rsidRPr="008364C4" w:rsidRDefault="00B32885" w:rsidP="00B32885">
      <w:pPr>
        <w:spacing w:after="0" w:line="360" w:lineRule="auto"/>
        <w:ind w:firstLine="709"/>
        <w:jc w:val="both"/>
        <w:rPr>
          <w:rFonts w:ascii="Times New Roman" w:hAnsi="Times New Roman"/>
          <w:color w:val="FF0000"/>
          <w:sz w:val="28"/>
          <w:szCs w:val="28"/>
        </w:rPr>
      </w:pPr>
      <w:r w:rsidRPr="008364C4">
        <w:rPr>
          <w:rFonts w:ascii="Times New Roman" w:hAnsi="Times New Roman"/>
          <w:sz w:val="28"/>
        </w:rPr>
        <w:t xml:space="preserve">Another important duty of data controllers concerning the rights of </w:t>
      </w:r>
      <w:r w:rsidR="00C16B65">
        <w:rPr>
          <w:rFonts w:ascii="Times New Roman" w:hAnsi="Times New Roman"/>
          <w:sz w:val="28"/>
        </w:rPr>
        <w:t xml:space="preserve">individuals </w:t>
      </w:r>
      <w:r w:rsidRPr="008364C4">
        <w:rPr>
          <w:rFonts w:ascii="Times New Roman" w:hAnsi="Times New Roman"/>
          <w:sz w:val="28"/>
        </w:rPr>
        <w:t>is to provide</w:t>
      </w:r>
      <w:r w:rsidR="00C16B65">
        <w:rPr>
          <w:rFonts w:ascii="Times New Roman" w:hAnsi="Times New Roman"/>
          <w:sz w:val="28"/>
        </w:rPr>
        <w:t xml:space="preserve"> public access of</w:t>
      </w:r>
      <w:r w:rsidRPr="008364C4">
        <w:rPr>
          <w:rFonts w:ascii="Times New Roman" w:hAnsi="Times New Roman"/>
          <w:sz w:val="28"/>
        </w:rPr>
        <w:t xml:space="preserve"> individuals to their personal data which have been processed (including videos surveillance records). In cases when the exercise of the individual's right of access results in the disclosure of a third party personal dat</w:t>
      </w:r>
      <w:r w:rsidR="00EC06C0">
        <w:rPr>
          <w:rFonts w:ascii="Times New Roman" w:hAnsi="Times New Roman"/>
          <w:sz w:val="28"/>
        </w:rPr>
        <w:t xml:space="preserve">a, the data controller should provide the individuals with this data which refers only to them. </w:t>
      </w:r>
      <w:r w:rsidRPr="008364C4">
        <w:rPr>
          <w:rFonts w:ascii="Times New Roman" w:hAnsi="Times New Roman"/>
          <w:sz w:val="28"/>
        </w:rPr>
        <w:t xml:space="preserve">For this purpose the data controller should take appropriate technical measures for deletion/masking images of other persons subject to video surveillance. In the absence of such technical capacity, the access </w:t>
      </w:r>
      <w:r w:rsidRPr="008364C4">
        <w:rPr>
          <w:rFonts w:ascii="Times New Roman" w:hAnsi="Times New Roman"/>
          <w:sz w:val="28"/>
        </w:rPr>
        <w:lastRenderedPageBreak/>
        <w:t xml:space="preserve">to video surveillance records can only be provided with the consent of all persons subject to that video surveillance. </w:t>
      </w:r>
    </w:p>
    <w:p w:rsidR="00EC06C0" w:rsidRPr="00EC06C0" w:rsidRDefault="00B32885" w:rsidP="00EC06C0">
      <w:pPr>
        <w:spacing w:after="0" w:line="360" w:lineRule="auto"/>
        <w:ind w:firstLine="709"/>
        <w:jc w:val="both"/>
        <w:rPr>
          <w:rFonts w:ascii="Times New Roman" w:hAnsi="Times New Roman"/>
          <w:sz w:val="28"/>
          <w:szCs w:val="28"/>
        </w:rPr>
      </w:pPr>
      <w:r w:rsidRPr="008364C4">
        <w:rPr>
          <w:rFonts w:ascii="Times New Roman" w:hAnsi="Times New Roman"/>
          <w:sz w:val="28"/>
        </w:rPr>
        <w:t>CPDP clearly states it</w:t>
      </w:r>
      <w:r w:rsidR="00C16B65">
        <w:rPr>
          <w:rFonts w:ascii="Times New Roman" w:hAnsi="Times New Roman"/>
          <w:sz w:val="28"/>
        </w:rPr>
        <w:t>s</w:t>
      </w:r>
      <w:r w:rsidRPr="008364C4">
        <w:rPr>
          <w:rFonts w:ascii="Times New Roman" w:hAnsi="Times New Roman"/>
          <w:sz w:val="28"/>
        </w:rPr>
        <w:t xml:space="preserve"> position that </w:t>
      </w:r>
      <w:r w:rsidR="00EC06C0">
        <w:rPr>
          <w:rFonts w:ascii="Times New Roman" w:hAnsi="Times New Roman"/>
          <w:sz w:val="28"/>
        </w:rPr>
        <w:t xml:space="preserve">at work </w:t>
      </w:r>
      <w:r w:rsidRPr="008364C4">
        <w:rPr>
          <w:rFonts w:ascii="Times New Roman" w:hAnsi="Times New Roman"/>
          <w:sz w:val="28"/>
        </w:rPr>
        <w:t>the installation of video surveillance equipment in the staff's rest rooms and sanitary facilities is inadmissible.</w:t>
      </w:r>
    </w:p>
    <w:p w:rsidR="00EC06C0" w:rsidRPr="00EC06C0" w:rsidRDefault="00EC06C0" w:rsidP="00B32885">
      <w:pPr>
        <w:spacing w:after="0" w:line="360" w:lineRule="auto"/>
        <w:ind w:firstLine="709"/>
        <w:jc w:val="both"/>
        <w:rPr>
          <w:rFonts w:ascii="Times New Roman" w:hAnsi="Times New Roman"/>
          <w:sz w:val="28"/>
          <w:szCs w:val="28"/>
        </w:rPr>
      </w:pPr>
      <w:r w:rsidRPr="00EC06C0">
        <w:rPr>
          <w:rFonts w:ascii="Times New Roman" w:hAnsi="Times New Roman"/>
          <w:sz w:val="28"/>
          <w:szCs w:val="28"/>
        </w:rPr>
        <w:t xml:space="preserve">The privacy and protection of the employees’ dignity are fundamental values that the employer should respect during the performance of tasks under contract. </w:t>
      </w:r>
    </w:p>
    <w:p w:rsidR="00B32885" w:rsidRPr="008364C4" w:rsidRDefault="00B32885" w:rsidP="00B3288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rapid development of technology largely allows the exchange of information between individuals in the web. This leads to problems in </w:t>
      </w:r>
      <w:r w:rsidR="00A07676">
        <w:rPr>
          <w:rFonts w:ascii="Times New Roman" w:hAnsi="Times New Roman"/>
          <w:sz w:val="28"/>
        </w:rPr>
        <w:t xml:space="preserve">personal data </w:t>
      </w:r>
      <w:r w:rsidRPr="008364C4">
        <w:rPr>
          <w:rFonts w:ascii="Times New Roman" w:hAnsi="Times New Roman"/>
          <w:sz w:val="28"/>
        </w:rPr>
        <w:t xml:space="preserve">processing in such environment. Many of the issues raised by individuals before CPDP in the past year were related to social networks, including participation in forums and the profiles created for that person containing personal data, access to specific forums, and deletion of profiles. The number of complaints of individuals for theft of e-mail accounts and password-cracking is increasing. Theft of email accounts is one of the most common Internet frauds today. It is dangerous because the stolen e-mail account can be used to </w:t>
      </w:r>
      <w:proofErr w:type="spellStart"/>
      <w:r w:rsidR="00A07676">
        <w:rPr>
          <w:rFonts w:ascii="Times New Roman" w:hAnsi="Times New Roman"/>
          <w:sz w:val="28"/>
        </w:rPr>
        <w:t>comit</w:t>
      </w:r>
      <w:proofErr w:type="spellEnd"/>
      <w:r w:rsidRPr="008364C4">
        <w:rPr>
          <w:rFonts w:ascii="Times New Roman" w:hAnsi="Times New Roman"/>
          <w:sz w:val="28"/>
        </w:rPr>
        <w:t xml:space="preserve"> a number of crimes related to identity theft, lottery fraud, etc. By stealing the e-mail account the perpetrator gets full access to the address book with data for close friends and important personal correspondence, data providing access to other registrations, personal information, bank accounts, etc. As far as it concerns computer crime, in such cases the Commission recommends that the affected persons should approach the Directorate for Combating Organized Crime at the Ministry of Interior.</w:t>
      </w:r>
    </w:p>
    <w:p w:rsidR="00ED0A33" w:rsidRPr="00A07676" w:rsidRDefault="00ED0A33" w:rsidP="00B32885">
      <w:pPr>
        <w:spacing w:after="0" w:line="360" w:lineRule="auto"/>
        <w:ind w:firstLine="709"/>
        <w:jc w:val="both"/>
        <w:rPr>
          <w:rFonts w:ascii="Times New Roman" w:hAnsi="Times New Roman"/>
          <w:color w:val="FF0000"/>
          <w:sz w:val="28"/>
          <w:szCs w:val="28"/>
        </w:rPr>
      </w:pPr>
    </w:p>
    <w:p w:rsidR="00E03A3B" w:rsidRPr="008364C4" w:rsidRDefault="00E773F3" w:rsidP="00E03A3B">
      <w:pPr>
        <w:numPr>
          <w:ilvl w:val="1"/>
          <w:numId w:val="23"/>
        </w:numPr>
        <w:tabs>
          <w:tab w:val="left" w:pos="993"/>
        </w:tabs>
        <w:spacing w:after="0" w:line="360" w:lineRule="auto"/>
        <w:ind w:left="0" w:firstLine="709"/>
        <w:jc w:val="both"/>
        <w:rPr>
          <w:rFonts w:ascii="Times New Roman" w:hAnsi="Times New Roman"/>
          <w:b/>
          <w:sz w:val="28"/>
          <w:szCs w:val="28"/>
        </w:rPr>
      </w:pPr>
      <w:r w:rsidRPr="00ED6DFA">
        <w:rPr>
          <w:rFonts w:ascii="Times New Roman" w:hAnsi="Times New Roman"/>
          <w:b/>
          <w:sz w:val="28"/>
        </w:rPr>
        <w:t xml:space="preserve">Personal data processing </w:t>
      </w:r>
      <w:r w:rsidR="00E03A3B" w:rsidRPr="008364C4">
        <w:rPr>
          <w:rFonts w:ascii="Times New Roman" w:hAnsi="Times New Roman"/>
          <w:b/>
          <w:sz w:val="28"/>
        </w:rPr>
        <w:t>in the context of employment</w:t>
      </w:r>
    </w:p>
    <w:p w:rsidR="00E03A3B" w:rsidRPr="008364C4" w:rsidRDefault="00E03A3B" w:rsidP="00E03A3B">
      <w:pPr>
        <w:spacing w:after="0" w:line="360" w:lineRule="auto"/>
        <w:ind w:firstLine="709"/>
        <w:jc w:val="both"/>
        <w:rPr>
          <w:rFonts w:ascii="Times New Roman" w:hAnsi="Times New Roman"/>
          <w:sz w:val="28"/>
          <w:szCs w:val="28"/>
        </w:rPr>
      </w:pPr>
      <w:r w:rsidRPr="00ED6DFA">
        <w:rPr>
          <w:rFonts w:ascii="Times New Roman" w:hAnsi="Times New Roman"/>
          <w:sz w:val="28"/>
        </w:rPr>
        <w:t xml:space="preserve">A </w:t>
      </w:r>
      <w:r w:rsidR="00E773F3" w:rsidRPr="00ED6DFA">
        <w:rPr>
          <w:rFonts w:ascii="Times New Roman" w:hAnsi="Times New Roman"/>
          <w:sz w:val="28"/>
        </w:rPr>
        <w:t>lo</w:t>
      </w:r>
      <w:r w:rsidR="00ED6DFA" w:rsidRPr="00ED6DFA">
        <w:rPr>
          <w:rFonts w:ascii="Times New Roman" w:hAnsi="Times New Roman"/>
          <w:sz w:val="28"/>
        </w:rPr>
        <w:t>t of issues in the past year were</w:t>
      </w:r>
      <w:r w:rsidRPr="00ED6DFA">
        <w:rPr>
          <w:rFonts w:ascii="Times New Roman" w:hAnsi="Times New Roman"/>
          <w:sz w:val="28"/>
        </w:rPr>
        <w:t xml:space="preserve"> related to the relationship between employers and their employees</w:t>
      </w:r>
      <w:r w:rsidR="00E773F3" w:rsidRPr="00ED6DFA">
        <w:rPr>
          <w:rFonts w:ascii="Times New Roman" w:hAnsi="Times New Roman"/>
          <w:sz w:val="28"/>
        </w:rPr>
        <w:t>,</w:t>
      </w:r>
      <w:r w:rsidRPr="00ED6DFA">
        <w:rPr>
          <w:rFonts w:ascii="Times New Roman" w:hAnsi="Times New Roman"/>
          <w:sz w:val="28"/>
        </w:rPr>
        <w:t xml:space="preserve"> involving personal data processing, </w:t>
      </w:r>
      <w:r w:rsidRPr="008364C4">
        <w:rPr>
          <w:rFonts w:ascii="Times New Roman" w:hAnsi="Times New Roman"/>
          <w:sz w:val="28"/>
        </w:rPr>
        <w:t>such as: keeping a copy of the employee's identity card for the purposes of the company's financial accounting activities and the presentation of a copy of the identity card during job interviews.</w:t>
      </w:r>
    </w:p>
    <w:p w:rsidR="00E03A3B" w:rsidRPr="008364C4" w:rsidRDefault="00E03A3B" w:rsidP="00E03A3B">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Although the law on employment still fails to adequately reflect the</w:t>
      </w:r>
      <w:r w:rsidR="00E773F3">
        <w:rPr>
          <w:rFonts w:ascii="Times New Roman" w:hAnsi="Times New Roman"/>
          <w:sz w:val="28"/>
        </w:rPr>
        <w:t xml:space="preserve"> personal data protection issues</w:t>
      </w:r>
      <w:r w:rsidRPr="008364C4">
        <w:rPr>
          <w:rFonts w:ascii="Times New Roman" w:hAnsi="Times New Roman"/>
          <w:sz w:val="28"/>
        </w:rPr>
        <w:t>, the position of CPDP is based on the analysis of the existing regulations. The employers (at the same time acting as data controllers) are required to keep records of the employee's personal employment file for 50 years for the</w:t>
      </w:r>
      <w:r w:rsidR="00E773F3">
        <w:rPr>
          <w:rFonts w:ascii="Times New Roman" w:hAnsi="Times New Roman"/>
          <w:sz w:val="28"/>
        </w:rPr>
        <w:t xml:space="preserve"> pension insurance</w:t>
      </w:r>
      <w:r w:rsidRPr="008364C4">
        <w:rPr>
          <w:rFonts w:ascii="Times New Roman" w:hAnsi="Times New Roman"/>
          <w:sz w:val="28"/>
        </w:rPr>
        <w:t xml:space="preserve"> purpose,</w:t>
      </w:r>
      <w:r w:rsidR="00E773F3">
        <w:rPr>
          <w:rFonts w:ascii="Times New Roman" w:hAnsi="Times New Roman"/>
          <w:sz w:val="28"/>
        </w:rPr>
        <w:t xml:space="preserve"> but these should not include an employee’s </w:t>
      </w:r>
      <w:proofErr w:type="spellStart"/>
      <w:r w:rsidR="00E773F3">
        <w:rPr>
          <w:rFonts w:ascii="Times New Roman" w:hAnsi="Times New Roman"/>
          <w:sz w:val="28"/>
        </w:rPr>
        <w:t>identitiy</w:t>
      </w:r>
      <w:proofErr w:type="spellEnd"/>
      <w:r w:rsidR="00E773F3">
        <w:rPr>
          <w:rFonts w:ascii="Times New Roman" w:hAnsi="Times New Roman"/>
          <w:sz w:val="28"/>
        </w:rPr>
        <w:t xml:space="preserve"> card copy</w:t>
      </w:r>
      <w:r w:rsidRPr="008364C4">
        <w:rPr>
          <w:rFonts w:ascii="Times New Roman" w:hAnsi="Times New Roman"/>
          <w:sz w:val="28"/>
        </w:rPr>
        <w:t>. The employers, however, are not allowed to copy the employee's identity card, but only to record the data contained thereon and then to return it to the its holder.</w:t>
      </w:r>
    </w:p>
    <w:p w:rsidR="00E03A3B" w:rsidRPr="008364C4" w:rsidRDefault="00E03A3B" w:rsidP="00E03A3B">
      <w:pPr>
        <w:spacing w:after="0" w:line="360" w:lineRule="auto"/>
        <w:ind w:firstLine="709"/>
        <w:jc w:val="both"/>
        <w:rPr>
          <w:rFonts w:ascii="Times New Roman" w:hAnsi="Times New Roman"/>
          <w:sz w:val="28"/>
          <w:szCs w:val="28"/>
        </w:rPr>
      </w:pPr>
      <w:r w:rsidRPr="008364C4">
        <w:rPr>
          <w:rFonts w:ascii="Times New Roman" w:hAnsi="Times New Roman"/>
          <w:sz w:val="28"/>
        </w:rPr>
        <w:t>It is common nowadays for the individuals when searching job to make registration on job search websites. The Commission was approached by a Bulgarian citizen who has received an offer from a foreign website offering work. The person claims that he has never filled his personal information to that website. In this regard</w:t>
      </w:r>
      <w:r w:rsidR="00E773F3">
        <w:rPr>
          <w:rFonts w:ascii="Times New Roman" w:hAnsi="Times New Roman"/>
          <w:sz w:val="28"/>
        </w:rPr>
        <w:t>,</w:t>
      </w:r>
      <w:r w:rsidRPr="008364C4">
        <w:rPr>
          <w:rFonts w:ascii="Times New Roman" w:hAnsi="Times New Roman"/>
          <w:sz w:val="28"/>
        </w:rPr>
        <w:t xml:space="preserve"> the Commission for Personal Data Protection has approached with a request for assistance and verification</w:t>
      </w:r>
      <w:r w:rsidR="00E773F3">
        <w:rPr>
          <w:rFonts w:ascii="Times New Roman" w:hAnsi="Times New Roman"/>
          <w:sz w:val="28"/>
        </w:rPr>
        <w:t xml:space="preserve"> with</w:t>
      </w:r>
      <w:r w:rsidRPr="008364C4">
        <w:rPr>
          <w:rFonts w:ascii="Times New Roman" w:hAnsi="Times New Roman"/>
          <w:sz w:val="28"/>
        </w:rPr>
        <w:t xml:space="preserve"> the </w:t>
      </w:r>
      <w:r w:rsidR="00E773F3">
        <w:rPr>
          <w:rFonts w:ascii="Times New Roman" w:hAnsi="Times New Roman"/>
          <w:sz w:val="28"/>
        </w:rPr>
        <w:t xml:space="preserve">data protection </w:t>
      </w:r>
      <w:r w:rsidRPr="008364C4">
        <w:rPr>
          <w:rFonts w:ascii="Times New Roman" w:hAnsi="Times New Roman"/>
          <w:sz w:val="28"/>
        </w:rPr>
        <w:t xml:space="preserve">supervisory authority in the relevant country. </w:t>
      </w:r>
    </w:p>
    <w:p w:rsidR="00E03A3B" w:rsidRPr="008364C4" w:rsidRDefault="00E03A3B" w:rsidP="00E03A3B">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CPDP frequently receives inquiries in connection </w:t>
      </w:r>
      <w:r w:rsidRPr="00ED6DFA">
        <w:rPr>
          <w:rFonts w:ascii="Times New Roman" w:hAnsi="Times New Roman"/>
          <w:sz w:val="28"/>
        </w:rPr>
        <w:t xml:space="preserve">with </w:t>
      </w:r>
      <w:r w:rsidR="00ED6DFA" w:rsidRPr="00ED6DFA">
        <w:rPr>
          <w:rFonts w:ascii="Times New Roman" w:hAnsi="Times New Roman"/>
          <w:sz w:val="28"/>
        </w:rPr>
        <w:t xml:space="preserve">the requiring of </w:t>
      </w:r>
      <w:proofErr w:type="spellStart"/>
      <w:r w:rsidR="00ED6DFA" w:rsidRPr="00ED6DFA">
        <w:rPr>
          <w:rFonts w:ascii="Times New Roman" w:hAnsi="Times New Roman"/>
          <w:sz w:val="28"/>
        </w:rPr>
        <w:t>cusomer’s</w:t>
      </w:r>
      <w:proofErr w:type="spellEnd"/>
      <w:r w:rsidR="00ED6DFA" w:rsidRPr="00ED6DFA">
        <w:rPr>
          <w:rFonts w:ascii="Times New Roman" w:hAnsi="Times New Roman"/>
          <w:sz w:val="28"/>
        </w:rPr>
        <w:t xml:space="preserve"> Personal Number by </w:t>
      </w:r>
      <w:r w:rsidRPr="00ED6DFA">
        <w:rPr>
          <w:rFonts w:ascii="Times New Roman" w:hAnsi="Times New Roman"/>
          <w:sz w:val="28"/>
        </w:rPr>
        <w:t xml:space="preserve">courier companies when sending/receiving goods with payment in cash on delivery. The </w:t>
      </w:r>
      <w:r w:rsidRPr="008364C4">
        <w:rPr>
          <w:rFonts w:ascii="Times New Roman" w:hAnsi="Times New Roman"/>
          <w:sz w:val="28"/>
        </w:rPr>
        <w:t xml:space="preserve">Commission's position in </w:t>
      </w:r>
      <w:r w:rsidRPr="006D6E01">
        <w:rPr>
          <w:rFonts w:ascii="Times New Roman" w:hAnsi="Times New Roman"/>
          <w:sz w:val="28"/>
        </w:rPr>
        <w:t>this case</w:t>
      </w:r>
      <w:r w:rsidR="006D6E01" w:rsidRPr="006D6E01">
        <w:rPr>
          <w:rFonts w:ascii="Times New Roman" w:hAnsi="Times New Roman"/>
          <w:sz w:val="28"/>
        </w:rPr>
        <w:t xml:space="preserve"> was based on the </w:t>
      </w:r>
      <w:r w:rsidRPr="006D6E01">
        <w:rPr>
          <w:rFonts w:ascii="Times New Roman" w:hAnsi="Times New Roman"/>
          <w:sz w:val="28"/>
        </w:rPr>
        <w:t xml:space="preserve">accounting of that service as a basis for the eligibility of that personal data processing </w:t>
      </w:r>
      <w:r w:rsidRPr="008364C4">
        <w:rPr>
          <w:rFonts w:ascii="Times New Roman" w:hAnsi="Times New Roman"/>
          <w:sz w:val="28"/>
        </w:rPr>
        <w:t>under the provisions of the Accounting Act, which define the mandatory requisites of each primary accounting docu</w:t>
      </w:r>
      <w:r w:rsidR="00121075">
        <w:rPr>
          <w:rFonts w:ascii="Times New Roman" w:hAnsi="Times New Roman"/>
          <w:sz w:val="28"/>
        </w:rPr>
        <w:t xml:space="preserve">ment containing personal data. </w:t>
      </w:r>
      <w:r w:rsidRPr="008364C4">
        <w:rPr>
          <w:rFonts w:ascii="Times New Roman" w:hAnsi="Times New Roman"/>
          <w:sz w:val="28"/>
        </w:rPr>
        <w:t>The identification of individuals who are not registered with the Commercial Register or the BULSTAT Register is generally made by the respective personal identification number or the personal number of foreigners.</w:t>
      </w:r>
    </w:p>
    <w:p w:rsidR="00ED0A33" w:rsidRPr="008364C4" w:rsidRDefault="00ED0A33" w:rsidP="00E03A3B">
      <w:pPr>
        <w:spacing w:after="0" w:line="360" w:lineRule="auto"/>
        <w:ind w:firstLine="709"/>
        <w:jc w:val="both"/>
        <w:rPr>
          <w:rFonts w:ascii="Times New Roman" w:hAnsi="Times New Roman"/>
          <w:sz w:val="28"/>
          <w:szCs w:val="28"/>
        </w:rPr>
      </w:pPr>
    </w:p>
    <w:p w:rsidR="00E03A3B" w:rsidRPr="008364C4" w:rsidRDefault="00E03A3B" w:rsidP="00E03A3B">
      <w:pPr>
        <w:numPr>
          <w:ilvl w:val="1"/>
          <w:numId w:val="23"/>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Processing of personal data for artistic and literary purposes</w:t>
      </w:r>
    </w:p>
    <w:p w:rsidR="00E03A3B" w:rsidRPr="008364C4" w:rsidRDefault="00E03A3B" w:rsidP="00E03A3B">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 very interesting issue, presented to CPDP in the past year, concerns the study of the system of personal names in the region of the town of Ruse for the period 1830-1970. Although the publication of personal data in literary materials in </w:t>
      </w:r>
      <w:r w:rsidRPr="008364C4">
        <w:rPr>
          <w:rFonts w:ascii="Times New Roman" w:hAnsi="Times New Roman"/>
          <w:sz w:val="28"/>
        </w:rPr>
        <w:lastRenderedPageBreak/>
        <w:t xml:space="preserve">the form of birth certificates would be considered personal data processing for literary and </w:t>
      </w:r>
      <w:r w:rsidRPr="006D6E01">
        <w:rPr>
          <w:rFonts w:ascii="Times New Roman" w:hAnsi="Times New Roman"/>
          <w:sz w:val="28"/>
        </w:rPr>
        <w:t>artisti</w:t>
      </w:r>
      <w:r w:rsidR="00E773F3" w:rsidRPr="006D6E01">
        <w:rPr>
          <w:rFonts w:ascii="Times New Roman" w:hAnsi="Times New Roman"/>
          <w:sz w:val="28"/>
        </w:rPr>
        <w:t>c purposes</w:t>
      </w:r>
      <w:r w:rsidR="00E773F3">
        <w:rPr>
          <w:rFonts w:ascii="Times New Roman" w:hAnsi="Times New Roman"/>
          <w:sz w:val="28"/>
        </w:rPr>
        <w:t>, the Commission ruled</w:t>
      </w:r>
      <w:r w:rsidRPr="008364C4">
        <w:rPr>
          <w:rFonts w:ascii="Times New Roman" w:hAnsi="Times New Roman"/>
          <w:sz w:val="28"/>
        </w:rPr>
        <w:t xml:space="preserve"> that the publication of a birth certificate can be done only at the p</w:t>
      </w:r>
      <w:r w:rsidR="00E773F3">
        <w:rPr>
          <w:rFonts w:ascii="Times New Roman" w:hAnsi="Times New Roman"/>
          <w:sz w:val="28"/>
        </w:rPr>
        <w:t>resence of one of the condition</w:t>
      </w:r>
      <w:r w:rsidRPr="008364C4">
        <w:rPr>
          <w:rFonts w:ascii="Times New Roman" w:hAnsi="Times New Roman"/>
          <w:sz w:val="28"/>
        </w:rPr>
        <w:t xml:space="preserve">s stipulated under Art. </w:t>
      </w:r>
      <w:proofErr w:type="gramStart"/>
      <w:r w:rsidRPr="008364C4">
        <w:rPr>
          <w:rFonts w:ascii="Times New Roman" w:hAnsi="Times New Roman"/>
          <w:sz w:val="28"/>
        </w:rPr>
        <w:t>4 of LPPD and in compliance with the provisions of the Civil Registration Act.</w:t>
      </w:r>
      <w:proofErr w:type="gramEnd"/>
      <w:r w:rsidRPr="008364C4">
        <w:rPr>
          <w:rFonts w:ascii="Times New Roman" w:hAnsi="Times New Roman"/>
          <w:sz w:val="28"/>
        </w:rPr>
        <w:t xml:space="preserve"> This effectively limits the range of persons who may have access to data from the birth certificates. Regarding the publication of the birth certificates, it should be done after obtaining the explicit and unambiguous consent of the persons or their heirs.</w:t>
      </w:r>
    </w:p>
    <w:p w:rsidR="00ED0A33" w:rsidRPr="008364C4" w:rsidRDefault="00ED0A33" w:rsidP="00E03A3B">
      <w:pPr>
        <w:spacing w:after="0" w:line="360" w:lineRule="auto"/>
        <w:ind w:firstLine="709"/>
        <w:jc w:val="both"/>
        <w:rPr>
          <w:rFonts w:ascii="Times New Roman" w:hAnsi="Times New Roman"/>
          <w:sz w:val="28"/>
          <w:szCs w:val="28"/>
        </w:rPr>
      </w:pPr>
    </w:p>
    <w:p w:rsidR="00E03A3B" w:rsidRPr="008364C4" w:rsidRDefault="00E03A3B" w:rsidP="00E03A3B">
      <w:pPr>
        <w:numPr>
          <w:ilvl w:val="1"/>
          <w:numId w:val="23"/>
        </w:numPr>
        <w:tabs>
          <w:tab w:val="left" w:pos="1276"/>
        </w:tabs>
        <w:spacing w:after="0" w:line="360" w:lineRule="auto"/>
        <w:jc w:val="both"/>
        <w:rPr>
          <w:rFonts w:ascii="Times New Roman" w:hAnsi="Times New Roman"/>
          <w:b/>
          <w:sz w:val="28"/>
          <w:szCs w:val="28"/>
        </w:rPr>
      </w:pPr>
      <w:r w:rsidRPr="008364C4">
        <w:rPr>
          <w:rFonts w:ascii="Times New Roman" w:hAnsi="Times New Roman"/>
          <w:b/>
          <w:sz w:val="28"/>
        </w:rPr>
        <w:t xml:space="preserve">Other </w:t>
      </w:r>
      <w:r w:rsidR="00E773F3" w:rsidRPr="006D6E01">
        <w:rPr>
          <w:rFonts w:ascii="Times New Roman" w:hAnsi="Times New Roman"/>
          <w:b/>
          <w:sz w:val="28"/>
        </w:rPr>
        <w:t>important</w:t>
      </w:r>
      <w:r w:rsidR="00E773F3">
        <w:rPr>
          <w:rFonts w:ascii="Times New Roman" w:hAnsi="Times New Roman"/>
          <w:b/>
          <w:color w:val="FF0000"/>
          <w:sz w:val="28"/>
        </w:rPr>
        <w:t xml:space="preserve"> </w:t>
      </w:r>
      <w:r w:rsidRPr="008364C4">
        <w:rPr>
          <w:rFonts w:ascii="Times New Roman" w:hAnsi="Times New Roman"/>
          <w:b/>
          <w:sz w:val="28"/>
        </w:rPr>
        <w:t>issues raised by individuals</w:t>
      </w:r>
    </w:p>
    <w:p w:rsidR="00E03A3B" w:rsidRPr="008364C4" w:rsidRDefault="00E03A3B" w:rsidP="00E03A3B">
      <w:pPr>
        <w:spacing w:after="0" w:line="360" w:lineRule="auto"/>
        <w:ind w:firstLine="709"/>
        <w:jc w:val="both"/>
        <w:rPr>
          <w:rFonts w:ascii="Times New Roman" w:hAnsi="Times New Roman"/>
          <w:sz w:val="28"/>
          <w:szCs w:val="28"/>
        </w:rPr>
      </w:pPr>
      <w:r w:rsidRPr="008364C4">
        <w:rPr>
          <w:rFonts w:ascii="Times New Roman" w:hAnsi="Times New Roman"/>
          <w:sz w:val="28"/>
        </w:rPr>
        <w:t>During the reporting period the Commission received inquiries regarding the lawful processing of personal data in connection with the transfer of outstanding and overdue payments from the creditor to a third party. The Commission explained the legal possibility for the lawfulness of the processing of data in connection with the conclusion of cession agreements. It also explained the option allowing for transfer of data to a data processor and the conditions and circumstances under which it could be implemented legally.</w:t>
      </w:r>
    </w:p>
    <w:p w:rsidR="00ED0A33" w:rsidRDefault="00E773F3" w:rsidP="00A574B6">
      <w:pPr>
        <w:spacing w:after="0" w:line="360" w:lineRule="auto"/>
        <w:ind w:firstLine="709"/>
        <w:jc w:val="both"/>
        <w:rPr>
          <w:rFonts w:ascii="Times New Roman" w:hAnsi="Times New Roman"/>
          <w:sz w:val="28"/>
          <w:lang w:val="bg-BG"/>
        </w:rPr>
      </w:pPr>
      <w:proofErr w:type="spellStart"/>
      <w:r>
        <w:rPr>
          <w:rFonts w:ascii="Times New Roman" w:hAnsi="Times New Roman"/>
          <w:sz w:val="28"/>
          <w:szCs w:val="28"/>
        </w:rPr>
        <w:t>Offen</w:t>
      </w:r>
      <w:proofErr w:type="spellEnd"/>
      <w:r>
        <w:rPr>
          <w:rFonts w:ascii="Times New Roman" w:hAnsi="Times New Roman"/>
          <w:sz w:val="28"/>
          <w:szCs w:val="28"/>
        </w:rPr>
        <w:t xml:space="preserve"> in the commercial practice commercial </w:t>
      </w:r>
      <w:proofErr w:type="spellStart"/>
      <w:r>
        <w:rPr>
          <w:rFonts w:ascii="Times New Roman" w:hAnsi="Times New Roman"/>
          <w:sz w:val="28"/>
          <w:szCs w:val="28"/>
        </w:rPr>
        <w:t>dicounts</w:t>
      </w:r>
      <w:proofErr w:type="spellEnd"/>
      <w:r>
        <w:rPr>
          <w:rFonts w:ascii="Times New Roman" w:hAnsi="Times New Roman"/>
          <w:sz w:val="28"/>
          <w:szCs w:val="28"/>
        </w:rPr>
        <w:t xml:space="preserve"> are provided by major commercial chains </w:t>
      </w:r>
      <w:r w:rsidR="00FE3A17">
        <w:rPr>
          <w:rFonts w:ascii="Times New Roman" w:hAnsi="Times New Roman"/>
          <w:sz w:val="28"/>
          <w:szCs w:val="28"/>
        </w:rPr>
        <w:t xml:space="preserve">after “customer card” or “loyalty card” or “discount card” has been issued under certain conditions. </w:t>
      </w:r>
      <w:r w:rsidR="00E03A3B" w:rsidRPr="008364C4">
        <w:rPr>
          <w:rFonts w:ascii="Times New Roman" w:hAnsi="Times New Roman"/>
          <w:sz w:val="28"/>
        </w:rPr>
        <w:t>In order to issue such cards some shops or individual traders collect and process various personal data – names, address, e-mail addres</w:t>
      </w:r>
      <w:r w:rsidR="00FE3A17">
        <w:rPr>
          <w:rFonts w:ascii="Times New Roman" w:hAnsi="Times New Roman"/>
          <w:sz w:val="28"/>
        </w:rPr>
        <w:t>s, telephone, etc. CPDP received</w:t>
      </w:r>
      <w:r w:rsidR="00E03A3B" w:rsidRPr="008364C4">
        <w:rPr>
          <w:rFonts w:ascii="Times New Roman" w:hAnsi="Times New Roman"/>
          <w:sz w:val="28"/>
        </w:rPr>
        <w:t xml:space="preserve"> a number of inquiries </w:t>
      </w:r>
      <w:r w:rsidR="00FE3A17">
        <w:rPr>
          <w:rFonts w:ascii="Times New Roman" w:hAnsi="Times New Roman"/>
          <w:sz w:val="28"/>
        </w:rPr>
        <w:t xml:space="preserve">on </w:t>
      </w:r>
      <w:r w:rsidR="00E03A3B" w:rsidRPr="008364C4">
        <w:rPr>
          <w:rFonts w:ascii="Times New Roman" w:hAnsi="Times New Roman"/>
          <w:sz w:val="28"/>
        </w:rPr>
        <w:t xml:space="preserve">the admissibility of such processing and how it complies with the </w:t>
      </w:r>
      <w:r w:rsidR="00FE3A17">
        <w:rPr>
          <w:rFonts w:ascii="Times New Roman" w:hAnsi="Times New Roman"/>
          <w:sz w:val="28"/>
        </w:rPr>
        <w:t xml:space="preserve">LPPD’s </w:t>
      </w:r>
      <w:r w:rsidR="00E03A3B" w:rsidRPr="008364C4">
        <w:rPr>
          <w:rFonts w:ascii="Times New Roman" w:hAnsi="Times New Roman"/>
          <w:sz w:val="28"/>
        </w:rPr>
        <w:t xml:space="preserve">provisions. The lawful </w:t>
      </w:r>
      <w:r w:rsidR="00FE3A17">
        <w:rPr>
          <w:rFonts w:ascii="Times New Roman" w:hAnsi="Times New Roman"/>
          <w:sz w:val="28"/>
        </w:rPr>
        <w:t xml:space="preserve">personal data </w:t>
      </w:r>
      <w:r w:rsidR="00E03A3B" w:rsidRPr="008364C4">
        <w:rPr>
          <w:rFonts w:ascii="Times New Roman" w:hAnsi="Times New Roman"/>
          <w:sz w:val="28"/>
        </w:rPr>
        <w:t xml:space="preserve">processing requires the compliance with at least one of the conditions referred to under Art. 4 (1) of LPPD </w:t>
      </w:r>
      <w:r w:rsidR="00FE3A17">
        <w:rPr>
          <w:rFonts w:ascii="Times New Roman" w:hAnsi="Times New Roman"/>
          <w:sz w:val="28"/>
        </w:rPr>
        <w:t xml:space="preserve">on the </w:t>
      </w:r>
      <w:r w:rsidR="00E03A3B" w:rsidRPr="008364C4">
        <w:rPr>
          <w:rFonts w:ascii="Times New Roman" w:hAnsi="Times New Roman"/>
          <w:sz w:val="28"/>
        </w:rPr>
        <w:t xml:space="preserve">eligibility of data </w:t>
      </w:r>
      <w:r w:rsidR="00FE3A17" w:rsidRPr="008364C4">
        <w:rPr>
          <w:rFonts w:ascii="Times New Roman" w:hAnsi="Times New Roman"/>
          <w:sz w:val="28"/>
        </w:rPr>
        <w:t>processing</w:t>
      </w:r>
      <w:r w:rsidR="00E03A3B" w:rsidRPr="008364C4">
        <w:rPr>
          <w:rFonts w:ascii="Times New Roman" w:hAnsi="Times New Roman"/>
          <w:sz w:val="28"/>
        </w:rPr>
        <w:t xml:space="preserve"> and applicable in this case is the condition under item 2 – the natural person to whom the data relate should have given their explicit consent. The Commission considered that when making a purchase and using preferences related t</w:t>
      </w:r>
      <w:r w:rsidR="00FE3A17">
        <w:rPr>
          <w:rFonts w:ascii="Times New Roman" w:hAnsi="Times New Roman"/>
          <w:sz w:val="28"/>
        </w:rPr>
        <w:t>o the that</w:t>
      </w:r>
      <w:r w:rsidR="00E03A3B" w:rsidRPr="008364C4">
        <w:rPr>
          <w:rFonts w:ascii="Times New Roman" w:hAnsi="Times New Roman"/>
          <w:sz w:val="28"/>
        </w:rPr>
        <w:t xml:space="preserve"> purchase from a particular retailer /trade chain/, the individual </w:t>
      </w:r>
      <w:r w:rsidR="00E03A3B" w:rsidRPr="008364C4">
        <w:rPr>
          <w:rFonts w:ascii="Times New Roman" w:hAnsi="Times New Roman"/>
          <w:sz w:val="28"/>
        </w:rPr>
        <w:lastRenderedPageBreak/>
        <w:t>enters into informal contractual relationship with the retailer, which in turn implies the existence of a condition of eligibility of data processing under Art. 4 (1) (3) of LPPD, namely: the processing is necessary for the performance of duties under a contract</w:t>
      </w:r>
      <w:r w:rsidR="00FE3A17">
        <w:rPr>
          <w:rFonts w:ascii="Times New Roman" w:hAnsi="Times New Roman"/>
          <w:sz w:val="28"/>
        </w:rPr>
        <w:t>,</w:t>
      </w:r>
      <w:r w:rsidR="00E03A3B" w:rsidRPr="008364C4">
        <w:rPr>
          <w:rFonts w:ascii="Times New Roman" w:hAnsi="Times New Roman"/>
          <w:sz w:val="28"/>
        </w:rPr>
        <w:t xml:space="preserve"> in which the individual to whom the data relate is a party, and for the performance of actions prior to the conclusion of the contract, undertaken upon the request of the person. Trader retailer needs data to be able to uniquely identify their counterparties.</w:t>
      </w:r>
    </w:p>
    <w:p w:rsidR="00A574B6" w:rsidRPr="00A574B6" w:rsidRDefault="00A574B6" w:rsidP="00A574B6">
      <w:pPr>
        <w:spacing w:after="0" w:line="360" w:lineRule="auto"/>
        <w:ind w:firstLine="709"/>
        <w:jc w:val="both"/>
        <w:rPr>
          <w:rFonts w:ascii="Times New Roman" w:hAnsi="Times New Roman"/>
          <w:sz w:val="28"/>
          <w:lang w:val="bg-BG"/>
        </w:rPr>
      </w:pPr>
    </w:p>
    <w:p w:rsidR="00E90B9A" w:rsidRPr="008364C4" w:rsidRDefault="00A574B6" w:rsidP="00B112A9">
      <w:pPr>
        <w:spacing w:after="0" w:line="360" w:lineRule="auto"/>
        <w:ind w:firstLine="709"/>
        <w:jc w:val="both"/>
        <w:rPr>
          <w:rFonts w:ascii="Times New Roman" w:hAnsi="Times New Roman"/>
          <w:sz w:val="28"/>
          <w:szCs w:val="28"/>
        </w:rPr>
      </w:pPr>
      <w:r>
        <w:rPr>
          <w:rFonts w:ascii="Times New Roman" w:hAnsi="Times New Roman"/>
          <w:b/>
          <w:sz w:val="28"/>
        </w:rPr>
        <w:t xml:space="preserve">2. </w:t>
      </w:r>
      <w:proofErr w:type="gramStart"/>
      <w:r>
        <w:rPr>
          <w:rFonts w:ascii="Times New Roman" w:hAnsi="Times New Roman"/>
          <w:b/>
          <w:sz w:val="28"/>
        </w:rPr>
        <w:t>Under</w:t>
      </w:r>
      <w:proofErr w:type="gramEnd"/>
      <w:r>
        <w:rPr>
          <w:rFonts w:ascii="Times New Roman" w:hAnsi="Times New Roman"/>
          <w:b/>
          <w:sz w:val="28"/>
        </w:rPr>
        <w:t xml:space="preserve"> the </w:t>
      </w:r>
      <w:r w:rsidR="00E90B9A" w:rsidRPr="008364C4">
        <w:rPr>
          <w:rFonts w:ascii="Times New Roman" w:hAnsi="Times New Roman"/>
          <w:b/>
          <w:sz w:val="28"/>
        </w:rPr>
        <w:t>Access to the Public Information</w:t>
      </w:r>
      <w:r>
        <w:rPr>
          <w:rFonts w:ascii="Times New Roman" w:hAnsi="Times New Roman"/>
          <w:b/>
          <w:sz w:val="28"/>
          <w:lang w:val="bg-BG"/>
        </w:rPr>
        <w:t xml:space="preserve"> </w:t>
      </w:r>
      <w:r w:rsidRPr="006749EC">
        <w:rPr>
          <w:rFonts w:ascii="Times New Roman" w:hAnsi="Times New Roman"/>
          <w:b/>
          <w:sz w:val="28"/>
          <w:lang w:val="en-US"/>
        </w:rPr>
        <w:t>Act</w:t>
      </w:r>
      <w:r>
        <w:rPr>
          <w:rFonts w:ascii="Times New Roman" w:hAnsi="Times New Roman"/>
          <w:b/>
          <w:sz w:val="28"/>
        </w:rPr>
        <w:t xml:space="preserve"> (</w:t>
      </w:r>
      <w:r w:rsidR="00E90B9A" w:rsidRPr="008364C4">
        <w:rPr>
          <w:rFonts w:ascii="Times New Roman" w:hAnsi="Times New Roman"/>
          <w:b/>
          <w:sz w:val="28"/>
        </w:rPr>
        <w:t>API</w:t>
      </w:r>
      <w:r w:rsidRPr="006749EC">
        <w:rPr>
          <w:rFonts w:ascii="Times New Roman" w:hAnsi="Times New Roman"/>
          <w:b/>
          <w:sz w:val="28"/>
        </w:rPr>
        <w:t>A</w:t>
      </w:r>
      <w:r w:rsidR="00E90B9A" w:rsidRPr="008364C4">
        <w:rPr>
          <w:rFonts w:ascii="Times New Roman" w:hAnsi="Times New Roman"/>
          <w:b/>
          <w:sz w:val="28"/>
        </w:rPr>
        <w:t>):</w:t>
      </w:r>
    </w:p>
    <w:p w:rsidR="00F14A9D" w:rsidRDefault="00996D4E" w:rsidP="00B112A9">
      <w:pPr>
        <w:spacing w:after="0" w:line="360" w:lineRule="auto"/>
        <w:ind w:firstLine="709"/>
        <w:jc w:val="both"/>
        <w:rPr>
          <w:rFonts w:ascii="Times New Roman" w:hAnsi="Times New Roman"/>
          <w:sz w:val="28"/>
        </w:rPr>
      </w:pPr>
      <w:r w:rsidRPr="008364C4">
        <w:rPr>
          <w:rFonts w:ascii="Times New Roman" w:hAnsi="Times New Roman"/>
          <w:sz w:val="28"/>
        </w:rPr>
        <w:t>The procedure of examination of application for access to public information is carried out under the Access to Public Information</w:t>
      </w:r>
      <w:r w:rsidR="00A574B6">
        <w:rPr>
          <w:rFonts w:ascii="Times New Roman" w:hAnsi="Times New Roman"/>
          <w:sz w:val="28"/>
        </w:rPr>
        <w:t xml:space="preserve"> Act</w:t>
      </w:r>
      <w:r w:rsidRPr="008364C4">
        <w:rPr>
          <w:rFonts w:ascii="Times New Roman" w:hAnsi="Times New Roman"/>
          <w:sz w:val="28"/>
        </w:rPr>
        <w:t xml:space="preserve">. </w:t>
      </w:r>
      <w:r w:rsidR="00F14A9D">
        <w:rPr>
          <w:rFonts w:ascii="Times New Roman" w:hAnsi="Times New Roman"/>
          <w:sz w:val="28"/>
        </w:rPr>
        <w:t>CPDP provides information as a liable subject under this law and gives</w:t>
      </w:r>
      <w:r w:rsidRPr="00F14A9D">
        <w:rPr>
          <w:rFonts w:ascii="Times New Roman" w:hAnsi="Times New Roman"/>
          <w:sz w:val="28"/>
        </w:rPr>
        <w:t xml:space="preserve"> individuals</w:t>
      </w:r>
      <w:r w:rsidR="00F14A9D">
        <w:rPr>
          <w:rFonts w:ascii="Times New Roman" w:hAnsi="Times New Roman"/>
          <w:sz w:val="28"/>
        </w:rPr>
        <w:t xml:space="preserve"> a possibility</w:t>
      </w:r>
      <w:r w:rsidRPr="00F14A9D">
        <w:rPr>
          <w:rFonts w:ascii="Times New Roman" w:hAnsi="Times New Roman"/>
          <w:sz w:val="28"/>
        </w:rPr>
        <w:t xml:space="preserve"> to </w:t>
      </w:r>
      <w:proofErr w:type="spellStart"/>
      <w:r w:rsidR="00F14A9D" w:rsidRPr="00F14A9D">
        <w:rPr>
          <w:rFonts w:ascii="Times New Roman" w:hAnsi="Times New Roman"/>
          <w:sz w:val="28"/>
        </w:rPr>
        <w:t>aknowledge</w:t>
      </w:r>
      <w:proofErr w:type="spellEnd"/>
      <w:r w:rsidR="00F14A9D" w:rsidRPr="00F14A9D">
        <w:rPr>
          <w:rFonts w:ascii="Times New Roman" w:hAnsi="Times New Roman"/>
          <w:sz w:val="28"/>
        </w:rPr>
        <w:t xml:space="preserve"> themselves with its activities. </w:t>
      </w:r>
    </w:p>
    <w:p w:rsidR="00996D4E" w:rsidRPr="008364C4" w:rsidRDefault="00996D4E"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Chairpers</w:t>
      </w:r>
      <w:r w:rsidR="00A574B6">
        <w:rPr>
          <w:rFonts w:ascii="Times New Roman" w:hAnsi="Times New Roman"/>
          <w:sz w:val="28"/>
        </w:rPr>
        <w:t xml:space="preserve">on of CPDP informs the public </w:t>
      </w:r>
      <w:r w:rsidR="00A574B6" w:rsidRPr="00F14A9D">
        <w:rPr>
          <w:rFonts w:ascii="Times New Roman" w:hAnsi="Times New Roman"/>
          <w:sz w:val="28"/>
        </w:rPr>
        <w:t>about</w:t>
      </w:r>
      <w:r w:rsidRPr="00F14A9D">
        <w:rPr>
          <w:rFonts w:ascii="Times New Roman" w:hAnsi="Times New Roman"/>
          <w:sz w:val="28"/>
        </w:rPr>
        <w:t xml:space="preserve"> </w:t>
      </w:r>
      <w:r w:rsidRPr="008364C4">
        <w:rPr>
          <w:rFonts w:ascii="Times New Roman" w:hAnsi="Times New Roman"/>
          <w:sz w:val="28"/>
        </w:rPr>
        <w:t xml:space="preserve">the Commission's work by publishing information on the Commission's website or announcing information in another form (brochures, information boards, publications in mass media, etc.). </w:t>
      </w:r>
    </w:p>
    <w:p w:rsidR="00996D4E" w:rsidRPr="008364C4" w:rsidRDefault="00996D4E"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Chairperson of CPDP decides on the</w:t>
      </w:r>
      <w:r w:rsidR="00A574B6">
        <w:rPr>
          <w:rFonts w:ascii="Times New Roman" w:hAnsi="Times New Roman"/>
          <w:sz w:val="28"/>
        </w:rPr>
        <w:t xml:space="preserve"> received </w:t>
      </w:r>
      <w:r w:rsidRPr="008364C4">
        <w:rPr>
          <w:rFonts w:ascii="Times New Roman" w:hAnsi="Times New Roman"/>
          <w:sz w:val="28"/>
        </w:rPr>
        <w:t>application for access to pu</w:t>
      </w:r>
      <w:r w:rsidR="00121075">
        <w:rPr>
          <w:rFonts w:ascii="Times New Roman" w:hAnsi="Times New Roman"/>
          <w:sz w:val="28"/>
        </w:rPr>
        <w:t>blic information.</w:t>
      </w:r>
    </w:p>
    <w:p w:rsidR="005B4BF1" w:rsidRPr="008364C4" w:rsidRDefault="00814D8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For the specified period the Commission received 5 applications fo</w:t>
      </w:r>
      <w:r w:rsidR="00A574B6">
        <w:rPr>
          <w:rFonts w:ascii="Times New Roman" w:hAnsi="Times New Roman"/>
          <w:sz w:val="28"/>
        </w:rPr>
        <w:t xml:space="preserve">r access to public information. </w:t>
      </w:r>
      <w:r w:rsidRPr="008364C4">
        <w:rPr>
          <w:rFonts w:ascii="Times New Roman" w:hAnsi="Times New Roman"/>
          <w:sz w:val="28"/>
        </w:rPr>
        <w:t>In most applications for access to information the applicant has requested information on more than one sphere of activity of the Commission, and therefore the Chairperson of CPDP ruled on any of the requests by issuing a separate decision within the statutory period (total of 60 decisions). The requested acces</w:t>
      </w:r>
      <w:r w:rsidR="00A574B6">
        <w:rPr>
          <w:rFonts w:ascii="Times New Roman" w:hAnsi="Times New Roman"/>
          <w:sz w:val="28"/>
        </w:rPr>
        <w:t>s to public information concerned</w:t>
      </w:r>
      <w:r w:rsidRPr="008364C4">
        <w:rPr>
          <w:rFonts w:ascii="Times New Roman" w:hAnsi="Times New Roman"/>
          <w:sz w:val="28"/>
        </w:rPr>
        <w:t xml:space="preserve"> the following issues: number of complaints received in the Commission, number of administrative penalties imposed; total amount of penalties imposed b</w:t>
      </w:r>
      <w:r w:rsidR="00A574B6">
        <w:rPr>
          <w:rFonts w:ascii="Times New Roman" w:hAnsi="Times New Roman"/>
          <w:sz w:val="28"/>
        </w:rPr>
        <w:t>y the Commission; number of act</w:t>
      </w:r>
      <w:r w:rsidRPr="008364C4">
        <w:rPr>
          <w:rFonts w:ascii="Times New Roman" w:hAnsi="Times New Roman"/>
          <w:sz w:val="28"/>
        </w:rPr>
        <w:t>s repeale</w:t>
      </w:r>
      <w:r w:rsidR="00F14A9D">
        <w:rPr>
          <w:rFonts w:ascii="Times New Roman" w:hAnsi="Times New Roman"/>
          <w:sz w:val="28"/>
        </w:rPr>
        <w:t>d before the court; documents on</w:t>
      </w:r>
      <w:r w:rsidRPr="008364C4">
        <w:rPr>
          <w:rFonts w:ascii="Times New Roman" w:hAnsi="Times New Roman"/>
          <w:sz w:val="28"/>
        </w:rPr>
        <w:t xml:space="preserve"> administrative proceedings brought before CPDP; amount of remuneration of the Chairperson of CPDP and the administrative officials; etc. </w:t>
      </w:r>
    </w:p>
    <w:p w:rsidR="00AB5566" w:rsidRPr="008364C4" w:rsidRDefault="00A574B6" w:rsidP="00B112A9">
      <w:pPr>
        <w:spacing w:after="0" w:line="360" w:lineRule="auto"/>
        <w:ind w:firstLine="709"/>
        <w:jc w:val="both"/>
        <w:rPr>
          <w:rFonts w:ascii="Times New Roman" w:hAnsi="Times New Roman"/>
          <w:sz w:val="28"/>
          <w:szCs w:val="28"/>
        </w:rPr>
      </w:pPr>
      <w:r>
        <w:rPr>
          <w:rFonts w:ascii="Times New Roman" w:hAnsi="Times New Roman"/>
          <w:sz w:val="28"/>
        </w:rPr>
        <w:lastRenderedPageBreak/>
        <w:t>In t</w:t>
      </w:r>
      <w:r w:rsidR="00AB5566" w:rsidRPr="008364C4">
        <w:rPr>
          <w:rFonts w:ascii="Times New Roman" w:hAnsi="Times New Roman"/>
          <w:sz w:val="28"/>
        </w:rPr>
        <w:t xml:space="preserve">he </w:t>
      </w:r>
      <w:r>
        <w:rPr>
          <w:rFonts w:ascii="Times New Roman" w:hAnsi="Times New Roman"/>
          <w:sz w:val="28"/>
        </w:rPr>
        <w:t>majority of the decisions</w:t>
      </w:r>
      <w:r w:rsidR="00AB5566" w:rsidRPr="008364C4">
        <w:rPr>
          <w:rFonts w:ascii="Times New Roman" w:hAnsi="Times New Roman"/>
          <w:sz w:val="28"/>
        </w:rPr>
        <w:t xml:space="preserve"> the access to public information</w:t>
      </w:r>
      <w:r>
        <w:rPr>
          <w:rFonts w:ascii="Times New Roman" w:hAnsi="Times New Roman"/>
          <w:sz w:val="28"/>
        </w:rPr>
        <w:t xml:space="preserve"> was refused</w:t>
      </w:r>
      <w:r w:rsidR="00AB5566" w:rsidRPr="008364C4">
        <w:rPr>
          <w:rFonts w:ascii="Times New Roman" w:hAnsi="Times New Roman"/>
          <w:sz w:val="28"/>
        </w:rPr>
        <w:t xml:space="preserve">, because the applicant has requested access to documents without considering the fact that the procedure to access them is regulated under the provisions of the Administrative Procedure Code (APC), not under LAPI. At this point there are no repeals of the decisions refusing access to public information. </w:t>
      </w:r>
    </w:p>
    <w:p w:rsidR="00210C94" w:rsidRPr="008364C4" w:rsidRDefault="00C833A3" w:rsidP="003D726B">
      <w:pPr>
        <w:pStyle w:val="Heading1"/>
      </w:pPr>
      <w:r w:rsidRPr="008364C4">
        <w:br w:type="page"/>
      </w:r>
      <w:bookmarkStart w:id="8" w:name="_Toc380595209"/>
      <w:bookmarkStart w:id="9" w:name="_Toc380740745"/>
      <w:r w:rsidRPr="008364C4">
        <w:lastRenderedPageBreak/>
        <w:t xml:space="preserve">V. Registration of data controllers and data registers kept by them. </w:t>
      </w:r>
      <w:proofErr w:type="gramStart"/>
      <w:r w:rsidRPr="008364C4">
        <w:t>State of deployed information and communication systems.</w:t>
      </w:r>
      <w:proofErr w:type="gramEnd"/>
      <w:r w:rsidRPr="008364C4">
        <w:t xml:space="preserve"> </w:t>
      </w:r>
      <w:proofErr w:type="gramStart"/>
      <w:r w:rsidRPr="008364C4">
        <w:t>Volume of incoming and outgoing correspondence.</w:t>
      </w:r>
      <w:bookmarkEnd w:id="8"/>
      <w:bookmarkEnd w:id="9"/>
      <w:proofErr w:type="gramEnd"/>
      <w:r w:rsidRPr="008364C4">
        <w:t xml:space="preserve"> </w:t>
      </w:r>
    </w:p>
    <w:p w:rsidR="00210C94" w:rsidRPr="008364C4" w:rsidRDefault="00210C94" w:rsidP="00B112A9">
      <w:pPr>
        <w:pStyle w:val="PlainText"/>
        <w:spacing w:line="360" w:lineRule="auto"/>
        <w:ind w:firstLine="709"/>
        <w:jc w:val="both"/>
        <w:rPr>
          <w:rFonts w:ascii="Times New Roman" w:hAnsi="Times New Roman"/>
          <w:b/>
          <w:sz w:val="28"/>
          <w:szCs w:val="28"/>
        </w:rPr>
      </w:pPr>
    </w:p>
    <w:p w:rsidR="003F536F" w:rsidRPr="008364C4" w:rsidRDefault="003F536F" w:rsidP="00B112A9">
      <w:pPr>
        <w:spacing w:after="0" w:line="360" w:lineRule="auto"/>
        <w:ind w:firstLine="709"/>
        <w:jc w:val="both"/>
        <w:rPr>
          <w:rFonts w:ascii="Times New Roman" w:hAnsi="Times New Roman"/>
          <w:b/>
          <w:sz w:val="28"/>
          <w:szCs w:val="28"/>
        </w:rPr>
      </w:pPr>
      <w:r w:rsidRPr="008364C4">
        <w:rPr>
          <w:rFonts w:ascii="Times New Roman" w:hAnsi="Times New Roman"/>
          <w:b/>
          <w:sz w:val="28"/>
        </w:rPr>
        <w:t>1. Registration of data controllers and data registers kept by them</w:t>
      </w:r>
    </w:p>
    <w:p w:rsidR="003F536F" w:rsidRPr="008364C4" w:rsidRDefault="003F536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Following its legal obligation the Commission for Personal Data Protection maintains a register of data controllers (DC) and data registers kept by them (Register). The Register is public and is kept electronically.</w:t>
      </w:r>
    </w:p>
    <w:p w:rsidR="003F536F" w:rsidRPr="008364C4" w:rsidRDefault="003F536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overall activity involved in maintaining the Register at CPDP is in accordance with the concept of e-Government aiming to provide individuals with highly effective and easy to use electronic service, built on the “one stop shop” technology. It was implemented based on the data controllers’ electronic registration system (</w:t>
      </w:r>
      <w:proofErr w:type="spellStart"/>
      <w:r w:rsidRPr="008364C4">
        <w:rPr>
          <w:rFonts w:ascii="Times New Roman" w:hAnsi="Times New Roman"/>
          <w:sz w:val="28"/>
        </w:rPr>
        <w:t>eRALD</w:t>
      </w:r>
      <w:proofErr w:type="spellEnd"/>
      <w:r w:rsidRPr="008364C4">
        <w:rPr>
          <w:rFonts w:ascii="Times New Roman" w:hAnsi="Times New Roman"/>
          <w:sz w:val="28"/>
        </w:rPr>
        <w:t xml:space="preserve">). </w:t>
      </w:r>
    </w:p>
    <w:p w:rsidR="003F536F" w:rsidRPr="008364C4" w:rsidRDefault="003F536F" w:rsidP="00B112A9">
      <w:pPr>
        <w:spacing w:after="0" w:line="360" w:lineRule="auto"/>
        <w:ind w:firstLine="709"/>
        <w:jc w:val="both"/>
        <w:rPr>
          <w:rFonts w:ascii="Times New Roman" w:hAnsi="Times New Roman"/>
          <w:sz w:val="28"/>
          <w:szCs w:val="28"/>
        </w:rPr>
      </w:pPr>
      <w:proofErr w:type="spellStart"/>
      <w:proofErr w:type="gramStart"/>
      <w:r w:rsidRPr="008364C4">
        <w:rPr>
          <w:rFonts w:ascii="Times New Roman" w:hAnsi="Times New Roman"/>
          <w:sz w:val="28"/>
        </w:rPr>
        <w:t>eRALD</w:t>
      </w:r>
      <w:proofErr w:type="spellEnd"/>
      <w:proofErr w:type="gramEnd"/>
      <w:r w:rsidRPr="008364C4">
        <w:rPr>
          <w:rFonts w:ascii="Times New Roman" w:hAnsi="Times New Roman"/>
          <w:sz w:val="28"/>
        </w:rPr>
        <w:t xml:space="preserve"> is a web-based application which covers all activities related to the data controllers’ registration and tracks out the technological process until approval or denial of their entry in the public register. The system enables the maintenance of public registers for: registered data controllers, data controllers exempted from the registration </w:t>
      </w:r>
      <w:r w:rsidR="00F14A9D" w:rsidRPr="008364C4">
        <w:rPr>
          <w:rFonts w:ascii="Times New Roman" w:hAnsi="Times New Roman"/>
          <w:sz w:val="28"/>
        </w:rPr>
        <w:t>obligation</w:t>
      </w:r>
      <w:r w:rsidRPr="008364C4">
        <w:rPr>
          <w:rFonts w:ascii="Times New Roman" w:hAnsi="Times New Roman"/>
          <w:sz w:val="28"/>
        </w:rPr>
        <w:t xml:space="preserve"> and data controllers with refused entry in the CPDP’s Register. All three registers and the information contained therein are public and available on the web through the CPDP’s website.</w:t>
      </w:r>
    </w:p>
    <w:p w:rsidR="003F536F" w:rsidRPr="008364C4" w:rsidRDefault="003F536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There is a trend for wider use of the electronic registration service by data controllers. The Commission associates this with the convenient and accessible working interface of the system and the training held with key data controllers.</w:t>
      </w:r>
    </w:p>
    <w:p w:rsidR="003F536F" w:rsidRPr="008364C4" w:rsidRDefault="003F536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In 2013, the processes of registration of data controllers (DCs), exemption from the registration obligation, update of the information on a controller already existing in the register, as well as DC deletion from the register continued.</w:t>
      </w:r>
    </w:p>
    <w:p w:rsidR="003F536F" w:rsidRPr="008364C4" w:rsidRDefault="003F536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As of 31 December 2012 the total number of </w:t>
      </w:r>
      <w:proofErr w:type="spellStart"/>
      <w:r w:rsidRPr="008364C4">
        <w:rPr>
          <w:rFonts w:ascii="Times New Roman" w:hAnsi="Times New Roman"/>
          <w:sz w:val="28"/>
        </w:rPr>
        <w:t>eRALD</w:t>
      </w:r>
      <w:proofErr w:type="spellEnd"/>
      <w:r w:rsidRPr="008364C4">
        <w:rPr>
          <w:rFonts w:ascii="Times New Roman" w:hAnsi="Times New Roman"/>
          <w:sz w:val="28"/>
        </w:rPr>
        <w:t xml:space="preserve"> users reached 316,993, with 287,025 submitting applications for registration as data controllers, and </w:t>
      </w:r>
      <w:r w:rsidRPr="008364C4">
        <w:rPr>
          <w:rFonts w:ascii="Times New Roman" w:hAnsi="Times New Roman"/>
          <w:sz w:val="28"/>
        </w:rPr>
        <w:lastRenderedPageBreak/>
        <w:t xml:space="preserve">29,968 submitting applications for exemption from the registration obligation (Fig. 1). </w:t>
      </w:r>
    </w:p>
    <w:p w:rsidR="003F536F" w:rsidRPr="008364C4" w:rsidRDefault="00EE2462" w:rsidP="0077741D">
      <w:pPr>
        <w:spacing w:after="0" w:line="360" w:lineRule="auto"/>
        <w:jc w:val="center"/>
        <w:rPr>
          <w:rFonts w:ascii="Times New Roman" w:hAnsi="Times New Roman"/>
          <w:sz w:val="28"/>
          <w:szCs w:val="28"/>
        </w:rPr>
      </w:pPr>
      <w:r w:rsidRPr="008364C4">
        <w:rPr>
          <w:noProof/>
          <w:lang w:val="bg-BG" w:eastAsia="bg-BG" w:bidi="ar-SA"/>
        </w:rPr>
        <w:drawing>
          <wp:inline distT="0" distB="0" distL="0" distR="0">
            <wp:extent cx="5932228" cy="3390576"/>
            <wp:effectExtent l="19050" t="0" r="11372" b="324"/>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536F" w:rsidRPr="008364C4" w:rsidRDefault="003F536F" w:rsidP="0077741D">
      <w:pPr>
        <w:spacing w:after="0" w:line="360" w:lineRule="auto"/>
        <w:ind w:firstLine="709"/>
        <w:jc w:val="center"/>
        <w:rPr>
          <w:rFonts w:ascii="Times New Roman" w:hAnsi="Times New Roman"/>
          <w:b/>
          <w:sz w:val="28"/>
          <w:szCs w:val="28"/>
        </w:rPr>
      </w:pPr>
      <w:proofErr w:type="gramStart"/>
      <w:r w:rsidRPr="008364C4">
        <w:rPr>
          <w:rFonts w:ascii="Times New Roman" w:hAnsi="Times New Roman"/>
          <w:b/>
          <w:sz w:val="28"/>
        </w:rPr>
        <w:t>Fig. 1.</w:t>
      </w:r>
      <w:proofErr w:type="gramEnd"/>
    </w:p>
    <w:p w:rsidR="003F536F" w:rsidRPr="008364C4" w:rsidRDefault="003F536F" w:rsidP="00B112A9">
      <w:pPr>
        <w:spacing w:after="0" w:line="360" w:lineRule="auto"/>
        <w:ind w:firstLine="709"/>
        <w:jc w:val="both"/>
        <w:rPr>
          <w:rFonts w:ascii="Times New Roman" w:hAnsi="Times New Roman"/>
          <w:sz w:val="28"/>
          <w:szCs w:val="28"/>
        </w:rPr>
      </w:pPr>
    </w:p>
    <w:p w:rsidR="003F536F" w:rsidRPr="008364C4" w:rsidRDefault="003921DF" w:rsidP="00B112A9">
      <w:pPr>
        <w:spacing w:after="0" w:line="360" w:lineRule="auto"/>
        <w:ind w:firstLine="709"/>
        <w:jc w:val="both"/>
        <w:rPr>
          <w:rFonts w:ascii="Times New Roman" w:hAnsi="Times New Roman"/>
          <w:sz w:val="28"/>
          <w:szCs w:val="28"/>
        </w:rPr>
      </w:pPr>
      <w:r>
        <w:rPr>
          <w:rFonts w:ascii="Times New Roman" w:hAnsi="Times New Roman"/>
          <w:sz w:val="28"/>
        </w:rPr>
        <w:t>In 2013 the Commission took</w:t>
      </w:r>
      <w:r w:rsidR="005414B3">
        <w:rPr>
          <w:rFonts w:ascii="Times New Roman" w:hAnsi="Times New Roman"/>
          <w:sz w:val="28"/>
        </w:rPr>
        <w:t xml:space="preserve"> decisions</w:t>
      </w:r>
      <w:r>
        <w:rPr>
          <w:rFonts w:ascii="Times New Roman" w:hAnsi="Times New Roman"/>
          <w:sz w:val="28"/>
        </w:rPr>
        <w:t xml:space="preserve"> to register</w:t>
      </w:r>
      <w:r w:rsidR="005414B3">
        <w:rPr>
          <w:rFonts w:ascii="Times New Roman" w:hAnsi="Times New Roman"/>
          <w:sz w:val="28"/>
        </w:rPr>
        <w:t xml:space="preserve"> </w:t>
      </w:r>
      <w:r w:rsidR="003F536F" w:rsidRPr="008364C4">
        <w:rPr>
          <w:rFonts w:ascii="Times New Roman" w:hAnsi="Times New Roman"/>
          <w:sz w:val="28"/>
        </w:rPr>
        <w:t>42,308 data controllers. Thus the total number of data c</w:t>
      </w:r>
      <w:r>
        <w:rPr>
          <w:rFonts w:ascii="Times New Roman" w:hAnsi="Times New Roman"/>
          <w:sz w:val="28"/>
        </w:rPr>
        <w:t xml:space="preserve">ontrollers in the register reached </w:t>
      </w:r>
      <w:r w:rsidR="003F536F" w:rsidRPr="008364C4">
        <w:rPr>
          <w:rFonts w:ascii="Times New Roman" w:hAnsi="Times New Roman"/>
          <w:sz w:val="28"/>
        </w:rPr>
        <w:t>246,382 (Fig. 2).</w:t>
      </w:r>
    </w:p>
    <w:p w:rsidR="003F536F" w:rsidRPr="008364C4" w:rsidRDefault="003921DF" w:rsidP="00B112A9">
      <w:pPr>
        <w:spacing w:after="0" w:line="360" w:lineRule="auto"/>
        <w:ind w:firstLine="709"/>
        <w:jc w:val="both"/>
        <w:rPr>
          <w:rFonts w:ascii="Times New Roman" w:hAnsi="Times New Roman"/>
          <w:sz w:val="28"/>
          <w:szCs w:val="28"/>
        </w:rPr>
      </w:pPr>
      <w:r>
        <w:rPr>
          <w:rFonts w:ascii="Times New Roman" w:hAnsi="Times New Roman"/>
          <w:sz w:val="28"/>
        </w:rPr>
        <w:t>The number of data controller</w:t>
      </w:r>
      <w:r w:rsidR="003F536F" w:rsidRPr="008364C4">
        <w:rPr>
          <w:rFonts w:ascii="Times New Roman" w:hAnsi="Times New Roman"/>
          <w:sz w:val="28"/>
        </w:rPr>
        <w:t>s exempted from the registration obligation i</w:t>
      </w:r>
      <w:r>
        <w:rPr>
          <w:rFonts w:ascii="Times New Roman" w:hAnsi="Times New Roman"/>
          <w:sz w:val="28"/>
        </w:rPr>
        <w:t>n the accounting period was</w:t>
      </w:r>
      <w:r w:rsidR="003F536F" w:rsidRPr="008364C4">
        <w:rPr>
          <w:rFonts w:ascii="Times New Roman" w:hAnsi="Times New Roman"/>
          <w:sz w:val="28"/>
        </w:rPr>
        <w:t xml:space="preserve"> 498</w:t>
      </w:r>
      <w:r w:rsidR="001B7350">
        <w:rPr>
          <w:rFonts w:ascii="Times New Roman" w:hAnsi="Times New Roman"/>
          <w:sz w:val="28"/>
        </w:rPr>
        <w:t>.</w:t>
      </w:r>
      <w:r w:rsidR="003F536F" w:rsidRPr="008364C4">
        <w:rPr>
          <w:rFonts w:ascii="Times New Roman" w:hAnsi="Times New Roman"/>
          <w:sz w:val="28"/>
        </w:rPr>
        <w:t xml:space="preserve"> Thus</w:t>
      </w:r>
      <w:r>
        <w:rPr>
          <w:rFonts w:ascii="Times New Roman" w:hAnsi="Times New Roman"/>
          <w:sz w:val="28"/>
        </w:rPr>
        <w:t>,</w:t>
      </w:r>
      <w:r w:rsidR="003F536F" w:rsidRPr="008364C4">
        <w:rPr>
          <w:rFonts w:ascii="Times New Roman" w:hAnsi="Times New Roman"/>
          <w:sz w:val="28"/>
        </w:rPr>
        <w:t xml:space="preserve"> the total number of data controllers exe</w:t>
      </w:r>
      <w:r>
        <w:rPr>
          <w:rFonts w:ascii="Times New Roman" w:hAnsi="Times New Roman"/>
          <w:sz w:val="28"/>
        </w:rPr>
        <w:t>mpted from registration was</w:t>
      </w:r>
      <w:r w:rsidR="003F536F" w:rsidRPr="008364C4">
        <w:rPr>
          <w:rFonts w:ascii="Times New Roman" w:hAnsi="Times New Roman"/>
          <w:sz w:val="28"/>
        </w:rPr>
        <w:t xml:space="preserve"> 27,351 (Fig. 3). Compared to 2012, there is a decreasing tr</w:t>
      </w:r>
      <w:r>
        <w:rPr>
          <w:rFonts w:ascii="Times New Roman" w:hAnsi="Times New Roman"/>
          <w:sz w:val="28"/>
        </w:rPr>
        <w:t xml:space="preserve">end in the number of submitted applications </w:t>
      </w:r>
      <w:r w:rsidR="003F536F" w:rsidRPr="008364C4">
        <w:rPr>
          <w:rFonts w:ascii="Times New Roman" w:hAnsi="Times New Roman"/>
          <w:sz w:val="28"/>
        </w:rPr>
        <w:t>for registration exemption and an increasing trend in the number of applications for data controllers’ registration.</w:t>
      </w:r>
    </w:p>
    <w:p w:rsidR="001A4270" w:rsidRPr="008364C4" w:rsidRDefault="00EE2462" w:rsidP="001A4270">
      <w:pPr>
        <w:spacing w:after="0" w:line="360" w:lineRule="auto"/>
        <w:ind w:firstLine="142"/>
        <w:jc w:val="both"/>
        <w:rPr>
          <w:rFonts w:ascii="Times New Roman" w:hAnsi="Times New Roman"/>
          <w:sz w:val="28"/>
          <w:szCs w:val="28"/>
        </w:rPr>
      </w:pPr>
      <w:r w:rsidRPr="008364C4">
        <w:rPr>
          <w:noProof/>
          <w:lang w:val="bg-BG" w:eastAsia="bg-BG" w:bidi="ar-SA"/>
        </w:rPr>
        <w:lastRenderedPageBreak/>
        <w:drawing>
          <wp:inline distT="0" distB="0" distL="0" distR="0">
            <wp:extent cx="5920146" cy="3381079"/>
            <wp:effectExtent l="19050" t="0" r="23454"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36F" w:rsidRPr="008364C4" w:rsidRDefault="003F536F" w:rsidP="0077741D">
      <w:pPr>
        <w:spacing w:after="0" w:line="360" w:lineRule="auto"/>
        <w:ind w:firstLine="709"/>
        <w:jc w:val="center"/>
        <w:rPr>
          <w:rFonts w:ascii="Times New Roman" w:hAnsi="Times New Roman"/>
          <w:b/>
          <w:sz w:val="28"/>
          <w:szCs w:val="28"/>
        </w:rPr>
      </w:pPr>
      <w:proofErr w:type="gramStart"/>
      <w:r w:rsidRPr="008364C4">
        <w:rPr>
          <w:rFonts w:ascii="Times New Roman" w:hAnsi="Times New Roman"/>
          <w:b/>
          <w:sz w:val="28"/>
        </w:rPr>
        <w:t>Fig. 2.</w:t>
      </w:r>
      <w:proofErr w:type="gramEnd"/>
    </w:p>
    <w:p w:rsidR="009504EC" w:rsidRPr="008364C4" w:rsidRDefault="009504EC" w:rsidP="0077741D">
      <w:pPr>
        <w:spacing w:after="0" w:line="360" w:lineRule="auto"/>
        <w:ind w:firstLine="709"/>
        <w:jc w:val="center"/>
        <w:rPr>
          <w:rFonts w:ascii="Times New Roman" w:hAnsi="Times New Roman"/>
          <w:b/>
          <w:sz w:val="28"/>
          <w:szCs w:val="28"/>
        </w:rPr>
      </w:pPr>
    </w:p>
    <w:p w:rsidR="003F536F" w:rsidRPr="008364C4" w:rsidRDefault="00EE2462" w:rsidP="00467F92">
      <w:pPr>
        <w:spacing w:after="0" w:line="360" w:lineRule="auto"/>
        <w:ind w:firstLine="142"/>
        <w:jc w:val="both"/>
        <w:rPr>
          <w:rFonts w:ascii="Times New Roman" w:hAnsi="Times New Roman"/>
          <w:b/>
          <w:sz w:val="28"/>
          <w:szCs w:val="28"/>
        </w:rPr>
      </w:pPr>
      <w:r w:rsidRPr="008364C4">
        <w:rPr>
          <w:noProof/>
          <w:lang w:val="bg-BG" w:eastAsia="bg-BG" w:bidi="ar-SA"/>
        </w:rPr>
        <w:drawing>
          <wp:inline distT="0" distB="0" distL="0" distR="0">
            <wp:extent cx="5920146" cy="3493869"/>
            <wp:effectExtent l="19050" t="0" r="23454"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536F" w:rsidRPr="008364C4" w:rsidRDefault="003F536F" w:rsidP="0077741D">
      <w:pPr>
        <w:spacing w:after="0" w:line="360" w:lineRule="auto"/>
        <w:ind w:firstLine="709"/>
        <w:jc w:val="center"/>
        <w:rPr>
          <w:rFonts w:ascii="Times New Roman" w:hAnsi="Times New Roman"/>
          <w:b/>
          <w:sz w:val="28"/>
          <w:szCs w:val="28"/>
        </w:rPr>
      </w:pPr>
      <w:proofErr w:type="gramStart"/>
      <w:r w:rsidRPr="008364C4">
        <w:rPr>
          <w:rFonts w:ascii="Times New Roman" w:hAnsi="Times New Roman"/>
          <w:b/>
          <w:sz w:val="28"/>
        </w:rPr>
        <w:t>Fig. 3.</w:t>
      </w:r>
      <w:proofErr w:type="gramEnd"/>
    </w:p>
    <w:p w:rsidR="003F536F" w:rsidRPr="008364C4" w:rsidRDefault="003F536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During the reporting period the Commission received 93 applications for data controllers’ deletion on which CPDP decides to delete the data controllers from the register. </w:t>
      </w:r>
    </w:p>
    <w:p w:rsidR="003F536F" w:rsidRPr="008364C4" w:rsidRDefault="00C613FC" w:rsidP="00B112A9">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lastRenderedPageBreak/>
        <w:t>When a data controller applies for data processing under Art.</w:t>
      </w:r>
      <w:proofErr w:type="gramEnd"/>
      <w:r w:rsidRPr="008364C4">
        <w:rPr>
          <w:rFonts w:ascii="Times New Roman" w:hAnsi="Times New Roman"/>
          <w:sz w:val="28"/>
        </w:rPr>
        <w:t xml:space="preserve"> 5 (1) of LPPD or for data, the processing of which by decision of the Commission</w:t>
      </w:r>
      <w:r w:rsidR="003921DF">
        <w:rPr>
          <w:rFonts w:ascii="Times New Roman" w:hAnsi="Times New Roman"/>
          <w:sz w:val="28"/>
        </w:rPr>
        <w:t xml:space="preserve"> poses a threat to</w:t>
      </w:r>
      <w:r w:rsidRPr="008364C4">
        <w:rPr>
          <w:rFonts w:ascii="Times New Roman" w:hAnsi="Times New Roman"/>
          <w:sz w:val="28"/>
        </w:rPr>
        <w:t xml:space="preserve"> the rights and the lawful interests of individuals, the Commission is required to carry out ex-ante insp</w:t>
      </w:r>
      <w:r w:rsidR="003921DF">
        <w:rPr>
          <w:rFonts w:ascii="Times New Roman" w:hAnsi="Times New Roman"/>
          <w:sz w:val="28"/>
        </w:rPr>
        <w:t xml:space="preserve">ection, pursuant to Art. </w:t>
      </w:r>
      <w:proofErr w:type="gramStart"/>
      <w:r w:rsidR="003921DF">
        <w:rPr>
          <w:rFonts w:ascii="Times New Roman" w:hAnsi="Times New Roman"/>
          <w:sz w:val="28"/>
        </w:rPr>
        <w:t xml:space="preserve">17b of </w:t>
      </w:r>
      <w:r w:rsidRPr="008364C4">
        <w:rPr>
          <w:rFonts w:ascii="Times New Roman" w:hAnsi="Times New Roman"/>
          <w:sz w:val="28"/>
        </w:rPr>
        <w:t>LPPD before the registration.</w:t>
      </w:r>
      <w:proofErr w:type="gramEnd"/>
    </w:p>
    <w:p w:rsidR="003F536F" w:rsidRPr="008364C4" w:rsidRDefault="003F536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I</w:t>
      </w:r>
      <w:r w:rsidR="003921DF">
        <w:rPr>
          <w:rFonts w:ascii="Times New Roman" w:hAnsi="Times New Roman"/>
          <w:sz w:val="28"/>
        </w:rPr>
        <w:t xml:space="preserve">n 2013, 2,748 data controllers </w:t>
      </w:r>
      <w:r w:rsidRPr="008364C4">
        <w:rPr>
          <w:rFonts w:ascii="Times New Roman" w:hAnsi="Times New Roman"/>
          <w:sz w:val="28"/>
        </w:rPr>
        <w:t>were subject of ex-ante inspect</w:t>
      </w:r>
      <w:r w:rsidR="003921DF">
        <w:rPr>
          <w:rFonts w:ascii="Times New Roman" w:hAnsi="Times New Roman"/>
          <w:sz w:val="28"/>
        </w:rPr>
        <w:t>ion before the registration in the</w:t>
      </w:r>
      <w:r w:rsidRPr="008364C4">
        <w:rPr>
          <w:rFonts w:ascii="Times New Roman" w:hAnsi="Times New Roman"/>
          <w:sz w:val="28"/>
        </w:rPr>
        <w:t xml:space="preserve"> register under Art. </w:t>
      </w:r>
      <w:proofErr w:type="gramStart"/>
      <w:r w:rsidRPr="008364C4">
        <w:rPr>
          <w:rFonts w:ascii="Times New Roman" w:hAnsi="Times New Roman"/>
          <w:sz w:val="28"/>
        </w:rPr>
        <w:t>10 (1) (2).</w:t>
      </w:r>
      <w:proofErr w:type="gramEnd"/>
    </w:p>
    <w:p w:rsidR="003F536F" w:rsidRPr="008364C4" w:rsidRDefault="003F536F" w:rsidP="00B112A9">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t>In 2013, pursuant to Art.</w:t>
      </w:r>
      <w:proofErr w:type="gramEnd"/>
      <w:r w:rsidRPr="008364C4">
        <w:rPr>
          <w:rFonts w:ascii="Times New Roman" w:hAnsi="Times New Roman"/>
          <w:sz w:val="28"/>
        </w:rPr>
        <w:t xml:space="preserve"> 17b (3) (3) of LPPD, the Commission decided to refuse the entry of 829 controllers in the register.</w:t>
      </w:r>
    </w:p>
    <w:p w:rsidR="003F536F" w:rsidRPr="00F14A9D" w:rsidRDefault="003921DF" w:rsidP="00B112A9">
      <w:pPr>
        <w:spacing w:after="0" w:line="360" w:lineRule="auto"/>
        <w:ind w:firstLine="709"/>
        <w:jc w:val="both"/>
        <w:rPr>
          <w:rFonts w:ascii="Times New Roman" w:hAnsi="Times New Roman"/>
          <w:sz w:val="28"/>
          <w:szCs w:val="28"/>
        </w:rPr>
      </w:pPr>
      <w:r>
        <w:rPr>
          <w:rFonts w:ascii="Times New Roman" w:hAnsi="Times New Roman"/>
          <w:sz w:val="28"/>
        </w:rPr>
        <w:t xml:space="preserve">In the reported period, </w:t>
      </w:r>
      <w:r w:rsidRPr="008364C4">
        <w:rPr>
          <w:rFonts w:ascii="Times New Roman" w:hAnsi="Times New Roman"/>
          <w:sz w:val="28"/>
        </w:rPr>
        <w:t>in connec</w:t>
      </w:r>
      <w:r>
        <w:rPr>
          <w:rFonts w:ascii="Times New Roman" w:hAnsi="Times New Roman"/>
          <w:sz w:val="28"/>
        </w:rPr>
        <w:t xml:space="preserve">tion with data controllers’ </w:t>
      </w:r>
      <w:proofErr w:type="gramStart"/>
      <w:r w:rsidRPr="008364C4">
        <w:rPr>
          <w:rFonts w:ascii="Times New Roman" w:hAnsi="Times New Roman"/>
          <w:sz w:val="28"/>
        </w:rPr>
        <w:t xml:space="preserve">registration </w:t>
      </w:r>
      <w:r>
        <w:rPr>
          <w:rFonts w:ascii="Times New Roman" w:hAnsi="Times New Roman"/>
          <w:sz w:val="28"/>
        </w:rPr>
        <w:t>were</w:t>
      </w:r>
      <w:proofErr w:type="gramEnd"/>
      <w:r>
        <w:rPr>
          <w:rFonts w:ascii="Times New Roman" w:hAnsi="Times New Roman"/>
          <w:sz w:val="28"/>
        </w:rPr>
        <w:t xml:space="preserve"> processed </w:t>
      </w:r>
      <w:r w:rsidRPr="008364C4">
        <w:rPr>
          <w:rFonts w:ascii="Times New Roman" w:hAnsi="Times New Roman"/>
          <w:sz w:val="28"/>
        </w:rPr>
        <w:t xml:space="preserve">45,147 </w:t>
      </w:r>
      <w:r>
        <w:rPr>
          <w:rFonts w:ascii="Times New Roman" w:hAnsi="Times New Roman"/>
          <w:sz w:val="28"/>
        </w:rPr>
        <w:t>documents, submitted on hard copies</w:t>
      </w:r>
      <w:r w:rsidR="003F536F" w:rsidRPr="008364C4">
        <w:rPr>
          <w:rFonts w:ascii="Times New Roman" w:hAnsi="Times New Roman"/>
          <w:sz w:val="28"/>
        </w:rPr>
        <w:t xml:space="preserve">. 91,170 electronic messages were sent to data controllers via </w:t>
      </w:r>
      <w:proofErr w:type="spellStart"/>
      <w:r w:rsidR="003F536F" w:rsidRPr="008364C4">
        <w:rPr>
          <w:rFonts w:ascii="Times New Roman" w:hAnsi="Times New Roman"/>
          <w:sz w:val="28"/>
        </w:rPr>
        <w:t>eRALD</w:t>
      </w:r>
      <w:proofErr w:type="spellEnd"/>
      <w:r w:rsidR="003F536F" w:rsidRPr="008364C4">
        <w:rPr>
          <w:rFonts w:ascii="Times New Roman" w:hAnsi="Times New Roman"/>
          <w:sz w:val="28"/>
        </w:rPr>
        <w:t xml:space="preserve">, and 372 e-mails were received in the electronic system inbox, </w:t>
      </w:r>
      <w:r w:rsidRPr="00F14A9D">
        <w:rPr>
          <w:rFonts w:ascii="Times New Roman" w:hAnsi="Times New Roman"/>
          <w:sz w:val="28"/>
        </w:rPr>
        <w:t>which resulted in appropriate actions been undertaken</w:t>
      </w:r>
      <w:r w:rsidR="003F536F" w:rsidRPr="00F14A9D">
        <w:rPr>
          <w:rFonts w:ascii="Times New Roman" w:hAnsi="Times New Roman"/>
          <w:sz w:val="28"/>
        </w:rPr>
        <w:t>.</w:t>
      </w:r>
    </w:p>
    <w:p w:rsidR="003F536F" w:rsidRPr="008364C4" w:rsidRDefault="003F536F" w:rsidP="00B112A9">
      <w:pPr>
        <w:spacing w:after="0" w:line="360" w:lineRule="auto"/>
        <w:ind w:firstLine="709"/>
        <w:rPr>
          <w:rFonts w:ascii="Times New Roman" w:hAnsi="Times New Roman"/>
          <w:sz w:val="28"/>
          <w:szCs w:val="28"/>
        </w:rPr>
      </w:pPr>
    </w:p>
    <w:p w:rsidR="00210C94" w:rsidRPr="008364C4" w:rsidRDefault="00210C94" w:rsidP="00B112A9">
      <w:pPr>
        <w:pStyle w:val="PlainText"/>
        <w:spacing w:line="360" w:lineRule="auto"/>
        <w:ind w:firstLine="709"/>
        <w:jc w:val="both"/>
        <w:rPr>
          <w:rFonts w:ascii="Times New Roman" w:hAnsi="Times New Roman"/>
          <w:b/>
          <w:sz w:val="28"/>
          <w:szCs w:val="28"/>
        </w:rPr>
      </w:pPr>
      <w:r w:rsidRPr="008364C4">
        <w:rPr>
          <w:rFonts w:ascii="Times New Roman" w:hAnsi="Times New Roman"/>
          <w:b/>
          <w:sz w:val="28"/>
        </w:rPr>
        <w:t>2. State of the deployed information and communication systems</w:t>
      </w:r>
    </w:p>
    <w:p w:rsidR="006D7348" w:rsidRPr="008364C4" w:rsidRDefault="006D7348" w:rsidP="00B112A9">
      <w:pPr>
        <w:pStyle w:val="PlainText"/>
        <w:spacing w:line="360" w:lineRule="auto"/>
        <w:ind w:firstLine="709"/>
        <w:jc w:val="both"/>
        <w:rPr>
          <w:rFonts w:ascii="Times New Roman" w:hAnsi="Times New Roman"/>
          <w:sz w:val="28"/>
          <w:szCs w:val="28"/>
        </w:rPr>
      </w:pPr>
      <w:r w:rsidRPr="008364C4">
        <w:rPr>
          <w:rFonts w:ascii="Times New Roman" w:hAnsi="Times New Roman"/>
          <w:sz w:val="28"/>
        </w:rPr>
        <w:t>During the reporting period the information and communication infrastructure of CPDP was further refined and therefore currently the Commission for Personal Data Protection employs modern means of data communication and exchange.</w:t>
      </w:r>
    </w:p>
    <w:p w:rsidR="006D7348" w:rsidRPr="008364C4" w:rsidRDefault="006D7348" w:rsidP="00B112A9">
      <w:pPr>
        <w:pStyle w:val="PlainText"/>
        <w:spacing w:line="360" w:lineRule="auto"/>
        <w:ind w:firstLine="709"/>
        <w:jc w:val="both"/>
        <w:rPr>
          <w:rFonts w:ascii="Times New Roman" w:hAnsi="Times New Roman"/>
          <w:sz w:val="28"/>
          <w:szCs w:val="28"/>
        </w:rPr>
      </w:pPr>
      <w:r w:rsidRPr="008364C4">
        <w:rPr>
          <w:rFonts w:ascii="Times New Roman" w:hAnsi="Times New Roman"/>
          <w:sz w:val="28"/>
        </w:rPr>
        <w:t xml:space="preserve">The Commission's </w:t>
      </w:r>
      <w:proofErr w:type="spellStart"/>
      <w:r w:rsidRPr="008364C4">
        <w:rPr>
          <w:rFonts w:ascii="Times New Roman" w:hAnsi="Times New Roman"/>
          <w:sz w:val="28"/>
        </w:rPr>
        <w:t>Center</w:t>
      </w:r>
      <w:proofErr w:type="spellEnd"/>
      <w:r w:rsidRPr="008364C4">
        <w:rPr>
          <w:rFonts w:ascii="Times New Roman" w:hAnsi="Times New Roman"/>
          <w:sz w:val="28"/>
        </w:rPr>
        <w:t xml:space="preserve"> Information and Contact with Individuals has </w:t>
      </w:r>
      <w:r w:rsidR="003921DF">
        <w:rPr>
          <w:rFonts w:ascii="Times New Roman" w:hAnsi="Times New Roman"/>
          <w:sz w:val="28"/>
        </w:rPr>
        <w:t xml:space="preserve">so far </w:t>
      </w:r>
      <w:r w:rsidRPr="008364C4">
        <w:rPr>
          <w:rFonts w:ascii="Times New Roman" w:hAnsi="Times New Roman"/>
          <w:sz w:val="28"/>
        </w:rPr>
        <w:t>been successfull</w:t>
      </w:r>
      <w:r w:rsidR="003921DF">
        <w:rPr>
          <w:rFonts w:ascii="Times New Roman" w:hAnsi="Times New Roman"/>
          <w:sz w:val="28"/>
        </w:rPr>
        <w:t>y working for three years</w:t>
      </w:r>
      <w:r w:rsidRPr="008364C4">
        <w:rPr>
          <w:rFonts w:ascii="Times New Roman" w:hAnsi="Times New Roman"/>
          <w:sz w:val="28"/>
        </w:rPr>
        <w:t>.</w:t>
      </w:r>
    </w:p>
    <w:p w:rsidR="006D7348" w:rsidRPr="008364C4" w:rsidRDefault="002620EB" w:rsidP="00B112A9">
      <w:pPr>
        <w:pStyle w:val="PlainText"/>
        <w:spacing w:line="360" w:lineRule="auto"/>
        <w:ind w:firstLine="709"/>
        <w:jc w:val="both"/>
        <w:rPr>
          <w:rFonts w:ascii="Times New Roman" w:hAnsi="Times New Roman"/>
          <w:sz w:val="28"/>
          <w:szCs w:val="28"/>
        </w:rPr>
      </w:pPr>
      <w:r w:rsidRPr="008364C4">
        <w:rPr>
          <w:rFonts w:ascii="Times New Roman" w:hAnsi="Times New Roman"/>
          <w:sz w:val="28"/>
        </w:rPr>
        <w:t>The effectiveness of the activities of CPDP is assisted by the automated system for conducting paperless meetings implemented in the administration.</w:t>
      </w:r>
    </w:p>
    <w:p w:rsidR="00851FA3" w:rsidRPr="008364C4" w:rsidRDefault="00851FA3" w:rsidP="00B112A9">
      <w:pPr>
        <w:pStyle w:val="PlainText"/>
        <w:spacing w:line="360" w:lineRule="auto"/>
        <w:ind w:firstLine="709"/>
        <w:jc w:val="both"/>
        <w:rPr>
          <w:rFonts w:ascii="Times New Roman" w:hAnsi="Times New Roman"/>
          <w:sz w:val="28"/>
          <w:szCs w:val="28"/>
        </w:rPr>
      </w:pPr>
      <w:r w:rsidRPr="008364C4">
        <w:rPr>
          <w:rFonts w:ascii="Times New Roman" w:hAnsi="Times New Roman"/>
          <w:sz w:val="28"/>
        </w:rPr>
        <w:t xml:space="preserve">The Commission's website is actively maintained and regularly updated for the wider public. News and valuable information for citizens and data controller are posted on it, CPDP practice is promoted and also the views and opinions expressed on personal data protection issues. </w:t>
      </w:r>
    </w:p>
    <w:p w:rsidR="00851FA3" w:rsidRPr="008364C4" w:rsidRDefault="00851FA3" w:rsidP="00B112A9">
      <w:pPr>
        <w:pStyle w:val="PlainText"/>
        <w:spacing w:line="360" w:lineRule="auto"/>
        <w:ind w:firstLine="709"/>
        <w:jc w:val="both"/>
        <w:rPr>
          <w:rFonts w:ascii="Times New Roman" w:hAnsi="Times New Roman"/>
          <w:sz w:val="28"/>
          <w:szCs w:val="28"/>
        </w:rPr>
      </w:pPr>
      <w:r w:rsidRPr="008364C4">
        <w:rPr>
          <w:rFonts w:ascii="Times New Roman" w:hAnsi="Times New Roman"/>
          <w:sz w:val="28"/>
        </w:rPr>
        <w:t xml:space="preserve">The most important information is synthesized and posted in the electronic newsletter of the Commission issued every two months. </w:t>
      </w:r>
    </w:p>
    <w:p w:rsidR="006D7348" w:rsidRPr="008364C4" w:rsidRDefault="00851FA3" w:rsidP="00B112A9">
      <w:pPr>
        <w:pStyle w:val="PlainText"/>
        <w:spacing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During the reporting period the Commission continued its cooperation with the Executive Agency "Electronic Communications Networks and Information Systems", which is responsible for </w:t>
      </w:r>
      <w:proofErr w:type="spellStart"/>
      <w:r w:rsidRPr="008364C4">
        <w:rPr>
          <w:rFonts w:ascii="Times New Roman" w:hAnsi="Times New Roman"/>
          <w:sz w:val="28"/>
        </w:rPr>
        <w:t>GovCERT</w:t>
      </w:r>
      <w:proofErr w:type="spellEnd"/>
      <w:r w:rsidRPr="008364C4">
        <w:rPr>
          <w:rFonts w:ascii="Times New Roman" w:hAnsi="Times New Roman"/>
          <w:sz w:val="28"/>
        </w:rPr>
        <w:t xml:space="preserve"> Bulgaria (National </w:t>
      </w:r>
      <w:proofErr w:type="spellStart"/>
      <w:r w:rsidRPr="008364C4">
        <w:rPr>
          <w:rFonts w:ascii="Times New Roman" w:hAnsi="Times New Roman"/>
          <w:sz w:val="28"/>
        </w:rPr>
        <w:t>Center</w:t>
      </w:r>
      <w:proofErr w:type="spellEnd"/>
      <w:r w:rsidRPr="008364C4">
        <w:rPr>
          <w:rFonts w:ascii="Times New Roman" w:hAnsi="Times New Roman"/>
          <w:sz w:val="28"/>
        </w:rPr>
        <w:t xml:space="preserve"> for Action by Information Security Incidents). </w:t>
      </w:r>
    </w:p>
    <w:p w:rsidR="006D7348" w:rsidRPr="008364C4" w:rsidRDefault="00851FA3" w:rsidP="00B112A9">
      <w:pPr>
        <w:pStyle w:val="PlainText"/>
        <w:spacing w:line="360" w:lineRule="auto"/>
        <w:ind w:firstLine="709"/>
        <w:jc w:val="both"/>
        <w:rPr>
          <w:rFonts w:ascii="Times New Roman" w:hAnsi="Times New Roman"/>
          <w:sz w:val="28"/>
          <w:szCs w:val="28"/>
        </w:rPr>
      </w:pPr>
      <w:r w:rsidRPr="008364C4">
        <w:rPr>
          <w:rFonts w:ascii="Times New Roman" w:hAnsi="Times New Roman"/>
          <w:sz w:val="28"/>
        </w:rPr>
        <w:t>In 2013, the Commission continued its participation in the work of the 31 Working Group "Digital Bulgaria 2015" of the Ministry of Transport, Information Technology and Communications.</w:t>
      </w:r>
    </w:p>
    <w:p w:rsidR="00C66B9C" w:rsidRPr="008364C4" w:rsidRDefault="00C66B9C" w:rsidP="00B112A9">
      <w:pPr>
        <w:pStyle w:val="PlainText"/>
        <w:spacing w:line="360" w:lineRule="auto"/>
        <w:ind w:firstLine="709"/>
        <w:rPr>
          <w:rFonts w:ascii="Times New Roman" w:hAnsi="Times New Roman"/>
          <w:sz w:val="28"/>
          <w:szCs w:val="28"/>
        </w:rPr>
      </w:pPr>
    </w:p>
    <w:p w:rsidR="00C833A3" w:rsidRPr="008364C4" w:rsidRDefault="00C66B9C" w:rsidP="00DA6FC9">
      <w:pPr>
        <w:pStyle w:val="PlainText"/>
        <w:numPr>
          <w:ilvl w:val="0"/>
          <w:numId w:val="26"/>
        </w:numPr>
        <w:tabs>
          <w:tab w:val="left" w:pos="1134"/>
        </w:tabs>
        <w:spacing w:line="360" w:lineRule="auto"/>
        <w:ind w:left="0" w:firstLine="709"/>
        <w:jc w:val="both"/>
        <w:rPr>
          <w:rFonts w:ascii="Times New Roman" w:hAnsi="Times New Roman"/>
          <w:b/>
          <w:sz w:val="28"/>
          <w:szCs w:val="28"/>
        </w:rPr>
      </w:pPr>
      <w:r w:rsidRPr="008364C4">
        <w:rPr>
          <w:rFonts w:ascii="Times New Roman" w:hAnsi="Times New Roman"/>
          <w:b/>
          <w:sz w:val="28"/>
        </w:rPr>
        <w:t xml:space="preserve">Volume of incoming and outgoing correspondence within the period from 1 January 2013 to 31 December 2013: </w:t>
      </w:r>
    </w:p>
    <w:p w:rsidR="00A21018" w:rsidRPr="008364C4" w:rsidRDefault="00A21018" w:rsidP="00C833A3">
      <w:pPr>
        <w:pStyle w:val="PlainText"/>
        <w:spacing w:line="360" w:lineRule="auto"/>
        <w:ind w:left="709"/>
        <w:rPr>
          <w:rFonts w:ascii="Times New Roman" w:hAnsi="Times New Roman"/>
          <w:sz w:val="28"/>
          <w:szCs w:val="28"/>
        </w:rPr>
      </w:pPr>
      <w:r w:rsidRPr="008364C4">
        <w:rPr>
          <w:rFonts w:ascii="Times New Roman" w:hAnsi="Times New Roman"/>
          <w:sz w:val="28"/>
        </w:rPr>
        <w:t>Incoming correspondence - 6,974;</w:t>
      </w:r>
    </w:p>
    <w:p w:rsidR="00A21018" w:rsidRPr="008364C4" w:rsidRDefault="00A21018" w:rsidP="00B112A9">
      <w:pPr>
        <w:pStyle w:val="PlainText"/>
        <w:spacing w:line="360" w:lineRule="auto"/>
        <w:ind w:firstLine="709"/>
        <w:rPr>
          <w:rFonts w:ascii="Times New Roman" w:hAnsi="Times New Roman"/>
          <w:sz w:val="28"/>
          <w:szCs w:val="28"/>
        </w:rPr>
      </w:pPr>
      <w:r w:rsidRPr="008364C4">
        <w:rPr>
          <w:rFonts w:ascii="Times New Roman" w:hAnsi="Times New Roman"/>
          <w:sz w:val="28"/>
        </w:rPr>
        <w:t>Outgoing correspondence - 4,367;</w:t>
      </w:r>
    </w:p>
    <w:p w:rsidR="00A21018" w:rsidRPr="008364C4" w:rsidRDefault="00A21018" w:rsidP="00B112A9">
      <w:pPr>
        <w:pStyle w:val="PlainText"/>
        <w:spacing w:line="360" w:lineRule="auto"/>
        <w:ind w:firstLine="709"/>
        <w:rPr>
          <w:rFonts w:ascii="Times New Roman" w:hAnsi="Times New Roman"/>
          <w:sz w:val="28"/>
          <w:szCs w:val="28"/>
        </w:rPr>
      </w:pPr>
      <w:r w:rsidRPr="008364C4">
        <w:rPr>
          <w:rFonts w:ascii="Times New Roman" w:hAnsi="Times New Roman"/>
          <w:sz w:val="28"/>
        </w:rPr>
        <w:t>Internal correspondence - 2,433;</w:t>
      </w:r>
    </w:p>
    <w:p w:rsidR="00A21018" w:rsidRPr="008364C4" w:rsidRDefault="00A21018" w:rsidP="00B112A9">
      <w:pPr>
        <w:pStyle w:val="PlainText"/>
        <w:spacing w:line="360" w:lineRule="auto"/>
        <w:ind w:firstLine="709"/>
        <w:rPr>
          <w:rFonts w:ascii="Times New Roman" w:hAnsi="Times New Roman"/>
          <w:sz w:val="28"/>
          <w:szCs w:val="28"/>
        </w:rPr>
      </w:pPr>
      <w:r w:rsidRPr="008364C4">
        <w:rPr>
          <w:rFonts w:ascii="Times New Roman" w:hAnsi="Times New Roman"/>
          <w:sz w:val="28"/>
        </w:rPr>
        <w:t xml:space="preserve">Re-qualified – 19; </w:t>
      </w:r>
    </w:p>
    <w:p w:rsidR="00A21018" w:rsidRPr="008364C4" w:rsidRDefault="00AB7823" w:rsidP="00B112A9">
      <w:pPr>
        <w:pStyle w:val="PlainText"/>
        <w:spacing w:line="360" w:lineRule="auto"/>
        <w:ind w:firstLine="709"/>
        <w:rPr>
          <w:rFonts w:ascii="Times New Roman" w:hAnsi="Times New Roman"/>
          <w:sz w:val="28"/>
          <w:szCs w:val="28"/>
        </w:rPr>
      </w:pPr>
      <w:r w:rsidRPr="008364C4">
        <w:rPr>
          <w:rFonts w:ascii="Times New Roman" w:hAnsi="Times New Roman"/>
          <w:sz w:val="28"/>
        </w:rPr>
        <w:t>Complaints received - 550.</w:t>
      </w:r>
    </w:p>
    <w:p w:rsidR="00C9315A" w:rsidRPr="008364C4" w:rsidRDefault="00720146" w:rsidP="003D726B">
      <w:pPr>
        <w:pStyle w:val="Heading1"/>
      </w:pPr>
      <w:r w:rsidRPr="008364C4">
        <w:br w:type="page"/>
      </w:r>
      <w:bookmarkStart w:id="10" w:name="_Toc380595210"/>
      <w:bookmarkStart w:id="11" w:name="_Toc380740746"/>
      <w:r w:rsidRPr="008364C4">
        <w:lastRenderedPageBreak/>
        <w:t xml:space="preserve">VI. Analysis and statistics of complaints and requests submitted under Art. </w:t>
      </w:r>
      <w:proofErr w:type="gramStart"/>
      <w:r w:rsidRPr="008364C4">
        <w:t>38 (1) of LPPD.</w:t>
      </w:r>
      <w:proofErr w:type="gramEnd"/>
      <w:r w:rsidRPr="008364C4">
        <w:t xml:space="preserve"> </w:t>
      </w:r>
      <w:proofErr w:type="gramStart"/>
      <w:r w:rsidRPr="008364C4">
        <w:t>Case law and practice of the Commission.</w:t>
      </w:r>
      <w:proofErr w:type="gramEnd"/>
      <w:r w:rsidRPr="008364C4">
        <w:t xml:space="preserve"> </w:t>
      </w:r>
      <w:proofErr w:type="gramStart"/>
      <w:r w:rsidRPr="008364C4">
        <w:t>Analysis of judicial practice.</w:t>
      </w:r>
      <w:bookmarkEnd w:id="10"/>
      <w:bookmarkEnd w:id="11"/>
      <w:proofErr w:type="gramEnd"/>
    </w:p>
    <w:p w:rsidR="00311CE5" w:rsidRPr="008364C4" w:rsidRDefault="00311CE5" w:rsidP="00311CE5">
      <w:pPr>
        <w:numPr>
          <w:ilvl w:val="0"/>
          <w:numId w:val="24"/>
        </w:numPr>
        <w:tabs>
          <w:tab w:val="left" w:pos="1134"/>
        </w:tabs>
        <w:spacing w:after="0" w:line="360" w:lineRule="auto"/>
        <w:ind w:left="0" w:firstLine="709"/>
        <w:jc w:val="both"/>
        <w:rPr>
          <w:rFonts w:ascii="Times New Roman" w:hAnsi="Times New Roman"/>
          <w:b/>
          <w:sz w:val="28"/>
          <w:szCs w:val="28"/>
        </w:rPr>
      </w:pPr>
      <w:r w:rsidRPr="008364C4">
        <w:rPr>
          <w:rFonts w:ascii="Times New Roman" w:hAnsi="Times New Roman"/>
          <w:b/>
          <w:sz w:val="28"/>
        </w:rPr>
        <w:t xml:space="preserve">Comparative analysis of complaints by type of data controllers, received at CPDP in previous years and the reporting year; key areas of public life to which refer the most common </w:t>
      </w:r>
      <w:proofErr w:type="spellStart"/>
      <w:r w:rsidRPr="008364C4">
        <w:rPr>
          <w:rFonts w:ascii="Times New Roman" w:hAnsi="Times New Roman"/>
          <w:b/>
          <w:sz w:val="28"/>
        </w:rPr>
        <w:t>violences</w:t>
      </w:r>
      <w:proofErr w:type="spellEnd"/>
      <w:r w:rsidRPr="008364C4">
        <w:rPr>
          <w:rFonts w:ascii="Times New Roman" w:hAnsi="Times New Roman"/>
          <w:b/>
          <w:sz w:val="28"/>
        </w:rPr>
        <w:t xml:space="preserve"> in the field of data protection.</w:t>
      </w:r>
    </w:p>
    <w:p w:rsidR="00311CE5" w:rsidRPr="008364C4" w:rsidRDefault="00287EF5" w:rsidP="00311CE5">
      <w:pPr>
        <w:spacing w:after="0" w:line="360" w:lineRule="auto"/>
        <w:ind w:firstLine="709"/>
        <w:jc w:val="both"/>
        <w:rPr>
          <w:rFonts w:ascii="Times New Roman" w:hAnsi="Times New Roman"/>
          <w:sz w:val="28"/>
          <w:szCs w:val="28"/>
        </w:rPr>
      </w:pPr>
      <w:r>
        <w:rPr>
          <w:rFonts w:ascii="Times New Roman" w:hAnsi="Times New Roman"/>
          <w:sz w:val="28"/>
        </w:rPr>
        <w:t xml:space="preserve">Following the Commission for Personal Data Protection power </w:t>
      </w:r>
      <w:r w:rsidR="00311CE5" w:rsidRPr="008364C4">
        <w:rPr>
          <w:rFonts w:ascii="Times New Roman" w:hAnsi="Times New Roman"/>
          <w:sz w:val="28"/>
        </w:rPr>
        <w:t xml:space="preserve">to consider complaints against acts and actions of data controllers which violate the individuals’ rights under the Law for Protection of Personal Data, as well as complaints of third parties in connection with their rights under the same law, in the reporting period the Commission received 550 complaints, signals and inquiries concerning personal data processing and the possibilities for exercising the rights of protection in case of unlawful personal data processing or concerning the rights of access, information, correction or personal data blocking.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For comparison, in 2012 the Commission received 548 complaints, signals and inquiries, in 2011 they were 458, and in 2010 they were 221 respectively.</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For 288 requests for information about the procedures</w:t>
      </w:r>
      <w:r w:rsidR="00287EF5">
        <w:rPr>
          <w:rFonts w:ascii="Times New Roman" w:hAnsi="Times New Roman"/>
          <w:sz w:val="28"/>
        </w:rPr>
        <w:t xml:space="preserve"> for protecting the individuals’</w:t>
      </w:r>
      <w:r w:rsidR="000F22A9">
        <w:rPr>
          <w:rFonts w:ascii="Times New Roman" w:hAnsi="Times New Roman"/>
          <w:sz w:val="28"/>
        </w:rPr>
        <w:t xml:space="preserve"> rights</w:t>
      </w:r>
      <w:r w:rsidRPr="008364C4">
        <w:rPr>
          <w:rFonts w:ascii="Times New Roman" w:hAnsi="Times New Roman"/>
          <w:sz w:val="28"/>
        </w:rPr>
        <w:t>, detailed answers to the asked questions were prepared and sent.</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During year the Commission has issued 252 decisions on proceedings following complaints with alleged violations of individuals’ rights, as follows:</w:t>
      </w:r>
    </w:p>
    <w:p w:rsidR="00311CE5" w:rsidRPr="008364C4" w:rsidRDefault="000F22A9" w:rsidP="00311CE5">
      <w:pPr>
        <w:widowControl w:val="0"/>
        <w:spacing w:after="0" w:line="360" w:lineRule="auto"/>
        <w:ind w:firstLine="992"/>
        <w:jc w:val="both"/>
        <w:rPr>
          <w:rFonts w:ascii="Times New Roman" w:hAnsi="Times New Roman"/>
          <w:sz w:val="28"/>
          <w:szCs w:val="28"/>
        </w:rPr>
      </w:pPr>
      <w:r>
        <w:rPr>
          <w:rFonts w:ascii="Times New Roman" w:hAnsi="Times New Roman"/>
          <w:sz w:val="28"/>
        </w:rPr>
        <w:t>1. on complaints’ lawfulness</w:t>
      </w:r>
      <w:r w:rsidR="00311CE5" w:rsidRPr="008364C4">
        <w:rPr>
          <w:rFonts w:ascii="Times New Roman" w:hAnsi="Times New Roman"/>
          <w:sz w:val="28"/>
        </w:rPr>
        <w:t xml:space="preserve"> - 80 decisions;</w:t>
      </w:r>
    </w:p>
    <w:p w:rsidR="00311CE5" w:rsidRPr="008364C4" w:rsidRDefault="00311CE5" w:rsidP="00311CE5">
      <w:pPr>
        <w:widowControl w:val="0"/>
        <w:spacing w:after="0" w:line="360" w:lineRule="auto"/>
        <w:ind w:firstLine="992"/>
        <w:jc w:val="both"/>
        <w:rPr>
          <w:rFonts w:ascii="Times New Roman" w:hAnsi="Times New Roman"/>
          <w:sz w:val="28"/>
          <w:szCs w:val="28"/>
        </w:rPr>
      </w:pPr>
      <w:r w:rsidRPr="008364C4">
        <w:rPr>
          <w:rFonts w:ascii="Times New Roman" w:hAnsi="Times New Roman"/>
          <w:sz w:val="28"/>
        </w:rPr>
        <w:t>2. for terminating administrative proceedings due to the presence of another proceeding initiated before the authorities of the Ministry of Interior or the Prosecution Office - 20 decisions;</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3. on complaints’ inadmissibility - 32 decisions;</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4. on irregularity of complaints and requests - 31 decisions;</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5. on renewed administrative proceedings - 2 decision</w:t>
      </w:r>
      <w:r w:rsidR="00946A7B">
        <w:rPr>
          <w:rFonts w:ascii="Times New Roman" w:hAnsi="Times New Roman"/>
          <w:sz w:val="28"/>
        </w:rPr>
        <w:t>s</w:t>
      </w:r>
      <w:r w:rsidRPr="008364C4">
        <w:rPr>
          <w:rFonts w:ascii="Times New Roman" w:hAnsi="Times New Roman"/>
          <w:sz w:val="28"/>
        </w:rPr>
        <w:t>.</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lastRenderedPageBreak/>
        <w:t xml:space="preserve">6. </w:t>
      </w:r>
      <w:proofErr w:type="gramStart"/>
      <w:r w:rsidRPr="008364C4">
        <w:rPr>
          <w:rFonts w:ascii="Times New Roman" w:hAnsi="Times New Roman"/>
          <w:sz w:val="28"/>
        </w:rPr>
        <w:t>for</w:t>
      </w:r>
      <w:proofErr w:type="gramEnd"/>
      <w:r w:rsidRPr="008364C4">
        <w:rPr>
          <w:rFonts w:ascii="Times New Roman" w:hAnsi="Times New Roman"/>
          <w:sz w:val="28"/>
        </w:rPr>
        <w:t xml:space="preserve"> approving agreements reached by and between parties in administrative proceedings - 2 decisions.</w:t>
      </w:r>
    </w:p>
    <w:p w:rsidR="00311CE5" w:rsidRPr="008364C4" w:rsidRDefault="00311CE5" w:rsidP="00311CE5">
      <w:pPr>
        <w:spacing w:after="0" w:line="360" w:lineRule="auto"/>
        <w:ind w:firstLine="709"/>
        <w:jc w:val="both"/>
        <w:rPr>
          <w:rFonts w:ascii="Times New Roman" w:hAnsi="Times New Roman"/>
          <w:sz w:val="28"/>
          <w:szCs w:val="28"/>
        </w:rPr>
      </w:pP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The Commission considered 85 complaints as ungrounded due to a lack of violation of the personal data processing rules and of the claimants’ rights.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From the administrative proceedings ended due to inadmissibility of the complaints, 16 have been withdrawn by the claimants</w:t>
      </w:r>
      <w:r w:rsidR="000F22A9">
        <w:rPr>
          <w:rFonts w:ascii="Times New Roman" w:hAnsi="Times New Roman"/>
          <w:sz w:val="28"/>
        </w:rPr>
        <w:t>,</w:t>
      </w:r>
      <w:r w:rsidRPr="008364C4">
        <w:rPr>
          <w:rFonts w:ascii="Times New Roman" w:hAnsi="Times New Roman"/>
          <w:sz w:val="28"/>
        </w:rPr>
        <w:t xml:space="preserve"> thus</w:t>
      </w:r>
      <w:r w:rsidR="000F22A9">
        <w:rPr>
          <w:rFonts w:ascii="Times New Roman" w:hAnsi="Times New Roman"/>
          <w:sz w:val="28"/>
        </w:rPr>
        <w:t>,</w:t>
      </w:r>
      <w:r w:rsidRPr="008364C4">
        <w:rPr>
          <w:rFonts w:ascii="Times New Roman" w:hAnsi="Times New Roman"/>
          <w:sz w:val="28"/>
        </w:rPr>
        <w:t xml:space="preserve"> the Commission was actually required to decline jurisdiction.</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On 80 of the concluded in 2013 administrative proceedings, the Commission has considered the complaints as admissible and as result of its decisions were issued 7 compulsory instructions to personal data controllers with which was instructed personal data protection measures and actions and has established a total of 83 administrative violations of the Law for Protection of Personal Data and imposed sanctions and fines in the amount of BGN 503 300.</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The violations committed by data controllers may be classified in the following groups:</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personal data processing in violation of the principles of lawfulness, proportionality of the personal data processed, the principle of processing personal data for specific, precise and legitimate purposes (Art. 2 (2) of LPPD) - 15 </w:t>
      </w:r>
      <w:proofErr w:type="spellStart"/>
      <w:r w:rsidRPr="008364C4">
        <w:rPr>
          <w:rFonts w:ascii="Times New Roman" w:hAnsi="Times New Roman"/>
          <w:sz w:val="28"/>
        </w:rPr>
        <w:t>violences</w:t>
      </w:r>
      <w:proofErr w:type="spellEnd"/>
      <w:r w:rsidRPr="008364C4">
        <w:rPr>
          <w:rFonts w:ascii="Times New Roman" w:hAnsi="Times New Roman"/>
          <w:sz w:val="28"/>
        </w:rPr>
        <w:t>.</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personal</w:t>
      </w:r>
      <w:proofErr w:type="gramEnd"/>
      <w:r w:rsidRPr="008364C4">
        <w:rPr>
          <w:rFonts w:ascii="Times New Roman" w:hAnsi="Times New Roman"/>
          <w:sz w:val="28"/>
        </w:rPr>
        <w:t xml:space="preserve"> data processing without a statutory requirement for admissibility of the personal data processing being present  (Art. 4 of LPPD) - 20 violations, for which property sanctions were imposed. </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personal data processing, without data controllers having taken technical and organizational measures to protect data against accidental or unlawful destruction or accidental loss and against unauthorized access, rectification or dissemination, and against other illegal forms of processing (Art. 23 of LPPD) - 19 </w:t>
      </w:r>
      <w:proofErr w:type="spellStart"/>
      <w:r w:rsidRPr="008364C4">
        <w:rPr>
          <w:rFonts w:ascii="Times New Roman" w:hAnsi="Times New Roman"/>
          <w:sz w:val="28"/>
        </w:rPr>
        <w:t>violences</w:t>
      </w:r>
      <w:proofErr w:type="spellEnd"/>
      <w:r w:rsidRPr="008364C4">
        <w:rPr>
          <w:rFonts w:ascii="Times New Roman" w:hAnsi="Times New Roman"/>
          <w:sz w:val="28"/>
        </w:rPr>
        <w:t xml:space="preserve">, for which property sanctions were imposed. </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lastRenderedPageBreak/>
        <w:t>- personal data proces</w:t>
      </w:r>
      <w:r w:rsidR="000F22A9">
        <w:rPr>
          <w:rFonts w:ascii="Times New Roman" w:hAnsi="Times New Roman"/>
          <w:sz w:val="28"/>
        </w:rPr>
        <w:t>sing, before the controller has</w:t>
      </w:r>
      <w:r w:rsidRPr="008364C4">
        <w:rPr>
          <w:rFonts w:ascii="Times New Roman" w:hAnsi="Times New Roman"/>
          <w:sz w:val="28"/>
        </w:rPr>
        <w:t xml:space="preserve"> submitted an application for registration with the Register of Data Control</w:t>
      </w:r>
      <w:r w:rsidR="000F22A9">
        <w:rPr>
          <w:rFonts w:ascii="Times New Roman" w:hAnsi="Times New Roman"/>
          <w:sz w:val="28"/>
        </w:rPr>
        <w:t>lers and Registers kept by t</w:t>
      </w:r>
      <w:r w:rsidRPr="008364C4">
        <w:rPr>
          <w:rFonts w:ascii="Times New Roman" w:hAnsi="Times New Roman"/>
          <w:sz w:val="28"/>
        </w:rPr>
        <w:t xml:space="preserve">hem maintained by the Commission (Art. 17 of LPPD) - 3 </w:t>
      </w:r>
      <w:proofErr w:type="spellStart"/>
      <w:r w:rsidRPr="008364C4">
        <w:rPr>
          <w:rFonts w:ascii="Times New Roman" w:hAnsi="Times New Roman"/>
          <w:sz w:val="28"/>
        </w:rPr>
        <w:t>violences</w:t>
      </w:r>
      <w:proofErr w:type="spellEnd"/>
      <w:r w:rsidRPr="008364C4">
        <w:rPr>
          <w:rFonts w:ascii="Times New Roman" w:hAnsi="Times New Roman"/>
          <w:sz w:val="28"/>
        </w:rPr>
        <w:t xml:space="preserve"> for which property sanctions and fines were imposed. </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 personal data processing for mar</w:t>
      </w:r>
      <w:r w:rsidR="000F22A9">
        <w:rPr>
          <w:rFonts w:ascii="Times New Roman" w:hAnsi="Times New Roman"/>
          <w:sz w:val="28"/>
        </w:rPr>
        <w:t xml:space="preserve">keting purposes without providing </w:t>
      </w:r>
      <w:r w:rsidRPr="008364C4">
        <w:rPr>
          <w:rFonts w:ascii="Times New Roman" w:hAnsi="Times New Roman"/>
          <w:sz w:val="28"/>
        </w:rPr>
        <w:t>the individual</w:t>
      </w:r>
      <w:r w:rsidR="000F22A9">
        <w:rPr>
          <w:rFonts w:ascii="Times New Roman" w:hAnsi="Times New Roman"/>
          <w:sz w:val="28"/>
        </w:rPr>
        <w:t xml:space="preserve"> with the possibility </w:t>
      </w:r>
      <w:r w:rsidRPr="008364C4">
        <w:rPr>
          <w:rFonts w:ascii="Times New Roman" w:hAnsi="Times New Roman"/>
          <w:sz w:val="28"/>
        </w:rPr>
        <w:t xml:space="preserve">to object to the processing of their personal data for the specified purposes (Art. 34a of LPPD) - 5 </w:t>
      </w:r>
      <w:proofErr w:type="spellStart"/>
      <w:r w:rsidRPr="008364C4">
        <w:rPr>
          <w:rFonts w:ascii="Times New Roman" w:hAnsi="Times New Roman"/>
          <w:sz w:val="28"/>
        </w:rPr>
        <w:t>violences</w:t>
      </w:r>
      <w:proofErr w:type="spellEnd"/>
      <w:r w:rsidRPr="008364C4">
        <w:rPr>
          <w:rFonts w:ascii="Times New Roman" w:hAnsi="Times New Roman"/>
          <w:sz w:val="28"/>
        </w:rPr>
        <w:t xml:space="preserve"> for which a property sanctions were imposed.</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for</w:t>
      </w:r>
      <w:proofErr w:type="gramEnd"/>
      <w:r w:rsidRPr="008364C4">
        <w:rPr>
          <w:rFonts w:ascii="Times New Roman" w:hAnsi="Times New Roman"/>
          <w:sz w:val="28"/>
        </w:rPr>
        <w:t xml:space="preserve"> data controller's refusal to assist the Commission in the exercise of its supervisory powers (Art. 22 (5) of LPPD) - 4 </w:t>
      </w:r>
      <w:proofErr w:type="spellStart"/>
      <w:r w:rsidRPr="008364C4">
        <w:rPr>
          <w:rFonts w:ascii="Times New Roman" w:hAnsi="Times New Roman"/>
          <w:sz w:val="28"/>
        </w:rPr>
        <w:t>violences</w:t>
      </w:r>
      <w:proofErr w:type="spellEnd"/>
      <w:r w:rsidRPr="008364C4">
        <w:rPr>
          <w:rFonts w:ascii="Times New Roman" w:hAnsi="Times New Roman"/>
          <w:sz w:val="28"/>
        </w:rPr>
        <w:t xml:space="preserve"> for which property sanctions were imposed. </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for</w:t>
      </w:r>
      <w:proofErr w:type="gramEnd"/>
      <w:r w:rsidRPr="008364C4">
        <w:rPr>
          <w:rFonts w:ascii="Times New Roman" w:hAnsi="Times New Roman"/>
          <w:sz w:val="28"/>
        </w:rPr>
        <w:t xml:space="preserve"> failure of the obligatio</w:t>
      </w:r>
      <w:r w:rsidR="000F22A9">
        <w:rPr>
          <w:rFonts w:ascii="Times New Roman" w:hAnsi="Times New Roman"/>
          <w:sz w:val="28"/>
        </w:rPr>
        <w:t>n of the data controller to decide</w:t>
      </w:r>
      <w:r w:rsidRPr="008364C4">
        <w:rPr>
          <w:rFonts w:ascii="Times New Roman" w:hAnsi="Times New Roman"/>
          <w:sz w:val="28"/>
        </w:rPr>
        <w:t xml:space="preserve"> on applications for access to personal data, the Commission has ascertained two violations. </w:t>
      </w:r>
    </w:p>
    <w:p w:rsidR="00311CE5" w:rsidRPr="008364C4" w:rsidRDefault="00311CE5" w:rsidP="00311CE5">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 </w:t>
      </w:r>
      <w:proofErr w:type="gramStart"/>
      <w:r w:rsidRPr="008364C4">
        <w:rPr>
          <w:rFonts w:ascii="Times New Roman" w:hAnsi="Times New Roman"/>
          <w:sz w:val="28"/>
        </w:rPr>
        <w:t>for</w:t>
      </w:r>
      <w:proofErr w:type="gramEnd"/>
      <w:r w:rsidR="000F22A9">
        <w:rPr>
          <w:rFonts w:ascii="Times New Roman" w:hAnsi="Times New Roman"/>
          <w:sz w:val="28"/>
        </w:rPr>
        <w:t xml:space="preserve"> violence of Art. 18 (3) of LPPD</w:t>
      </w:r>
      <w:r w:rsidRPr="008364C4">
        <w:rPr>
          <w:rFonts w:ascii="Times New Roman" w:hAnsi="Times New Roman"/>
          <w:sz w:val="28"/>
        </w:rPr>
        <w:t xml:space="preserve">, namely for not declaring CCTV Register, the Commission has ascertained that in 2013 there were 4 violations.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Legal advisor's remuneration in the amount of BGN 3,375 was adjudicated for CPDP benefit with BGN 1,500 paid voluntarily.</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In 2013, the Commission reported income from administrative penalties under enforced decisions of the Commission for Personal Data Protection in the amount of BGN 185,875, of which BGN 99,775 paid voluntarily by the offenders and BGN 86,100 were forwarded to the NRA</w:t>
      </w:r>
      <w:r w:rsidR="000F22A9">
        <w:rPr>
          <w:rFonts w:ascii="Times New Roman" w:hAnsi="Times New Roman"/>
          <w:sz w:val="28"/>
        </w:rPr>
        <w:t xml:space="preserve"> after</w:t>
      </w:r>
      <w:r w:rsidRPr="008364C4">
        <w:rPr>
          <w:rFonts w:ascii="Times New Roman" w:hAnsi="Times New Roman"/>
          <w:sz w:val="28"/>
        </w:rPr>
        <w:t xml:space="preserve"> their compulsory collection.</w:t>
      </w:r>
    </w:p>
    <w:p w:rsidR="00311CE5" w:rsidRPr="008364C4" w:rsidRDefault="00937E09" w:rsidP="00311CE5">
      <w:pPr>
        <w:spacing w:after="0" w:line="360" w:lineRule="auto"/>
        <w:ind w:firstLine="709"/>
        <w:jc w:val="center"/>
        <w:rPr>
          <w:rFonts w:ascii="Times New Roman" w:hAnsi="Times New Roman"/>
          <w:b/>
          <w:sz w:val="28"/>
          <w:szCs w:val="28"/>
        </w:rPr>
      </w:pPr>
      <w:r>
        <w:rPr>
          <w:rFonts w:ascii="Times New Roman" w:hAnsi="Times New Roman"/>
          <w:b/>
          <w:noProof/>
          <w:sz w:val="28"/>
          <w:szCs w:val="28"/>
          <w:lang w:val="bg-BG" w:eastAsia="bg-BG" w:bidi="ar-SA"/>
        </w:rPr>
        <w:lastRenderedPageBreak/>
        <mc:AlternateContent>
          <mc:Choice Requires="wps">
            <w:drawing>
              <wp:anchor distT="0" distB="0" distL="114300" distR="114300" simplePos="0" relativeHeight="251662336" behindDoc="0" locked="0" layoutInCell="1" allowOverlap="1">
                <wp:simplePos x="0" y="0"/>
                <wp:positionH relativeFrom="column">
                  <wp:posOffset>4951730</wp:posOffset>
                </wp:positionH>
                <wp:positionV relativeFrom="paragraph">
                  <wp:posOffset>2033270</wp:posOffset>
                </wp:positionV>
                <wp:extent cx="1024890" cy="681355"/>
                <wp:effectExtent l="0" t="4445"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3732E8" w:rsidRDefault="00740751" w:rsidP="003732E8">
                            <w:pPr>
                              <w:rPr>
                                <w:lang w:val="en-US"/>
                              </w:rPr>
                            </w:pPr>
                            <w:r>
                              <w:rPr>
                                <w:lang w:val="en-US"/>
                              </w:rPr>
                              <w:t>Forwarded for compulsory collection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389.9pt;margin-top:160.1pt;width:80.7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bJhgIAABg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" stroked="f">
                <v:textbox>
                  <w:txbxContent>
                    <w:p w:rsidR="00F21E3B" w:rsidRPr="003732E8" w:rsidRDefault="00F21E3B" w:rsidP="003732E8">
                      <w:pPr>
                        <w:rPr>
                          <w:lang w:val="en-US"/>
                        </w:rPr>
                      </w:pPr>
                      <w:r>
                        <w:rPr>
                          <w:lang w:val="en-US"/>
                        </w:rPr>
                        <w:t>Forwarded for compulsory collection</w:t>
                      </w:r>
                    </w:p>
                  </w:txbxContent>
                </v:textbox>
              </v:shape>
            </w:pict>
          </mc:Fallback>
        </mc:AlternateContent>
      </w:r>
      <w:r>
        <w:rPr>
          <w:rFonts w:ascii="Times New Roman" w:hAnsi="Times New Roman"/>
          <w:b/>
          <w:noProof/>
          <w:sz w:val="28"/>
          <w:szCs w:val="28"/>
          <w:lang w:val="bg-BG" w:eastAsia="bg-BG" w:bidi="ar-SA"/>
        </w:rPr>
        <mc:AlternateContent>
          <mc:Choice Requires="wps">
            <w:drawing>
              <wp:anchor distT="0" distB="0" distL="114300" distR="114300" simplePos="0" relativeHeight="251661312" behindDoc="0" locked="0" layoutInCell="1" allowOverlap="1">
                <wp:simplePos x="0" y="0"/>
                <wp:positionH relativeFrom="column">
                  <wp:posOffset>4951730</wp:posOffset>
                </wp:positionH>
                <wp:positionV relativeFrom="paragraph">
                  <wp:posOffset>1337945</wp:posOffset>
                </wp:positionV>
                <wp:extent cx="1291590" cy="319405"/>
                <wp:effectExtent l="0" t="4445"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3732E8" w:rsidRDefault="00740751" w:rsidP="003732E8">
                            <w:pPr>
                              <w:rPr>
                                <w:lang w:val="en-US"/>
                              </w:rPr>
                            </w:pPr>
                            <w:proofErr w:type="spellStart"/>
                            <w:r>
                              <w:rPr>
                                <w:lang w:val="en-US"/>
                              </w:rPr>
                              <w:t>Vluntarily</w:t>
                            </w:r>
                            <w:proofErr w:type="spellEnd"/>
                            <w:r>
                              <w:rPr>
                                <w:lang w:val="en-US"/>
                              </w:rPr>
                              <w:t xml:space="preserve"> paid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89.9pt;margin-top:105.35pt;width:101.7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6ChQIAABg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" stroked="f">
                <v:textbox>
                  <w:txbxContent>
                    <w:p w:rsidR="00F21E3B" w:rsidRPr="003732E8" w:rsidRDefault="00F21E3B" w:rsidP="003732E8">
                      <w:pPr>
                        <w:rPr>
                          <w:lang w:val="en-US"/>
                        </w:rPr>
                      </w:pPr>
                      <w:r>
                        <w:rPr>
                          <w:lang w:val="en-US"/>
                        </w:rPr>
                        <w:t>Vluntarily paid</w:t>
                      </w:r>
                    </w:p>
                  </w:txbxContent>
                </v:textbox>
              </v:shape>
            </w:pict>
          </mc:Fallback>
        </mc:AlternateContent>
      </w:r>
      <w:r>
        <w:rPr>
          <w:rFonts w:ascii="Times New Roman" w:hAnsi="Times New Roman"/>
          <w:noProof/>
          <w:sz w:val="28"/>
          <w:lang w:val="bg-BG" w:eastAsia="bg-BG" w:bidi="ar-SA"/>
        </w:rPr>
        <mc:AlternateContent>
          <mc:Choice Requires="wps">
            <w:drawing>
              <wp:anchor distT="0" distB="0" distL="114300" distR="114300" simplePos="0" relativeHeight="251660288" behindDoc="0" locked="0" layoutInCell="1" allowOverlap="1">
                <wp:simplePos x="0" y="0"/>
                <wp:positionH relativeFrom="column">
                  <wp:posOffset>4951730</wp:posOffset>
                </wp:positionH>
                <wp:positionV relativeFrom="paragraph">
                  <wp:posOffset>623570</wp:posOffset>
                </wp:positionV>
                <wp:extent cx="875030" cy="414655"/>
                <wp:effectExtent l="0" t="4445" r="254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Default="00740751">
                            <w:r>
                              <w:t>Imposed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left:0;text-align:left;margin-left:389.9pt;margin-top:49.1pt;width:68.9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" stroked="f">
                <v:textbox style="mso-fit-shape-to-text:t">
                  <w:txbxContent>
                    <w:p w:rsidR="00F21E3B" w:rsidRDefault="00F21E3B">
                      <w:r>
                        <w:t>Imposed</w:t>
                      </w:r>
                    </w:p>
                  </w:txbxContent>
                </v:textbox>
              </v:shape>
            </w:pict>
          </mc:Fallback>
        </mc:AlternateContent>
      </w:r>
      <w:r w:rsidR="00EE2462" w:rsidRPr="008364C4">
        <w:rPr>
          <w:rFonts w:ascii="Times New Roman" w:hAnsi="Times New Roman"/>
          <w:noProof/>
          <w:sz w:val="28"/>
          <w:szCs w:val="28"/>
          <w:lang w:val="bg-BG" w:eastAsia="bg-BG" w:bidi="ar-SA"/>
        </w:rPr>
        <w:drawing>
          <wp:inline distT="0" distB="0" distL="0" distR="0">
            <wp:extent cx="5762625" cy="3019425"/>
            <wp:effectExtent l="1905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roofErr w:type="gramStart"/>
      <w:r w:rsidR="00EE2462" w:rsidRPr="008364C4">
        <w:rPr>
          <w:rFonts w:ascii="Times New Roman" w:hAnsi="Times New Roman"/>
          <w:b/>
          <w:sz w:val="28"/>
        </w:rPr>
        <w:t>Fig. 4.</w:t>
      </w:r>
      <w:proofErr w:type="gramEnd"/>
    </w:p>
    <w:p w:rsidR="00311CE5" w:rsidRPr="008364C4" w:rsidRDefault="00311CE5" w:rsidP="00311CE5">
      <w:pPr>
        <w:spacing w:after="0" w:line="360" w:lineRule="auto"/>
        <w:ind w:firstLine="709"/>
        <w:jc w:val="center"/>
        <w:rPr>
          <w:rFonts w:ascii="Times New Roman" w:hAnsi="Times New Roman"/>
          <w:b/>
          <w:sz w:val="28"/>
          <w:szCs w:val="28"/>
        </w:rPr>
      </w:pP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sectors of the data controllers’ activities against which most of the complaints have been submitted by individuals in 2013 are as follows: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Telecommunications</w:t>
      </w:r>
      <w:r w:rsidRPr="008364C4">
        <w:tab/>
      </w:r>
      <w:r w:rsidRPr="008364C4">
        <w:tab/>
      </w:r>
      <w:r w:rsidRPr="008364C4">
        <w:tab/>
      </w:r>
      <w:r w:rsidRPr="008364C4">
        <w:tab/>
      </w:r>
      <w:r w:rsidRPr="008364C4">
        <w:rPr>
          <w:rFonts w:ascii="Times New Roman" w:hAnsi="Times New Roman"/>
          <w:sz w:val="28"/>
        </w:rPr>
        <w:t>333 complaints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Labour and Social Insurance Services</w:t>
      </w:r>
      <w:r w:rsidRPr="008364C4">
        <w:tab/>
      </w:r>
      <w:r w:rsidRPr="008364C4">
        <w:tab/>
      </w:r>
      <w:r w:rsidRPr="008364C4">
        <w:rPr>
          <w:rFonts w:ascii="Times New Roman" w:hAnsi="Times New Roman"/>
          <w:sz w:val="28"/>
        </w:rPr>
        <w:t>42 complaints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Banks and Banking Institutions</w:t>
      </w:r>
      <w:r w:rsidRPr="008364C4">
        <w:tab/>
      </w:r>
      <w:r w:rsidRPr="008364C4">
        <w:tab/>
      </w:r>
      <w:r w:rsidRPr="008364C4">
        <w:tab/>
      </w:r>
      <w:r w:rsidRPr="008364C4">
        <w:rPr>
          <w:rFonts w:ascii="Times New Roman" w:hAnsi="Times New Roman"/>
          <w:sz w:val="28"/>
        </w:rPr>
        <w:t>33 complaints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Health Care and Education</w:t>
      </w:r>
      <w:r w:rsidRPr="008364C4">
        <w:tab/>
      </w:r>
      <w:r w:rsidRPr="008364C4">
        <w:tab/>
      </w:r>
      <w:r w:rsidRPr="008364C4">
        <w:tab/>
      </w:r>
      <w:r w:rsidRPr="008364C4">
        <w:rPr>
          <w:rFonts w:ascii="Times New Roman" w:hAnsi="Times New Roman"/>
          <w:sz w:val="28"/>
        </w:rPr>
        <w:t>13 complaints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Condominium Management</w:t>
      </w:r>
      <w:r w:rsidRPr="008364C4">
        <w:tab/>
      </w:r>
      <w:r w:rsidRPr="008364C4">
        <w:tab/>
      </w:r>
      <w:r w:rsidR="00E51198">
        <w:tab/>
      </w:r>
      <w:r w:rsidRPr="008364C4">
        <w:rPr>
          <w:rFonts w:ascii="Times New Roman" w:hAnsi="Times New Roman"/>
          <w:sz w:val="28"/>
        </w:rPr>
        <w:t>11 complaints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Judicial and Executive System</w:t>
      </w:r>
      <w:r w:rsidRPr="008364C4">
        <w:tab/>
      </w:r>
      <w:r w:rsidRPr="008364C4">
        <w:tab/>
      </w:r>
      <w:r w:rsidRPr="008364C4">
        <w:tab/>
      </w:r>
      <w:r w:rsidRPr="008364C4">
        <w:rPr>
          <w:rFonts w:ascii="Times New Roman" w:hAnsi="Times New Roman"/>
          <w:sz w:val="28"/>
        </w:rPr>
        <w:t xml:space="preserve">10 complaints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Media</w:t>
      </w:r>
      <w:r w:rsidRPr="008364C4">
        <w:tab/>
      </w:r>
      <w:r w:rsidRPr="008364C4">
        <w:tab/>
      </w:r>
      <w:r w:rsidRPr="008364C4">
        <w:tab/>
      </w:r>
      <w:r w:rsidRPr="008364C4">
        <w:tab/>
      </w:r>
      <w:r w:rsidRPr="008364C4">
        <w:tab/>
      </w:r>
      <w:r w:rsidRPr="008364C4">
        <w:tab/>
      </w:r>
      <w:r w:rsidRPr="008364C4">
        <w:rPr>
          <w:rFonts w:ascii="Times New Roman" w:hAnsi="Times New Roman"/>
          <w:sz w:val="28"/>
        </w:rPr>
        <w:t>8 complaints</w:t>
      </w:r>
    </w:p>
    <w:p w:rsidR="000F22A9" w:rsidRDefault="000F22A9" w:rsidP="00F21E3B">
      <w:pPr>
        <w:spacing w:after="0" w:line="360" w:lineRule="auto"/>
        <w:jc w:val="both"/>
        <w:rPr>
          <w:rFonts w:ascii="Times New Roman" w:hAnsi="Times New Roman"/>
          <w:b/>
          <w:sz w:val="28"/>
          <w:szCs w:val="28"/>
        </w:rPr>
      </w:pPr>
    </w:p>
    <w:p w:rsidR="00F21E3B" w:rsidRPr="008364C4" w:rsidRDefault="00F21E3B" w:rsidP="00F21E3B">
      <w:pPr>
        <w:spacing w:after="0" w:line="360" w:lineRule="auto"/>
        <w:jc w:val="both"/>
        <w:rPr>
          <w:rFonts w:ascii="Times New Roman" w:hAnsi="Times New Roman"/>
          <w:b/>
          <w:sz w:val="28"/>
          <w:szCs w:val="28"/>
        </w:rPr>
      </w:pPr>
    </w:p>
    <w:p w:rsidR="00311CE5" w:rsidRPr="008364C4" w:rsidRDefault="00311CE5" w:rsidP="00311CE5">
      <w:pPr>
        <w:spacing w:after="0" w:line="360" w:lineRule="auto"/>
        <w:ind w:firstLine="709"/>
        <w:jc w:val="both"/>
        <w:rPr>
          <w:rFonts w:ascii="Times New Roman" w:hAnsi="Times New Roman"/>
          <w:b/>
          <w:sz w:val="28"/>
          <w:szCs w:val="28"/>
        </w:rPr>
      </w:pPr>
      <w:r w:rsidRPr="008364C4">
        <w:rPr>
          <w:rFonts w:ascii="Times New Roman" w:hAnsi="Times New Roman"/>
          <w:b/>
          <w:sz w:val="28"/>
        </w:rPr>
        <w:t>Case law</w:t>
      </w:r>
      <w:r w:rsidR="00F21E3B">
        <w:rPr>
          <w:rFonts w:ascii="Times New Roman" w:hAnsi="Times New Roman"/>
          <w:b/>
          <w:sz w:val="28"/>
        </w:rPr>
        <w:t xml:space="preserve"> and practice of the Commission</w:t>
      </w:r>
      <w:r w:rsidRPr="008364C4">
        <w:rPr>
          <w:rFonts w:ascii="Times New Roman" w:hAnsi="Times New Roman"/>
          <w:b/>
          <w:sz w:val="28"/>
        </w:rPr>
        <w:t xml:space="preserve">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Commission for Personal Data Protection has been approached for unlawful actions regarding personal data disclosure by </w:t>
      </w:r>
      <w:proofErr w:type="spellStart"/>
      <w:r w:rsidRPr="008364C4">
        <w:rPr>
          <w:rFonts w:ascii="Times New Roman" w:hAnsi="Times New Roman"/>
          <w:sz w:val="28"/>
        </w:rPr>
        <w:t>Natsionalna</w:t>
      </w:r>
      <w:proofErr w:type="spellEnd"/>
      <w:r w:rsidRPr="008364C4">
        <w:rPr>
          <w:rFonts w:ascii="Times New Roman" w:hAnsi="Times New Roman"/>
          <w:sz w:val="28"/>
        </w:rPr>
        <w:t xml:space="preserve"> </w:t>
      </w:r>
      <w:proofErr w:type="spellStart"/>
      <w:r w:rsidRPr="008364C4">
        <w:rPr>
          <w:rFonts w:ascii="Times New Roman" w:hAnsi="Times New Roman"/>
          <w:sz w:val="28"/>
        </w:rPr>
        <w:t>Elektricheska</w:t>
      </w:r>
      <w:proofErr w:type="spellEnd"/>
      <w:r w:rsidRPr="008364C4">
        <w:rPr>
          <w:rFonts w:ascii="Times New Roman" w:hAnsi="Times New Roman"/>
          <w:sz w:val="28"/>
        </w:rPr>
        <w:t xml:space="preserve"> </w:t>
      </w:r>
      <w:proofErr w:type="spellStart"/>
      <w:r w:rsidRPr="008364C4">
        <w:rPr>
          <w:rFonts w:ascii="Times New Roman" w:hAnsi="Times New Roman"/>
          <w:sz w:val="28"/>
        </w:rPr>
        <w:t>Kompa</w:t>
      </w:r>
      <w:r w:rsidR="00F21E3B">
        <w:rPr>
          <w:rFonts w:ascii="Times New Roman" w:hAnsi="Times New Roman"/>
          <w:sz w:val="28"/>
        </w:rPr>
        <w:t>nia</w:t>
      </w:r>
      <w:proofErr w:type="spellEnd"/>
      <w:r w:rsidR="00F21E3B">
        <w:rPr>
          <w:rFonts w:ascii="Times New Roman" w:hAnsi="Times New Roman"/>
          <w:sz w:val="28"/>
        </w:rPr>
        <w:t xml:space="preserve"> EAD. The complaint indicated</w:t>
      </w:r>
      <w:r w:rsidRPr="008364C4">
        <w:rPr>
          <w:rFonts w:ascii="Times New Roman" w:hAnsi="Times New Roman"/>
          <w:sz w:val="28"/>
        </w:rPr>
        <w:t xml:space="preserve"> that the individual in his capacity as manager of a company has entered into a contract </w:t>
      </w:r>
      <w:r w:rsidRPr="00F14A9D">
        <w:rPr>
          <w:rFonts w:ascii="Times New Roman" w:hAnsi="Times New Roman"/>
          <w:sz w:val="28"/>
        </w:rPr>
        <w:t xml:space="preserve">for the purchase of electricity </w:t>
      </w:r>
      <w:r w:rsidRPr="008364C4">
        <w:rPr>
          <w:rFonts w:ascii="Times New Roman" w:hAnsi="Times New Roman"/>
          <w:sz w:val="28"/>
        </w:rPr>
        <w:t xml:space="preserve">with </w:t>
      </w:r>
      <w:proofErr w:type="spellStart"/>
      <w:r w:rsidRPr="008364C4">
        <w:rPr>
          <w:rFonts w:ascii="Times New Roman" w:hAnsi="Times New Roman"/>
          <w:sz w:val="28"/>
        </w:rPr>
        <w:t>Natsionalna</w:t>
      </w:r>
      <w:proofErr w:type="spellEnd"/>
      <w:r w:rsidRPr="008364C4">
        <w:rPr>
          <w:rFonts w:ascii="Times New Roman" w:hAnsi="Times New Roman"/>
          <w:sz w:val="28"/>
        </w:rPr>
        <w:t xml:space="preserve"> </w:t>
      </w:r>
      <w:proofErr w:type="spellStart"/>
      <w:r w:rsidRPr="008364C4">
        <w:rPr>
          <w:rFonts w:ascii="Times New Roman" w:hAnsi="Times New Roman"/>
          <w:sz w:val="28"/>
        </w:rPr>
        <w:t>Elektricheska</w:t>
      </w:r>
      <w:proofErr w:type="spellEnd"/>
      <w:r w:rsidRPr="008364C4">
        <w:rPr>
          <w:rFonts w:ascii="Times New Roman" w:hAnsi="Times New Roman"/>
          <w:sz w:val="28"/>
        </w:rPr>
        <w:t xml:space="preserve"> </w:t>
      </w:r>
      <w:proofErr w:type="spellStart"/>
      <w:r w:rsidRPr="008364C4">
        <w:rPr>
          <w:rFonts w:ascii="Times New Roman" w:hAnsi="Times New Roman"/>
          <w:sz w:val="28"/>
        </w:rPr>
        <w:t>Kompania</w:t>
      </w:r>
      <w:proofErr w:type="spellEnd"/>
      <w:r w:rsidRPr="008364C4">
        <w:rPr>
          <w:rFonts w:ascii="Times New Roman" w:hAnsi="Times New Roman"/>
          <w:sz w:val="28"/>
        </w:rPr>
        <w:t xml:space="preserve"> EAD (NEK). NEK notified the </w:t>
      </w:r>
      <w:r w:rsidRPr="008364C4">
        <w:rPr>
          <w:rFonts w:ascii="Times New Roman" w:hAnsi="Times New Roman"/>
          <w:sz w:val="28"/>
        </w:rPr>
        <w:lastRenderedPageBreak/>
        <w:t xml:space="preserve">company of its intention to launch a procedure for public disclosure by publishing all existing contracts for power purchase entered into by and between NEK and its counterparties, providing a 7-day period to express consent or </w:t>
      </w:r>
      <w:r w:rsidR="00F14A9D" w:rsidRPr="00F14A9D">
        <w:rPr>
          <w:rFonts w:ascii="Times New Roman" w:hAnsi="Times New Roman"/>
          <w:sz w:val="28"/>
        </w:rPr>
        <w:t>disagreement</w:t>
      </w:r>
      <w:r w:rsidRPr="00F14A9D">
        <w:rPr>
          <w:rFonts w:ascii="Times New Roman" w:hAnsi="Times New Roman"/>
          <w:sz w:val="28"/>
        </w:rPr>
        <w:t xml:space="preserve"> </w:t>
      </w:r>
      <w:r w:rsidRPr="008364C4">
        <w:rPr>
          <w:rFonts w:ascii="Times New Roman" w:hAnsi="Times New Roman"/>
          <w:sz w:val="28"/>
        </w:rPr>
        <w:t xml:space="preserve">for such public disclosure of contracts. The claimant raised the issue on the necessity and purpose of the public disclosure of existing contracts, and principle approval was given for public disclosure of the contract between the company and NEK </w:t>
      </w:r>
      <w:r w:rsidRPr="003E5AC6">
        <w:rPr>
          <w:rFonts w:ascii="Times New Roman" w:hAnsi="Times New Roman"/>
          <w:sz w:val="28"/>
        </w:rPr>
        <w:t>for the purpose of</w:t>
      </w:r>
      <w:r w:rsidR="00F14A9D" w:rsidRPr="003E5AC6">
        <w:rPr>
          <w:rFonts w:ascii="Times New Roman" w:hAnsi="Times New Roman"/>
          <w:sz w:val="28"/>
        </w:rPr>
        <w:t xml:space="preserve"> achieving </w:t>
      </w:r>
      <w:r w:rsidRPr="003E5AC6">
        <w:rPr>
          <w:rFonts w:ascii="Times New Roman" w:hAnsi="Times New Roman"/>
          <w:sz w:val="28"/>
        </w:rPr>
        <w:t>transparent and mutually</w:t>
      </w:r>
      <w:r w:rsidR="00F14A9D" w:rsidRPr="003E5AC6">
        <w:rPr>
          <w:rFonts w:ascii="Times New Roman" w:hAnsi="Times New Roman"/>
          <w:sz w:val="28"/>
        </w:rPr>
        <w:t xml:space="preserve"> balanced approach to conduct</w:t>
      </w:r>
      <w:r w:rsidRPr="003E5AC6">
        <w:rPr>
          <w:rFonts w:ascii="Times New Roman" w:hAnsi="Times New Roman"/>
          <w:sz w:val="28"/>
        </w:rPr>
        <w:t xml:space="preserve"> business.</w:t>
      </w:r>
      <w:r w:rsidRPr="008364C4">
        <w:rPr>
          <w:rFonts w:ascii="Times New Roman" w:hAnsi="Times New Roman"/>
          <w:sz w:val="28"/>
        </w:rPr>
        <w:t xml:space="preserve"> NEK confirmed that the only reason for public disclosure of contracts for purchase, sale and transmission of electricity is to achieve transparency in the operation of the state-owned company. As a result of the actions of NEK, the Ministry of Economy and Energy published on its website the claimant's personal data in his capacity as the manager of the company.</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opinion of the Commission is that this action violates the provisions of Art. 23 (1) of LPPD, according to which: "the data controller should take appropriate technical and organizational measures to protect the data against accidental or unlawful destruction or accidental loss, unauthorized access, modification or disclosure and against other unlawful forms of processing". Regarding the publication of the contract on the website of the Ministry of Economy and Energy with undeleted personal data (name and surnames, Personal Number, ID card) of the claimant in his capacity of the manager of the company which is a party under the specified contract concluded with NEK, the data controller failed to take appropriate technical and organizational measures to protect data from illegal distribution. In the case the DC was imposed a property sanction of BGN 1,000.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In another case, the Commission was approached for violations made by a consumer c</w:t>
      </w:r>
      <w:r w:rsidR="00F21E3B">
        <w:rPr>
          <w:rFonts w:ascii="Times New Roman" w:hAnsi="Times New Roman"/>
          <w:sz w:val="28"/>
        </w:rPr>
        <w:t>ooperative. The complaint stated</w:t>
      </w:r>
      <w:r w:rsidRPr="008364C4">
        <w:rPr>
          <w:rFonts w:ascii="Times New Roman" w:hAnsi="Times New Roman"/>
          <w:sz w:val="28"/>
        </w:rPr>
        <w:t xml:space="preserve"> that each year the </w:t>
      </w:r>
      <w:r w:rsidRPr="003E5AC6">
        <w:rPr>
          <w:rFonts w:ascii="Times New Roman" w:hAnsi="Times New Roman"/>
          <w:sz w:val="28"/>
        </w:rPr>
        <w:t>cooperative</w:t>
      </w:r>
      <w:r w:rsidR="00F21E3B" w:rsidRPr="003E5AC6">
        <w:rPr>
          <w:rFonts w:ascii="Times New Roman" w:hAnsi="Times New Roman"/>
          <w:sz w:val="28"/>
        </w:rPr>
        <w:t xml:space="preserve"> </w:t>
      </w:r>
      <w:r w:rsidR="00F21E3B">
        <w:rPr>
          <w:rFonts w:ascii="Times New Roman" w:hAnsi="Times New Roman"/>
          <w:sz w:val="28"/>
        </w:rPr>
        <w:t>sends invitations for</w:t>
      </w:r>
      <w:r w:rsidRPr="008364C4">
        <w:rPr>
          <w:rFonts w:ascii="Times New Roman" w:hAnsi="Times New Roman"/>
          <w:sz w:val="28"/>
        </w:rPr>
        <w:t xml:space="preserve"> its annual meeting to its members with indicated address and personal number without enclosing them in envelopes and thus disclosing their personal data. In support of t</w:t>
      </w:r>
      <w:r w:rsidR="00F21E3B">
        <w:rPr>
          <w:rFonts w:ascii="Times New Roman" w:hAnsi="Times New Roman"/>
          <w:sz w:val="28"/>
        </w:rPr>
        <w:t>he above, the complaint enclosed</w:t>
      </w:r>
      <w:r w:rsidRPr="008364C4">
        <w:rPr>
          <w:rFonts w:ascii="Times New Roman" w:hAnsi="Times New Roman"/>
          <w:sz w:val="28"/>
        </w:rPr>
        <w:t xml:space="preserve"> an invitat</w:t>
      </w:r>
      <w:r w:rsidR="00F21E3B">
        <w:rPr>
          <w:rFonts w:ascii="Times New Roman" w:hAnsi="Times New Roman"/>
          <w:sz w:val="28"/>
        </w:rPr>
        <w:t>ion for</w:t>
      </w:r>
      <w:r w:rsidRPr="008364C4">
        <w:rPr>
          <w:rFonts w:ascii="Times New Roman" w:hAnsi="Times New Roman"/>
          <w:sz w:val="28"/>
        </w:rPr>
        <w:t xml:space="preserve"> the </w:t>
      </w:r>
      <w:r w:rsidRPr="008364C4">
        <w:rPr>
          <w:rFonts w:ascii="Times New Roman" w:hAnsi="Times New Roman"/>
          <w:sz w:val="28"/>
        </w:rPr>
        <w:lastRenderedPageBreak/>
        <w:t>annual general meeting of the cooperative</w:t>
      </w:r>
      <w:r w:rsidR="00F21E3B">
        <w:rPr>
          <w:rFonts w:ascii="Times New Roman" w:hAnsi="Times New Roman"/>
          <w:sz w:val="28"/>
        </w:rPr>
        <w:t xml:space="preserve"> as evidence, which demonstrated</w:t>
      </w:r>
      <w:r w:rsidRPr="008364C4">
        <w:rPr>
          <w:rFonts w:ascii="Times New Roman" w:hAnsi="Times New Roman"/>
          <w:sz w:val="28"/>
        </w:rPr>
        <w:t xml:space="preserve"> that the claimant is identified by full name, address and personal number. </w:t>
      </w:r>
    </w:p>
    <w:p w:rsidR="00311CE5" w:rsidRPr="008364C4" w:rsidRDefault="00311CE5" w:rsidP="00311CE5">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t>In comparison, based on the relevant provisions of the legally required amount of information for the members and prospective members of the cooperative and the content of the information included in the invitation by its management body, the Commission rules on the existence of excessiveness of data processing in the invitation</w:t>
      </w:r>
      <w:r w:rsidR="003E5AC6">
        <w:rPr>
          <w:rFonts w:ascii="Times New Roman" w:hAnsi="Times New Roman"/>
          <w:sz w:val="28"/>
        </w:rPr>
        <w:t>,</w:t>
      </w:r>
      <w:r w:rsidRPr="008364C4">
        <w:rPr>
          <w:rFonts w:ascii="Times New Roman" w:hAnsi="Times New Roman"/>
          <w:sz w:val="28"/>
        </w:rPr>
        <w:t xml:space="preserve"> </w:t>
      </w:r>
      <w:r w:rsidR="003E5AC6" w:rsidRPr="003E5AC6">
        <w:rPr>
          <w:rFonts w:ascii="Times New Roman" w:hAnsi="Times New Roman"/>
          <w:sz w:val="28"/>
        </w:rPr>
        <w:t xml:space="preserve">taking into account the entering </w:t>
      </w:r>
      <w:r w:rsidRPr="003E5AC6">
        <w:rPr>
          <w:rFonts w:ascii="Times New Roman" w:hAnsi="Times New Roman"/>
          <w:sz w:val="28"/>
        </w:rPr>
        <w:t>of</w:t>
      </w:r>
      <w:r w:rsidR="003E5AC6" w:rsidRPr="003E5AC6">
        <w:rPr>
          <w:rFonts w:ascii="Times New Roman" w:hAnsi="Times New Roman"/>
          <w:sz w:val="28"/>
        </w:rPr>
        <w:t xml:space="preserve"> individuals’</w:t>
      </w:r>
      <w:r w:rsidRPr="003E5AC6">
        <w:rPr>
          <w:rFonts w:ascii="Times New Roman" w:hAnsi="Times New Roman"/>
          <w:sz w:val="28"/>
        </w:rPr>
        <w:t xml:space="preserve"> personal numbers</w:t>
      </w:r>
      <w:r w:rsidRPr="008364C4">
        <w:rPr>
          <w:rFonts w:ascii="Times New Roman" w:hAnsi="Times New Roman"/>
          <w:sz w:val="28"/>
        </w:rPr>
        <w:t>.</w:t>
      </w:r>
      <w:proofErr w:type="gramEnd"/>
      <w:r w:rsidRPr="008364C4">
        <w:rPr>
          <w:rFonts w:ascii="Times New Roman" w:hAnsi="Times New Roman"/>
          <w:sz w:val="28"/>
        </w:rPr>
        <w:t xml:space="preserve"> Relevant here is the provision of Art. </w:t>
      </w:r>
      <w:proofErr w:type="gramStart"/>
      <w:r w:rsidRPr="008364C4">
        <w:rPr>
          <w:rFonts w:ascii="Times New Roman" w:hAnsi="Times New Roman"/>
          <w:sz w:val="28"/>
        </w:rPr>
        <w:t>2 (3) of LPPD, under which personal data must be relevant, related and not excessive for the purposes for which they are processed.</w:t>
      </w:r>
      <w:proofErr w:type="gramEnd"/>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connection with the subject of the complaint – sending the invitation by the management body of the cooperative to cooperative members with designated personal number and address without placing them in envelopes and thus disclosing personal data – this act violates he provisions of Art. </w:t>
      </w:r>
      <w:proofErr w:type="gramStart"/>
      <w:r w:rsidRPr="008364C4">
        <w:rPr>
          <w:rFonts w:ascii="Times New Roman" w:hAnsi="Times New Roman"/>
          <w:sz w:val="28"/>
        </w:rPr>
        <w:t>23 of LPPD.</w:t>
      </w:r>
      <w:proofErr w:type="gramEnd"/>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this case, the Commission imposed an administrative penalty in the amount of BGN 600 for the violation of Art. 23 (1) of LPPD and </w:t>
      </w:r>
      <w:r w:rsidR="00F21E3B">
        <w:rPr>
          <w:rFonts w:ascii="Times New Roman" w:hAnsi="Times New Roman"/>
          <w:sz w:val="28"/>
        </w:rPr>
        <w:t>issued a compulsory instruction</w:t>
      </w:r>
      <w:r w:rsidRPr="008364C4">
        <w:rPr>
          <w:rFonts w:ascii="Times New Roman" w:hAnsi="Times New Roman"/>
          <w:sz w:val="28"/>
        </w:rPr>
        <w:t xml:space="preserve"> for co</w:t>
      </w:r>
      <w:r w:rsidR="00F21E3B">
        <w:rPr>
          <w:rFonts w:ascii="Times New Roman" w:hAnsi="Times New Roman"/>
          <w:sz w:val="28"/>
        </w:rPr>
        <w:t xml:space="preserve">mpliance with the provisions of </w:t>
      </w:r>
      <w:r w:rsidRPr="008364C4">
        <w:rPr>
          <w:rFonts w:ascii="Times New Roman" w:hAnsi="Times New Roman"/>
          <w:sz w:val="28"/>
        </w:rPr>
        <w:t>LPPD in conjunction with Art. 8 (5) of the Law on Cooperatives, namely: deletion of the personal number of the cooperative members entered in the Book of Cooperative Members and sending invitations to the general meeting in a sealed envelope without designating the personal number of the receivers.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In late 2012 and early 2013, the Commission received a number of complaints from various individuals against a data controller with a specific subject of the complaints.</w:t>
      </w:r>
    </w:p>
    <w:p w:rsidR="003E5AC6" w:rsidRPr="009D6AF1" w:rsidRDefault="00311CE5" w:rsidP="003E5AC6">
      <w:pPr>
        <w:spacing w:after="0" w:line="360" w:lineRule="auto"/>
        <w:ind w:firstLine="709"/>
        <w:jc w:val="both"/>
        <w:rPr>
          <w:rFonts w:ascii="Times New Roman" w:hAnsi="Times New Roman"/>
          <w:sz w:val="28"/>
        </w:rPr>
      </w:pPr>
      <w:r w:rsidRPr="008364C4">
        <w:rPr>
          <w:rFonts w:ascii="Times New Roman" w:hAnsi="Times New Roman"/>
          <w:sz w:val="28"/>
        </w:rPr>
        <w:t xml:space="preserve">The complaint stated that in relation to cases brought in the Regional Department of the Ministry of Interior /RD of </w:t>
      </w:r>
      <w:proofErr w:type="spellStart"/>
      <w:r w:rsidRPr="008364C4">
        <w:rPr>
          <w:rFonts w:ascii="Times New Roman" w:hAnsi="Times New Roman"/>
          <w:sz w:val="28"/>
        </w:rPr>
        <w:t>M</w:t>
      </w:r>
      <w:r w:rsidR="003E5AC6">
        <w:rPr>
          <w:rFonts w:ascii="Times New Roman" w:hAnsi="Times New Roman"/>
          <w:sz w:val="28"/>
        </w:rPr>
        <w:t>o</w:t>
      </w:r>
      <w:r w:rsidRPr="008364C4">
        <w:rPr>
          <w:rFonts w:ascii="Times New Roman" w:hAnsi="Times New Roman"/>
          <w:sz w:val="28"/>
        </w:rPr>
        <w:t>I</w:t>
      </w:r>
      <w:proofErr w:type="spellEnd"/>
      <w:r w:rsidRPr="008364C4">
        <w:rPr>
          <w:rFonts w:ascii="Times New Roman" w:hAnsi="Times New Roman"/>
          <w:sz w:val="28"/>
        </w:rPr>
        <w:t>/ the claimants were duly summoned for reference. They were informed that they were summoned because of a complaint filed</w:t>
      </w:r>
      <w:r w:rsidR="00F21E3B">
        <w:rPr>
          <w:rFonts w:ascii="Times New Roman" w:hAnsi="Times New Roman"/>
          <w:sz w:val="28"/>
        </w:rPr>
        <w:t xml:space="preserve"> against them by a </w:t>
      </w:r>
      <w:r w:rsidRPr="008364C4">
        <w:rPr>
          <w:rFonts w:ascii="Times New Roman" w:hAnsi="Times New Roman"/>
          <w:sz w:val="28"/>
        </w:rPr>
        <w:t>company</w:t>
      </w:r>
      <w:r w:rsidR="00F21E3B">
        <w:rPr>
          <w:rFonts w:ascii="Times New Roman" w:hAnsi="Times New Roman"/>
          <w:sz w:val="28"/>
        </w:rPr>
        <w:t xml:space="preserve"> manager</w:t>
      </w:r>
      <w:r w:rsidRPr="008364C4">
        <w:rPr>
          <w:rFonts w:ascii="Times New Roman" w:hAnsi="Times New Roman"/>
          <w:sz w:val="28"/>
        </w:rPr>
        <w:t>. The complaints filed against these individuals stated that after making various statements</w:t>
      </w:r>
      <w:r w:rsidR="003E5AC6">
        <w:rPr>
          <w:rFonts w:ascii="Times New Roman" w:hAnsi="Times New Roman"/>
          <w:sz w:val="28"/>
        </w:rPr>
        <w:t xml:space="preserve"> the head of the </w:t>
      </w:r>
      <w:r w:rsidR="003E5AC6">
        <w:rPr>
          <w:rFonts w:ascii="Times New Roman" w:hAnsi="Times New Roman"/>
          <w:sz w:val="28"/>
        </w:rPr>
        <w:lastRenderedPageBreak/>
        <w:t xml:space="preserve">respective RD of </w:t>
      </w:r>
      <w:proofErr w:type="spellStart"/>
      <w:r w:rsidR="003E5AC6">
        <w:rPr>
          <w:rFonts w:ascii="Times New Roman" w:hAnsi="Times New Roman"/>
          <w:sz w:val="28"/>
        </w:rPr>
        <w:t>MoI</w:t>
      </w:r>
      <w:proofErr w:type="spellEnd"/>
      <w:r w:rsidR="003E5AC6">
        <w:rPr>
          <w:rFonts w:ascii="Times New Roman" w:hAnsi="Times New Roman"/>
          <w:sz w:val="28"/>
        </w:rPr>
        <w:t xml:space="preserve"> has requested that some persons, including the claimants, should be notified about the complaint and they were identified </w:t>
      </w:r>
      <w:r w:rsidR="003E5AC6" w:rsidRPr="009D6AF1">
        <w:rPr>
          <w:rFonts w:ascii="Times New Roman" w:hAnsi="Times New Roman"/>
          <w:sz w:val="28"/>
        </w:rPr>
        <w:t xml:space="preserve">by their full names and personal number following the procedure set in </w:t>
      </w:r>
      <w:r w:rsidRPr="009D6AF1">
        <w:rPr>
          <w:rFonts w:ascii="Times New Roman" w:hAnsi="Times New Roman"/>
          <w:sz w:val="28"/>
        </w:rPr>
        <w:t xml:space="preserve">Art. </w:t>
      </w:r>
      <w:proofErr w:type="gramStart"/>
      <w:r w:rsidRPr="009D6AF1">
        <w:rPr>
          <w:rFonts w:ascii="Times New Roman" w:hAnsi="Times New Roman"/>
          <w:sz w:val="28"/>
        </w:rPr>
        <w:t xml:space="preserve">56 of the </w:t>
      </w:r>
      <w:r w:rsidR="003E5AC6" w:rsidRPr="009D6AF1">
        <w:rPr>
          <w:rFonts w:ascii="Times New Roman" w:hAnsi="Times New Roman"/>
          <w:sz w:val="28"/>
        </w:rPr>
        <w:t>Ministry of Interior Act.</w:t>
      </w:r>
      <w:proofErr w:type="gramEnd"/>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They also claimed that the respective complaints enclosed their photographs "</w:t>
      </w:r>
      <w:r w:rsidRPr="009D6AF1">
        <w:rPr>
          <w:rFonts w:ascii="Times New Roman" w:hAnsi="Times New Roman"/>
          <w:sz w:val="28"/>
        </w:rPr>
        <w:t xml:space="preserve">taken a few days earlier on a lane in protected areas – public municipal property" </w:t>
      </w:r>
      <w:r w:rsidRPr="008364C4">
        <w:rPr>
          <w:rFonts w:ascii="Times New Roman" w:hAnsi="Times New Roman"/>
          <w:sz w:val="28"/>
        </w:rPr>
        <w:t>without their knowledge and consent.</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The claimants informed that they "had never entered into any relationship with the manager of the company, nor had provided or given permission for the processing of their personal data".</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In turn, the data controller clarified that the claimants' personal data were collected from the Commercial Register, legal informational databases and Internet. In its opinion, the company stated that although the complaint claimed that its authors had never entered into contractual relations and had not provided their personal data to the company, "the specified circumstances alone, as specified by the claimants, does not constitute a violation". Basis for this argument is the opinion that since "the claimants have provided their personal data on the web completely voluntary and thus made them accessible to a wide range of individuals – in fact to everyone with access to the global network", then "the provision and receipt of such data is made with the explicit knowledge of the claimants".</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representative of the company informed that exactly in this way, through the web, he found these personal data (full name, personal number) of the claimants. He also specified that "the claimants are members of the governing bodies of various capital companies registered with the Commercial Register, respectively with the </w:t>
      </w:r>
      <w:proofErr w:type="spellStart"/>
      <w:r w:rsidRPr="008364C4">
        <w:rPr>
          <w:rFonts w:ascii="Times New Roman" w:hAnsi="Times New Roman"/>
          <w:sz w:val="28"/>
        </w:rPr>
        <w:t>Apis</w:t>
      </w:r>
      <w:proofErr w:type="spellEnd"/>
      <w:r w:rsidRPr="008364C4">
        <w:rPr>
          <w:rFonts w:ascii="Times New Roman" w:hAnsi="Times New Roman"/>
          <w:sz w:val="28"/>
        </w:rPr>
        <w:t xml:space="preserve"> Register+" and attached evidence to confirm this fact.</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After clarifying the facts and circumstances of the case, the Commission ruled that there is a violation in the processing of personal data of the claimants for the purposes of initiating proceedings before the Ministry of Interior.</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It also stated that the purposes for which the data are processed in the Commercial Register are different from the purpose for which the company processed the personal data of the claimants. In this respect the Commission does not share the view that the claimants have initially given their consent for processing of their personal data regarding further processing with a different purpose.</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The Commission received a complaint alleging that the Regional Inspectorate of Environment and Water (RIEW) without requesting the prior consent of the individual published the individual's personal data – full name, personal number and full address – on t</w:t>
      </w:r>
      <w:r w:rsidR="003515DC">
        <w:rPr>
          <w:rFonts w:ascii="Times New Roman" w:hAnsi="Times New Roman"/>
          <w:sz w:val="28"/>
        </w:rPr>
        <w:t>he Internet. The claimant stated</w:t>
      </w:r>
      <w:r w:rsidRPr="008364C4">
        <w:rPr>
          <w:rFonts w:ascii="Times New Roman" w:hAnsi="Times New Roman"/>
          <w:sz w:val="28"/>
        </w:rPr>
        <w:t xml:space="preserve"> that the publication was made by disclosing on the website an individual administrative act involving the claimant. In the course of the administrative proceedings it was found that the decision of the Director of RIEW issued pursuant to Art. </w:t>
      </w:r>
      <w:proofErr w:type="gramStart"/>
      <w:r w:rsidRPr="008364C4">
        <w:rPr>
          <w:rFonts w:ascii="Times New Roman" w:hAnsi="Times New Roman"/>
          <w:sz w:val="28"/>
        </w:rPr>
        <w:t>2a of the Ordinance on the conditions and procedures for assessing the environmental impact in conjunction with Art.</w:t>
      </w:r>
      <w:proofErr w:type="gramEnd"/>
      <w:r w:rsidRPr="008364C4">
        <w:rPr>
          <w:rFonts w:ascii="Times New Roman" w:hAnsi="Times New Roman"/>
          <w:sz w:val="28"/>
        </w:rPr>
        <w:t xml:space="preserve"> 38 (1) of the Law on Waste Management (LWM) terminated the procedure under Chapter Six of the Law on Environmental Protection (LEP) involving the contractor – the claimant in this case. The decision contained the full name, address and persona</w:t>
      </w:r>
      <w:r w:rsidR="003515DC">
        <w:rPr>
          <w:rFonts w:ascii="Times New Roman" w:hAnsi="Times New Roman"/>
          <w:sz w:val="28"/>
        </w:rPr>
        <w:t>l</w:t>
      </w:r>
      <w:r w:rsidRPr="008364C4">
        <w:rPr>
          <w:rFonts w:ascii="Times New Roman" w:hAnsi="Times New Roman"/>
          <w:sz w:val="28"/>
        </w:rPr>
        <w:t xml:space="preserve"> number of the claimant. Evidenced by a printout from the website of RIEW and the one officially made, the decision was posted on the website of the Regional Inspectorate. The Commission ruled that the claimant's personal data were processed by the data controller in violation of the principle of proportionality of data processed, resulting in their disclosure by posting them on the website of RIEW. This act disclosed the claimant's full name and personal number and this information constitutes personal data within the meaning of Art. </w:t>
      </w:r>
      <w:proofErr w:type="gramStart"/>
      <w:r w:rsidRPr="008364C4">
        <w:rPr>
          <w:rFonts w:ascii="Times New Roman" w:hAnsi="Times New Roman"/>
          <w:sz w:val="28"/>
        </w:rPr>
        <w:t>2 (1) of LPPD.</w:t>
      </w:r>
      <w:proofErr w:type="gramEnd"/>
      <w:r w:rsidRPr="008364C4">
        <w:rPr>
          <w:rFonts w:ascii="Times New Roman" w:hAnsi="Times New Roman"/>
          <w:sz w:val="28"/>
        </w:rPr>
        <w:t xml:space="preserve"> The volume of the posted information is sufficient for the direct identification of the individual. Moreover, t</w:t>
      </w:r>
      <w:r w:rsidR="003515DC">
        <w:rPr>
          <w:rFonts w:ascii="Times New Roman" w:hAnsi="Times New Roman"/>
          <w:sz w:val="28"/>
        </w:rPr>
        <w:t>he posted decision also contained</w:t>
      </w:r>
      <w:r w:rsidRPr="008364C4">
        <w:rPr>
          <w:rFonts w:ascii="Times New Roman" w:hAnsi="Times New Roman"/>
          <w:sz w:val="28"/>
        </w:rPr>
        <w:t xml:space="preserve"> information that in itself does not constitute personal data, but linked to the names and the personal number of the individual, allows for the individual's unambiguous identification. In fact, LEP provides for the obligation of public </w:t>
      </w:r>
      <w:r w:rsidRPr="008364C4">
        <w:rPr>
          <w:rFonts w:ascii="Times New Roman" w:hAnsi="Times New Roman"/>
          <w:sz w:val="28"/>
        </w:rPr>
        <w:lastRenderedPageBreak/>
        <w:t>announcement of the decision on the environmental assessment, but the law does not require the disclosure of the personal number of the assignor. Art. 99 (3) exhaustively specifies the requisites which should be included in the Environmental Impact Assessment (EIA) Decision, and the personal number of the assignor is not among them. In this case the publication of the claimant's personal number and its disclosure on the website of RIEW was carried out in violation of the principle of proportionality in data processing.</w:t>
      </w:r>
    </w:p>
    <w:p w:rsidR="00311CE5" w:rsidRPr="008364C4" w:rsidRDefault="00311CE5" w:rsidP="00311CE5">
      <w:pPr>
        <w:spacing w:after="0" w:line="360" w:lineRule="auto"/>
        <w:ind w:firstLine="709"/>
        <w:jc w:val="both"/>
        <w:rPr>
          <w:rFonts w:ascii="Times New Roman" w:hAnsi="Times New Roman"/>
          <w:sz w:val="28"/>
          <w:szCs w:val="28"/>
        </w:rPr>
      </w:pPr>
    </w:p>
    <w:p w:rsidR="00311CE5" w:rsidRPr="008364C4" w:rsidRDefault="00311CE5" w:rsidP="00311CE5">
      <w:pPr>
        <w:spacing w:after="0" w:line="360" w:lineRule="auto"/>
        <w:ind w:firstLine="709"/>
        <w:jc w:val="both"/>
        <w:rPr>
          <w:rFonts w:ascii="Times New Roman" w:hAnsi="Times New Roman"/>
          <w:b/>
          <w:sz w:val="28"/>
          <w:szCs w:val="28"/>
        </w:rPr>
      </w:pPr>
      <w:r w:rsidRPr="008364C4">
        <w:rPr>
          <w:rFonts w:ascii="Times New Roman" w:hAnsi="Times New Roman"/>
          <w:b/>
          <w:sz w:val="28"/>
        </w:rPr>
        <w:t>2. Statistic data on judgements and analysis of the most common conditions for revocation of administrative acts of CPDP; problems encount</w:t>
      </w:r>
      <w:r w:rsidR="003515DC">
        <w:rPr>
          <w:rFonts w:ascii="Times New Roman" w:hAnsi="Times New Roman"/>
          <w:b/>
          <w:sz w:val="28"/>
        </w:rPr>
        <w:t>ered in the judicial practice when</w:t>
      </w:r>
      <w:r w:rsidRPr="008364C4">
        <w:rPr>
          <w:rFonts w:ascii="Times New Roman" w:hAnsi="Times New Roman"/>
          <w:b/>
          <w:sz w:val="28"/>
        </w:rPr>
        <w:t xml:space="preserve"> monitoring the legality of the decisions of CPDP; initiatives to address these problems.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64 lawsuits were brought before the Administrative Court - Sofia City /ACSC/ litigating administrative acts issued by the Commission for Personal Data Protection. Six of them were brought on litigated administrative acts issued in 2012. For comparison, the lawsuits brought in 2012 were 38. </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45 lawsuits completed at first instance. Of these 20 decisions of the Commission were confirmed as correct and lawful, 15 decisions were annulled as irregular and 10 </w:t>
      </w:r>
      <w:r w:rsidR="003515DC">
        <w:rPr>
          <w:rFonts w:ascii="Times New Roman" w:hAnsi="Times New Roman"/>
          <w:sz w:val="28"/>
        </w:rPr>
        <w:t>decisions amended the CPDP’s decree</w:t>
      </w:r>
      <w:r w:rsidRPr="008364C4">
        <w:rPr>
          <w:rFonts w:ascii="Times New Roman" w:hAnsi="Times New Roman"/>
          <w:sz w:val="28"/>
        </w:rPr>
        <w:t xml:space="preserve"> regarding the amount of the penalty imposed.</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For the</w:t>
      </w:r>
      <w:r w:rsidR="003515DC">
        <w:rPr>
          <w:rFonts w:ascii="Times New Roman" w:hAnsi="Times New Roman"/>
          <w:sz w:val="28"/>
        </w:rPr>
        <w:t xml:space="preserve"> specified period </w:t>
      </w:r>
      <w:r w:rsidRPr="008364C4">
        <w:rPr>
          <w:rFonts w:ascii="Times New Roman" w:hAnsi="Times New Roman"/>
          <w:sz w:val="28"/>
        </w:rPr>
        <w:t xml:space="preserve">ACSC has announced one decision of CPDP to be void. The reasoning of the court for the announcement of the administrative act as void </w:t>
      </w:r>
      <w:r w:rsidR="009D6AF1" w:rsidRPr="008364C4">
        <w:rPr>
          <w:rFonts w:ascii="Times New Roman" w:hAnsi="Times New Roman"/>
          <w:sz w:val="28"/>
        </w:rPr>
        <w:t>refers</w:t>
      </w:r>
      <w:r w:rsidRPr="008364C4">
        <w:rPr>
          <w:rFonts w:ascii="Times New Roman" w:hAnsi="Times New Roman"/>
          <w:sz w:val="28"/>
        </w:rPr>
        <w:t xml:space="preserve"> to the fact that there is an application filed by the claimant in the administrative proceeding for withdrawal of the complaint. At the time of issuance of the administrative act, CPDP was not informed about the intention of the claimant to withdraw his complaint. The request for withdrawal of complaint was filed after the issuance of the administrative act and within the deadline for its appeal before the court through the CPDP.</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In an analysis of the case law of ACSC it can be concluded that the grounds for annulment in the majority of the Commission's decisions refer to violations of administrative rules and inconsistency with material provisions. According to the practice, a violation of administrative rules is considered the failure to collect sufficient evidence to enable the administrative body to clarify all the facts and circumstances relevant to the case. The violations of CPDP identified by ACSC regarding inconsistency with material provisions refer to whether the administrative body has properly determined the infringed norm of the law. The reasoning of the court to amend the acts of the CPDP in the part of the amount of the penalty imposed is that there are not sufficient grounds to justify the sanction imposed above the minimum statutory set amount. It is assumed that the penalty should be aimed at achieving the objective of penalty that has educational, deterrent and warning function, rather than c</w:t>
      </w:r>
      <w:r w:rsidR="003515DC">
        <w:rPr>
          <w:rFonts w:ascii="Times New Roman" w:hAnsi="Times New Roman"/>
          <w:sz w:val="28"/>
        </w:rPr>
        <w:t>reating economic difficulties for</w:t>
      </w:r>
      <w:r w:rsidRPr="008364C4">
        <w:rPr>
          <w:rFonts w:ascii="Times New Roman" w:hAnsi="Times New Roman"/>
          <w:sz w:val="28"/>
        </w:rPr>
        <w:t xml:space="preserve"> data controllers that committed the violation. </w:t>
      </w:r>
    </w:p>
    <w:p w:rsidR="00311CE5" w:rsidRDefault="00311CE5" w:rsidP="00311CE5">
      <w:pPr>
        <w:spacing w:after="0" w:line="360" w:lineRule="auto"/>
        <w:ind w:firstLine="709"/>
        <w:jc w:val="both"/>
        <w:rPr>
          <w:rFonts w:ascii="Times New Roman" w:hAnsi="Times New Roman"/>
          <w:sz w:val="28"/>
        </w:rPr>
      </w:pPr>
      <w:r w:rsidRPr="008364C4">
        <w:rPr>
          <w:rFonts w:ascii="Times New Roman" w:hAnsi="Times New Roman"/>
          <w:sz w:val="28"/>
        </w:rPr>
        <w:t>It should be pointed out that the judicial acts which repeal the administrative acts of CPDP do not rule whether the administrative file is returned to CPDP for reconsideration. This practice creates uncertainty and inability of CPDP t</w:t>
      </w:r>
      <w:r w:rsidR="003515DC">
        <w:rPr>
          <w:rFonts w:ascii="Times New Roman" w:hAnsi="Times New Roman"/>
          <w:sz w:val="28"/>
        </w:rPr>
        <w:t>o exercise its powers under LPPD</w:t>
      </w:r>
      <w:r w:rsidRPr="008364C4">
        <w:rPr>
          <w:rFonts w:ascii="Times New Roman" w:hAnsi="Times New Roman"/>
          <w:sz w:val="28"/>
        </w:rPr>
        <w:t xml:space="preserve"> and iniquity of the judicial act. In the Republic of Bulgaria, the only body that can decide whether or not th</w:t>
      </w:r>
      <w:r w:rsidR="003515DC">
        <w:rPr>
          <w:rFonts w:ascii="Times New Roman" w:hAnsi="Times New Roman"/>
          <w:sz w:val="28"/>
        </w:rPr>
        <w:t xml:space="preserve">ere is a violation of the Law for the Protection of </w:t>
      </w:r>
      <w:r w:rsidRPr="008364C4">
        <w:rPr>
          <w:rFonts w:ascii="Times New Roman" w:hAnsi="Times New Roman"/>
          <w:sz w:val="28"/>
        </w:rPr>
        <w:t xml:space="preserve">Personal Data is the Commission. The court has no jurisdiction to decide the case on its merits. </w:t>
      </w:r>
      <w:r w:rsidRPr="009D6AF1">
        <w:rPr>
          <w:rFonts w:ascii="Times New Roman" w:hAnsi="Times New Roman"/>
          <w:sz w:val="28"/>
        </w:rPr>
        <w:t xml:space="preserve">The repeal and the lack </w:t>
      </w:r>
      <w:r w:rsidR="003515DC" w:rsidRPr="009D6AF1">
        <w:rPr>
          <w:rFonts w:ascii="Times New Roman" w:hAnsi="Times New Roman"/>
          <w:sz w:val="28"/>
        </w:rPr>
        <w:t xml:space="preserve">of </w:t>
      </w:r>
      <w:r w:rsidRPr="009D6AF1">
        <w:rPr>
          <w:rFonts w:ascii="Times New Roman" w:hAnsi="Times New Roman"/>
          <w:sz w:val="28"/>
        </w:rPr>
        <w:t xml:space="preserve">instructions </w:t>
      </w:r>
      <w:r w:rsidR="009D6AF1" w:rsidRPr="009D6AF1">
        <w:rPr>
          <w:rFonts w:ascii="Times New Roman" w:hAnsi="Times New Roman"/>
          <w:sz w:val="28"/>
        </w:rPr>
        <w:t xml:space="preserve">about  the </w:t>
      </w:r>
      <w:r w:rsidRPr="009D6AF1">
        <w:rPr>
          <w:rFonts w:ascii="Times New Roman" w:hAnsi="Times New Roman"/>
          <w:sz w:val="28"/>
        </w:rPr>
        <w:t>return of administrative file t</w:t>
      </w:r>
      <w:r w:rsidR="003515DC" w:rsidRPr="009D6AF1">
        <w:rPr>
          <w:rFonts w:ascii="Times New Roman" w:hAnsi="Times New Roman"/>
          <w:sz w:val="28"/>
        </w:rPr>
        <w:t>o CPDP for reconsideration</w:t>
      </w:r>
      <w:r w:rsidR="009D6AF1" w:rsidRPr="009D6AF1">
        <w:rPr>
          <w:rFonts w:ascii="Times New Roman" w:hAnsi="Times New Roman"/>
          <w:sz w:val="28"/>
        </w:rPr>
        <w:t>,</w:t>
      </w:r>
      <w:r w:rsidR="003515DC" w:rsidRPr="009D6AF1">
        <w:rPr>
          <w:rFonts w:ascii="Times New Roman" w:hAnsi="Times New Roman"/>
          <w:sz w:val="28"/>
        </w:rPr>
        <w:t xml:space="preserve"> makes</w:t>
      </w:r>
      <w:r w:rsidRPr="009D6AF1">
        <w:rPr>
          <w:rFonts w:ascii="Times New Roman" w:hAnsi="Times New Roman"/>
          <w:sz w:val="28"/>
        </w:rPr>
        <w:t xml:space="preserve"> it impossible to resolved the particular case, which leads to instability in the relationship between the data controller and the individuals to whom the data relate and thus to inability for the protection of their rights. </w:t>
      </w:r>
      <w:r w:rsidRPr="008364C4">
        <w:rPr>
          <w:rFonts w:ascii="Times New Roman" w:hAnsi="Times New Roman"/>
          <w:sz w:val="28"/>
        </w:rPr>
        <w:t>The lack of instructions given, respectively order to return the file for reconsideration makes it impossible for CPDP to rule on the case.</w:t>
      </w:r>
    </w:p>
    <w:p w:rsidR="00311CE5" w:rsidRPr="008364C4" w:rsidRDefault="00311CE5" w:rsidP="00311CE5">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proceedings on 31 appeals of rulings of the Administrative Court - Sofia City ended at the second instance of the Supreme Administrative Court. The final </w:t>
      </w:r>
      <w:r w:rsidRPr="008364C4">
        <w:rPr>
          <w:rFonts w:ascii="Times New Roman" w:hAnsi="Times New Roman"/>
          <w:sz w:val="28"/>
        </w:rPr>
        <w:lastRenderedPageBreak/>
        <w:t>judgements of the Supreme Administrative Court (SAC) eventually confirmed 17 decisions of the Commission. 11 judgements confirm the judgements of ACSC repealing the decisions of CPDP and 3 judgements amend the decisions of CPDP regarding the amount of the imposed sanction.</w:t>
      </w:r>
    </w:p>
    <w:p w:rsidR="00ED0A33" w:rsidRPr="008364C4" w:rsidRDefault="0074385A" w:rsidP="003D726B">
      <w:pPr>
        <w:pStyle w:val="Heading1"/>
      </w:pPr>
      <w:r w:rsidRPr="008364C4">
        <w:br w:type="page"/>
      </w:r>
      <w:bookmarkStart w:id="12" w:name="_Toc380595211"/>
      <w:bookmarkStart w:id="13" w:name="_Toc380740747"/>
      <w:r w:rsidRPr="008364C4">
        <w:lastRenderedPageBreak/>
        <w:t>VII. Control and administrative-penal activities of the Commission</w:t>
      </w:r>
      <w:bookmarkEnd w:id="12"/>
      <w:bookmarkEnd w:id="13"/>
      <w:r w:rsidRPr="008364C4">
        <w:t xml:space="preserve"> </w:t>
      </w:r>
    </w:p>
    <w:p w:rsidR="00E65989" w:rsidRPr="008364C4" w:rsidRDefault="00E65989" w:rsidP="00ED0A33">
      <w:pPr>
        <w:spacing w:after="0" w:line="360" w:lineRule="auto"/>
        <w:ind w:firstLine="709"/>
        <w:jc w:val="both"/>
        <w:rPr>
          <w:rFonts w:ascii="Times New Roman" w:hAnsi="Times New Roman"/>
          <w:sz w:val="28"/>
          <w:szCs w:val="28"/>
        </w:rPr>
      </w:pPr>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1. Control activity</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procedure and methods for carrying out the overall control activity is governed by the provisions of the Law for Protection of Personal Data (L</w:t>
      </w:r>
      <w:r w:rsidR="008654B3">
        <w:rPr>
          <w:rFonts w:ascii="Times New Roman" w:hAnsi="Times New Roman"/>
          <w:sz w:val="28"/>
        </w:rPr>
        <w:t>PPD), the Rules on the activity of CPDP and its administration (RA</w:t>
      </w:r>
      <w:r w:rsidRPr="008364C4">
        <w:rPr>
          <w:rFonts w:ascii="Times New Roman" w:hAnsi="Times New Roman"/>
          <w:sz w:val="28"/>
        </w:rPr>
        <w:t>CPDPA), Ordinance 1 dated 30 January 2013 on the minimal level of technical and organizational measures and the admissible type of personal data protection (the Ordinance), the Instruction on the control activities and the Law on Administrative Violations and Penalties (LAVP).</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Commission exercised control activities in the following areas:</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analysing the current data controllers activities with regard to the compliance with the personal data protection regulations;</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assisting data controllers with consultations and guidance on the compliance with the regulations, and on measures taken for the processed personal data protection;</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exercising direct control on the personal data controllers in the public and private sector;</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imposing sanctions under the LAVP for violation of LPPD.</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This control is exercised directly by the Chairperson and by the members of the Commission who are assisted by the specialized administra</w:t>
      </w:r>
      <w:r w:rsidR="008654B3">
        <w:rPr>
          <w:rFonts w:ascii="Times New Roman" w:hAnsi="Times New Roman"/>
          <w:sz w:val="28"/>
        </w:rPr>
        <w:t xml:space="preserve">tion. </w:t>
      </w:r>
      <w:proofErr w:type="gramStart"/>
      <w:r w:rsidR="008654B3">
        <w:rPr>
          <w:rFonts w:ascii="Times New Roman" w:hAnsi="Times New Roman"/>
          <w:sz w:val="28"/>
        </w:rPr>
        <w:t>According to Art.</w:t>
      </w:r>
      <w:proofErr w:type="gramEnd"/>
      <w:r w:rsidR="008654B3">
        <w:rPr>
          <w:rFonts w:ascii="Times New Roman" w:hAnsi="Times New Roman"/>
          <w:sz w:val="28"/>
        </w:rPr>
        <w:t xml:space="preserve"> 26 of RA</w:t>
      </w:r>
      <w:r w:rsidRPr="008364C4">
        <w:rPr>
          <w:rFonts w:ascii="Times New Roman" w:hAnsi="Times New Roman"/>
          <w:sz w:val="28"/>
        </w:rPr>
        <w:t>CPDPA, the Legal Procedures and Supervision Directorate (LPSD) through its structural unit – Control and Administrative-Penal Proceedings Department supports the Commission’s control activity. This activity includes inspections of data controllers to clarify the facts and circumstances and collect evidence.</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inspections comprise of a set of actions and measures designed to ensure legitimate and effective treatment and personal data protection.</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purpose of inspections is to establish:</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lastRenderedPageBreak/>
        <w:t xml:space="preserve">- </w:t>
      </w:r>
      <w:proofErr w:type="gramStart"/>
      <w:r w:rsidRPr="008364C4">
        <w:rPr>
          <w:rFonts w:ascii="Times New Roman" w:hAnsi="Times New Roman"/>
          <w:sz w:val="28"/>
        </w:rPr>
        <w:t>the</w:t>
      </w:r>
      <w:proofErr w:type="gramEnd"/>
      <w:r w:rsidRPr="008364C4">
        <w:rPr>
          <w:rFonts w:ascii="Times New Roman" w:hAnsi="Times New Roman"/>
          <w:sz w:val="28"/>
        </w:rPr>
        <w:t xml:space="preserve"> personal data processing grounds;</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the</w:t>
      </w:r>
      <w:proofErr w:type="gramEnd"/>
      <w:r w:rsidRPr="008364C4">
        <w:rPr>
          <w:rFonts w:ascii="Times New Roman" w:hAnsi="Times New Roman"/>
          <w:sz w:val="28"/>
        </w:rPr>
        <w:t xml:space="preserve"> procedures for keeping the personal data register;</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the</w:t>
      </w:r>
      <w:proofErr w:type="gramEnd"/>
      <w:r w:rsidRPr="008364C4">
        <w:rPr>
          <w:rFonts w:ascii="Times New Roman" w:hAnsi="Times New Roman"/>
          <w:sz w:val="28"/>
        </w:rPr>
        <w:t xml:space="preserve"> purposes for which the personal data is processed;</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the</w:t>
      </w:r>
      <w:proofErr w:type="gramEnd"/>
      <w:r w:rsidRPr="008364C4">
        <w:rPr>
          <w:rFonts w:ascii="Times New Roman" w:hAnsi="Times New Roman"/>
          <w:sz w:val="28"/>
        </w:rPr>
        <w:t xml:space="preserve"> proportionality, accuracy and update of the data;</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the</w:t>
      </w:r>
      <w:proofErr w:type="gramEnd"/>
      <w:r w:rsidRPr="008364C4">
        <w:rPr>
          <w:rFonts w:ascii="Times New Roman" w:hAnsi="Times New Roman"/>
          <w:sz w:val="28"/>
        </w:rPr>
        <w:t xml:space="preserve"> conformity of the processed data protection level with the Ordinance.</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On 30 January 2013</w:t>
      </w:r>
      <w:r w:rsidR="008654B3">
        <w:rPr>
          <w:rFonts w:ascii="Times New Roman" w:hAnsi="Times New Roman"/>
          <w:sz w:val="28"/>
        </w:rPr>
        <w:t>,</w:t>
      </w:r>
      <w:r w:rsidRPr="008364C4">
        <w:rPr>
          <w:rFonts w:ascii="Times New Roman" w:hAnsi="Times New Roman"/>
          <w:sz w:val="28"/>
        </w:rPr>
        <w:t xml:space="preserve"> the Commission for Personal Data Protection adopted a new Ordinance on the minimal level of technical and organizational measures and the admissible type of personal data protection. The Ordinance was promulgated in State Gazette on 12 February 2013 and repeals Ordinance 1 dated 7 February 2007 (SG No. 25 dated 23 March 2007).</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Ordinance aims to ensure an adequate level of protection of personal data in the </w:t>
      </w:r>
      <w:r w:rsidR="008654B3">
        <w:rPr>
          <w:rFonts w:ascii="Times New Roman" w:hAnsi="Times New Roman"/>
          <w:sz w:val="28"/>
        </w:rPr>
        <w:t xml:space="preserve">maintained </w:t>
      </w:r>
      <w:r w:rsidRPr="008364C4">
        <w:rPr>
          <w:rFonts w:ascii="Times New Roman" w:hAnsi="Times New Roman"/>
          <w:sz w:val="28"/>
        </w:rPr>
        <w:t>personal da</w:t>
      </w:r>
      <w:r w:rsidR="008654B3">
        <w:rPr>
          <w:rFonts w:ascii="Times New Roman" w:hAnsi="Times New Roman"/>
          <w:sz w:val="28"/>
        </w:rPr>
        <w:t>ta registers,</w:t>
      </w:r>
      <w:r w:rsidRPr="008364C4">
        <w:rPr>
          <w:rFonts w:ascii="Times New Roman" w:hAnsi="Times New Roman"/>
          <w:sz w:val="28"/>
        </w:rPr>
        <w:t xml:space="preserve"> depending on the nature </w:t>
      </w:r>
      <w:proofErr w:type="gramStart"/>
      <w:r w:rsidRPr="008364C4">
        <w:rPr>
          <w:rFonts w:ascii="Times New Roman" w:hAnsi="Times New Roman"/>
          <w:sz w:val="28"/>
        </w:rPr>
        <w:t>of  data</w:t>
      </w:r>
      <w:proofErr w:type="gramEnd"/>
      <w:r w:rsidRPr="008364C4">
        <w:rPr>
          <w:rFonts w:ascii="Times New Roman" w:hAnsi="Times New Roman"/>
          <w:sz w:val="28"/>
        </w:rPr>
        <w:t xml:space="preserve"> and the number of affected persons in case of violation of their protection. It defines the main objectives of data protection – confidentiality, integrity </w:t>
      </w:r>
      <w:r w:rsidR="008654B3">
        <w:rPr>
          <w:rFonts w:ascii="Times New Roman" w:hAnsi="Times New Roman"/>
          <w:sz w:val="28"/>
        </w:rPr>
        <w:t>and availability, and determines</w:t>
      </w:r>
      <w:r w:rsidRPr="008364C4">
        <w:rPr>
          <w:rFonts w:ascii="Times New Roman" w:hAnsi="Times New Roman"/>
          <w:sz w:val="28"/>
        </w:rPr>
        <w:t xml:space="preserve"> </w:t>
      </w:r>
      <w:r w:rsidR="008654B3">
        <w:rPr>
          <w:rFonts w:ascii="Times New Roman" w:hAnsi="Times New Roman"/>
          <w:sz w:val="28"/>
        </w:rPr>
        <w:t xml:space="preserve">the </w:t>
      </w:r>
      <w:r w:rsidRPr="008364C4">
        <w:rPr>
          <w:rFonts w:ascii="Times New Roman" w:hAnsi="Times New Roman"/>
          <w:sz w:val="28"/>
        </w:rPr>
        <w:t>personal data protection</w:t>
      </w:r>
      <w:r w:rsidR="008654B3">
        <w:rPr>
          <w:rFonts w:ascii="Times New Roman" w:hAnsi="Times New Roman"/>
          <w:sz w:val="28"/>
        </w:rPr>
        <w:t xml:space="preserve"> types. In order to define</w:t>
      </w:r>
      <w:r w:rsidRPr="008364C4">
        <w:rPr>
          <w:rFonts w:ascii="Times New Roman" w:hAnsi="Times New Roman"/>
          <w:sz w:val="28"/>
        </w:rPr>
        <w:t xml:space="preserve"> the adequate level of technical and organizational measures and the admissible type of protection, data controllers are required to perform a periodic </w:t>
      </w:r>
      <w:r w:rsidR="008654B3">
        <w:rPr>
          <w:rFonts w:ascii="Times New Roman" w:hAnsi="Times New Roman"/>
          <w:sz w:val="28"/>
        </w:rPr>
        <w:t xml:space="preserve">impact </w:t>
      </w:r>
      <w:r w:rsidRPr="008364C4">
        <w:rPr>
          <w:rFonts w:ascii="Times New Roman" w:hAnsi="Times New Roman"/>
          <w:sz w:val="28"/>
        </w:rPr>
        <w:t>assessment of the personal data processed. The impact assessment results in the determination of the impact</w:t>
      </w:r>
      <w:r w:rsidR="008654B3">
        <w:rPr>
          <w:rFonts w:ascii="Times New Roman" w:hAnsi="Times New Roman"/>
          <w:sz w:val="28"/>
        </w:rPr>
        <w:t xml:space="preserve"> level</w:t>
      </w:r>
      <w:r w:rsidRPr="008364C4">
        <w:rPr>
          <w:rFonts w:ascii="Times New Roman" w:hAnsi="Times New Roman"/>
          <w:sz w:val="28"/>
        </w:rPr>
        <w:t xml:space="preserve"> and the appropriate </w:t>
      </w:r>
      <w:r w:rsidR="008654B3">
        <w:rPr>
          <w:rFonts w:ascii="Times New Roman" w:hAnsi="Times New Roman"/>
          <w:sz w:val="28"/>
        </w:rPr>
        <w:t xml:space="preserve">protection </w:t>
      </w:r>
      <w:r w:rsidRPr="008364C4">
        <w:rPr>
          <w:rFonts w:ascii="Times New Roman" w:hAnsi="Times New Roman"/>
          <w:sz w:val="28"/>
        </w:rPr>
        <w:t>level. The basic principle for data access is the "need to know" basis. The necessary technical and organizational measures that should be undertaken by data controllers for each level of protection are defined.</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Within 6 months of the entry into force of this Ordinance, data controllers are required to </w:t>
      </w:r>
      <w:r w:rsidR="008654B3">
        <w:rPr>
          <w:rFonts w:ascii="Times New Roman" w:hAnsi="Times New Roman"/>
          <w:sz w:val="28"/>
        </w:rPr>
        <w:t>determine the level of impact for</w:t>
      </w:r>
      <w:r w:rsidRPr="008364C4">
        <w:rPr>
          <w:rFonts w:ascii="Times New Roman" w:hAnsi="Times New Roman"/>
          <w:sz w:val="28"/>
        </w:rPr>
        <w:t xml:space="preserve"> the registers processed by them.</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For registers of personal data, kept at the time of entry into force of the new ordinance, </w:t>
      </w:r>
      <w:r w:rsidR="008654B3">
        <w:rPr>
          <w:rFonts w:ascii="Times New Roman" w:hAnsi="Times New Roman"/>
          <w:sz w:val="28"/>
        </w:rPr>
        <w:t xml:space="preserve">are established </w:t>
      </w:r>
      <w:r w:rsidRPr="008364C4">
        <w:rPr>
          <w:rFonts w:ascii="Times New Roman" w:hAnsi="Times New Roman"/>
          <w:sz w:val="28"/>
        </w:rPr>
        <w:t xml:space="preserve">the following terms for the implementation of protection measures </w:t>
      </w:r>
      <w:r w:rsidR="008654B3">
        <w:rPr>
          <w:rFonts w:ascii="Times New Roman" w:hAnsi="Times New Roman"/>
          <w:sz w:val="28"/>
        </w:rPr>
        <w:t>when the impact level is determined</w:t>
      </w:r>
      <w:r w:rsidRPr="008364C4">
        <w:rPr>
          <w:rFonts w:ascii="Times New Roman" w:hAnsi="Times New Roman"/>
          <w:sz w:val="28"/>
        </w:rPr>
        <w:t>:</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w:t>
      </w:r>
      <w:proofErr w:type="gramStart"/>
      <w:r w:rsidRPr="008364C4">
        <w:rPr>
          <w:rFonts w:ascii="Times New Roman" w:hAnsi="Times New Roman"/>
          <w:sz w:val="28"/>
        </w:rPr>
        <w:t>low</w:t>
      </w:r>
      <w:proofErr w:type="gramEnd"/>
      <w:r w:rsidRPr="008364C4">
        <w:rPr>
          <w:rFonts w:ascii="Times New Roman" w:hAnsi="Times New Roman"/>
          <w:sz w:val="28"/>
        </w:rPr>
        <w:t xml:space="preserve"> level – within six months;</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w:t>
      </w:r>
      <w:proofErr w:type="gramStart"/>
      <w:r w:rsidRPr="008364C4">
        <w:rPr>
          <w:rFonts w:ascii="Times New Roman" w:hAnsi="Times New Roman"/>
          <w:sz w:val="28"/>
        </w:rPr>
        <w:t>middle</w:t>
      </w:r>
      <w:proofErr w:type="gramEnd"/>
      <w:r w:rsidRPr="008364C4">
        <w:rPr>
          <w:rFonts w:ascii="Times New Roman" w:hAnsi="Times New Roman"/>
          <w:sz w:val="28"/>
        </w:rPr>
        <w:t xml:space="preserve"> level – within nine months;</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lastRenderedPageBreak/>
        <w:t>– </w:t>
      </w:r>
      <w:proofErr w:type="gramStart"/>
      <w:r w:rsidRPr="008364C4">
        <w:rPr>
          <w:rFonts w:ascii="Times New Roman" w:hAnsi="Times New Roman"/>
          <w:sz w:val="28"/>
        </w:rPr>
        <w:t>high</w:t>
      </w:r>
      <w:proofErr w:type="gramEnd"/>
      <w:r w:rsidRPr="008364C4">
        <w:rPr>
          <w:rFonts w:ascii="Times New Roman" w:hAnsi="Times New Roman"/>
          <w:sz w:val="28"/>
        </w:rPr>
        <w:t xml:space="preserve"> and extremely high level – within one year.</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control activity of CPDP is consistent with the compliance and enforcement of protection measures within the terms stipulated in the Ordinance. </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control is exercised by carrying out ex-ante, on-going and ex-post inspections. Each inspection ends in the preparation of a statement of findings and in the event that an administrative violation of the provisions of LPPD is ascertained, the Commission initiates administrative penal proceedings pursuant to LAVP.</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Total number of inspections carried out in 2013 – 2696, of which:</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w:t>
      </w:r>
      <w:proofErr w:type="gramStart"/>
      <w:r w:rsidRPr="008364C4">
        <w:rPr>
          <w:rFonts w:ascii="Times New Roman" w:hAnsi="Times New Roman"/>
          <w:sz w:val="28"/>
        </w:rPr>
        <w:t>ex-ante</w:t>
      </w:r>
      <w:proofErr w:type="gramEnd"/>
      <w:r w:rsidRPr="008364C4">
        <w:rPr>
          <w:rFonts w:ascii="Times New Roman" w:hAnsi="Times New Roman"/>
          <w:sz w:val="28"/>
        </w:rPr>
        <w:t xml:space="preserve"> – 2613; </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on-going – 39; and </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w:t>
      </w:r>
      <w:proofErr w:type="gramStart"/>
      <w:r w:rsidRPr="008364C4">
        <w:rPr>
          <w:rFonts w:ascii="Times New Roman" w:hAnsi="Times New Roman"/>
          <w:sz w:val="28"/>
        </w:rPr>
        <w:t>ex-post</w:t>
      </w:r>
      <w:proofErr w:type="gramEnd"/>
      <w:r w:rsidRPr="008364C4">
        <w:rPr>
          <w:rFonts w:ascii="Times New Roman" w:hAnsi="Times New Roman"/>
          <w:sz w:val="28"/>
        </w:rPr>
        <w:t xml:space="preserve"> – 44.</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These data show that most ex-ante inspections were carried out pursuant to Art. </w:t>
      </w:r>
      <w:proofErr w:type="gramStart"/>
      <w:r w:rsidRPr="008364C4">
        <w:rPr>
          <w:rFonts w:ascii="Times New Roman" w:hAnsi="Times New Roman"/>
          <w:sz w:val="28"/>
        </w:rPr>
        <w:t>12 (2) of LPPD.</w:t>
      </w:r>
      <w:proofErr w:type="gramEnd"/>
      <w:r w:rsidRPr="008364C4">
        <w:rPr>
          <w:rFonts w:ascii="Times New Roman" w:hAnsi="Times New Roman"/>
          <w:sz w:val="28"/>
        </w:rPr>
        <w:t xml:space="preserve"> 2696 inspections were carried out in 2013, resulting in 2684 statements of findings and 12 inspections ended only in drafting statements for ascertaining administrative violations.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For comparison: in 2012 total 1718 inspections were completed. (Fig. 5)</w:t>
      </w:r>
    </w:p>
    <w:p w:rsidR="00ED0A33" w:rsidRPr="008364C4" w:rsidRDefault="00EE2462" w:rsidP="00ED0A33">
      <w:pPr>
        <w:spacing w:after="0" w:line="360" w:lineRule="auto"/>
        <w:ind w:firstLine="284"/>
        <w:jc w:val="center"/>
        <w:rPr>
          <w:rFonts w:ascii="Times New Roman" w:hAnsi="Times New Roman"/>
          <w:b/>
          <w:sz w:val="28"/>
          <w:szCs w:val="28"/>
        </w:rPr>
      </w:pPr>
      <w:r w:rsidRPr="008364C4">
        <w:rPr>
          <w:rFonts w:ascii="Times New Roman" w:hAnsi="Times New Roman"/>
          <w:noProof/>
          <w:sz w:val="28"/>
          <w:szCs w:val="28"/>
          <w:lang w:val="bg-BG" w:eastAsia="bg-BG" w:bidi="ar-SA"/>
        </w:rPr>
        <w:drawing>
          <wp:inline distT="0" distB="0" distL="0" distR="0">
            <wp:extent cx="5753100" cy="297180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roofErr w:type="gramStart"/>
      <w:r w:rsidRPr="008364C4">
        <w:rPr>
          <w:rFonts w:ascii="Times New Roman" w:hAnsi="Times New Roman"/>
          <w:b/>
          <w:sz w:val="28"/>
        </w:rPr>
        <w:t>Fig. 5.</w:t>
      </w:r>
      <w:proofErr w:type="gramEnd"/>
    </w:p>
    <w:p w:rsidR="00ED0A33" w:rsidRPr="008364C4" w:rsidRDefault="00ED0A33" w:rsidP="00ED0A33">
      <w:pPr>
        <w:spacing w:after="0" w:line="360" w:lineRule="auto"/>
        <w:ind w:firstLine="709"/>
        <w:jc w:val="both"/>
        <w:rPr>
          <w:rFonts w:ascii="Times New Roman" w:hAnsi="Times New Roman"/>
          <w:b/>
          <w:sz w:val="28"/>
          <w:szCs w:val="28"/>
        </w:rPr>
      </w:pPr>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1.1. Ex-ante inspections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According to Art.17b of LPPD, these inspections are required prior to the data controller (DC) entry in the register under Art. </w:t>
      </w:r>
      <w:proofErr w:type="gramStart"/>
      <w:r w:rsidRPr="008364C4">
        <w:rPr>
          <w:rFonts w:ascii="Times New Roman" w:hAnsi="Times New Roman"/>
          <w:sz w:val="28"/>
        </w:rPr>
        <w:t xml:space="preserve">10 (1) (2) of LPPD in the cases where the data controller has declared processing of specially protected data under </w:t>
      </w:r>
      <w:r w:rsidR="008654B3">
        <w:rPr>
          <w:rFonts w:ascii="Times New Roman" w:hAnsi="Times New Roman"/>
          <w:sz w:val="28"/>
        </w:rPr>
        <w:t>Art.</w:t>
      </w:r>
      <w:proofErr w:type="gramEnd"/>
      <w:r w:rsidR="008654B3">
        <w:rPr>
          <w:rFonts w:ascii="Times New Roman" w:hAnsi="Times New Roman"/>
          <w:sz w:val="28"/>
        </w:rPr>
        <w:t xml:space="preserve"> 5 (1) of LPPD or </w:t>
      </w:r>
      <w:r w:rsidRPr="008364C4">
        <w:rPr>
          <w:rFonts w:ascii="Times New Roman" w:hAnsi="Times New Roman"/>
          <w:sz w:val="28"/>
        </w:rPr>
        <w:t>according to a Commission decision, data the processing of which endangers the individuals’ rights and lawful interests.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ex-ante inspections aim to establish the technical and organizational measures</w:t>
      </w:r>
      <w:r w:rsidR="008654B3">
        <w:rPr>
          <w:rFonts w:ascii="Times New Roman" w:hAnsi="Times New Roman"/>
          <w:sz w:val="28"/>
        </w:rPr>
        <w:t xml:space="preserve"> undertaken</w:t>
      </w:r>
      <w:r w:rsidRPr="008364C4">
        <w:rPr>
          <w:rFonts w:ascii="Times New Roman" w:hAnsi="Times New Roman"/>
          <w:sz w:val="28"/>
        </w:rPr>
        <w:t xml:space="preserve"> by the personal data processing and the admissible type of protection provided by data controllers and their compliance with the Ordinance’s requirements.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In 2013, the focus was placed on this type of inspections, resulting in a total of 2,613 ex-ante inspections compared to 1,616 in 2012 (Fig. 6).</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Of all ex-ante inspections carried out in 2013, 2,</w:t>
      </w:r>
      <w:r w:rsidR="008654B3">
        <w:rPr>
          <w:rFonts w:ascii="Times New Roman" w:hAnsi="Times New Roman"/>
          <w:sz w:val="28"/>
        </w:rPr>
        <w:t>588 ended with registration of</w:t>
      </w:r>
      <w:r w:rsidRPr="008364C4">
        <w:rPr>
          <w:rFonts w:ascii="Times New Roman" w:hAnsi="Times New Roman"/>
          <w:sz w:val="28"/>
        </w:rPr>
        <w:t xml:space="preserve"> the registers under Art. 10 (1) (2) of LPPD, 24 ended with termination of the registration procedure and deletion from the register under Art. 10 (1) (2) of LPPD</w:t>
      </w:r>
      <w:r w:rsidR="008654B3">
        <w:rPr>
          <w:rFonts w:ascii="Times New Roman" w:hAnsi="Times New Roman"/>
          <w:sz w:val="28"/>
        </w:rPr>
        <w:t>,</w:t>
      </w:r>
      <w:r w:rsidRPr="008364C4">
        <w:rPr>
          <w:rFonts w:ascii="Times New Roman" w:hAnsi="Times New Roman"/>
          <w:sz w:val="28"/>
        </w:rPr>
        <w:t xml:space="preserve"> due to termination of the respective data controllers' operation and other reasons, and 1 inspection ended with a refusal of registration</w:t>
      </w:r>
      <w:r w:rsidR="009D7A1A">
        <w:rPr>
          <w:rFonts w:ascii="Times New Roman" w:hAnsi="Times New Roman"/>
          <w:sz w:val="28"/>
        </w:rPr>
        <w:t>,</w:t>
      </w:r>
      <w:r w:rsidRPr="008364C4">
        <w:rPr>
          <w:rFonts w:ascii="Times New Roman" w:hAnsi="Times New Roman"/>
          <w:sz w:val="28"/>
        </w:rPr>
        <w:t xml:space="preserve"> due to the failure of the applicant to submit </w:t>
      </w:r>
      <w:r w:rsidR="009D7A1A">
        <w:rPr>
          <w:rFonts w:ascii="Times New Roman" w:hAnsi="Times New Roman"/>
          <w:sz w:val="28"/>
        </w:rPr>
        <w:t xml:space="preserve">the necessary documents </w:t>
      </w:r>
      <w:r w:rsidRPr="008364C4">
        <w:rPr>
          <w:rFonts w:ascii="Times New Roman" w:hAnsi="Times New Roman"/>
          <w:sz w:val="28"/>
        </w:rPr>
        <w:t xml:space="preserve">for the implementation of the inspection. The main problem in carrying out this type of inspections remains the communications with DCs in order to request the necessary documents to complete the inspection. The most common reasons include unclaimed mail, changed addresses, errors in the </w:t>
      </w:r>
      <w:r w:rsidR="009D7A1A">
        <w:rPr>
          <w:rFonts w:ascii="Times New Roman" w:hAnsi="Times New Roman"/>
          <w:sz w:val="28"/>
        </w:rPr>
        <w:t xml:space="preserve">filed </w:t>
      </w:r>
      <w:r w:rsidRPr="008364C4">
        <w:rPr>
          <w:rFonts w:ascii="Times New Roman" w:hAnsi="Times New Roman"/>
          <w:sz w:val="28"/>
        </w:rPr>
        <w:t>applications and failure to send the required documents after the proper notification receipt. Due to the impossibility of completion of these inspections, in 2013</w:t>
      </w:r>
      <w:r w:rsidR="009D7A1A">
        <w:rPr>
          <w:rFonts w:ascii="Times New Roman" w:hAnsi="Times New Roman"/>
          <w:sz w:val="28"/>
        </w:rPr>
        <w:t>,</w:t>
      </w:r>
      <w:r w:rsidRPr="008364C4">
        <w:rPr>
          <w:rFonts w:ascii="Times New Roman" w:hAnsi="Times New Roman"/>
          <w:sz w:val="28"/>
        </w:rPr>
        <w:t xml:space="preserve"> CPDP issued a decision and pursuant to Article 17b (3) (3) of the LPPD rejected the registration of 8</w:t>
      </w:r>
      <w:r w:rsidR="009D7A1A">
        <w:rPr>
          <w:rFonts w:ascii="Times New Roman" w:hAnsi="Times New Roman"/>
          <w:sz w:val="28"/>
        </w:rPr>
        <w:t>28 data controllers in</w:t>
      </w:r>
      <w:r w:rsidRPr="008364C4">
        <w:rPr>
          <w:rFonts w:ascii="Times New Roman" w:hAnsi="Times New Roman"/>
          <w:sz w:val="28"/>
        </w:rPr>
        <w:t xml:space="preserve"> the Register of Data Controllers and the Registers Kept by Them. After the publication of CPDP’s decision, 26 of them sent the required documents for ex-ante inspections and were entered in the register under Art. </w:t>
      </w:r>
      <w:proofErr w:type="gramStart"/>
      <w:r w:rsidRPr="008364C4">
        <w:rPr>
          <w:rFonts w:ascii="Times New Roman" w:hAnsi="Times New Roman"/>
          <w:sz w:val="28"/>
        </w:rPr>
        <w:t>10 (1) (2) of LPPD.</w:t>
      </w:r>
      <w:proofErr w:type="gramEnd"/>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1.2. On-going inspections</w:t>
      </w:r>
    </w:p>
    <w:p w:rsidR="00ED0A33" w:rsidRPr="008364C4" w:rsidRDefault="00ED0A33" w:rsidP="00ED0A33">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lastRenderedPageBreak/>
        <w:t>Although considerably fewer in number, the on-going inspections carried out pursuant to Art.</w:t>
      </w:r>
      <w:proofErr w:type="gramEnd"/>
      <w:r w:rsidRPr="008364C4">
        <w:rPr>
          <w:rFonts w:ascii="Times New Roman" w:hAnsi="Times New Roman"/>
          <w:sz w:val="28"/>
        </w:rPr>
        <w:t xml:space="preserve"> 12 (3) of LPPD are more complex in legal aspect. In 2013 a total of 39 such inspections were carried out compared to 71 in 2012 (Fig. 6).</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According to the law these inspections are carried out at the request of the interested persons and at the initiative of the Commission on the basis of a monthly plan for execution of control activity adopted by the Commission.</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As a result of these inspections, 20 compulsory instructions were issued, 6 statements for ascertaining administrative violations were drafted and 16 inspections did not establish any violations of LPPD.</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At the end of 2012, CPDP adopted a "Plan for carrying out on-going inspections at the initiative of CPDP for 2013" (the Plan). The Plan aims at enhancing the efficiency of the Commission’s control activity through its further administrative strengthening, improving the supervision organization, elaborating the methods for consulting personal data controllers and individuals.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According to the Plan the criteria for selecting DCs to be inspected are as follows: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1. DCs of st</w:t>
      </w:r>
      <w:r w:rsidR="009D7A1A">
        <w:rPr>
          <w:rFonts w:ascii="Times New Roman" w:hAnsi="Times New Roman"/>
          <w:sz w:val="28"/>
        </w:rPr>
        <w:t>ructures and areas with prior</w:t>
      </w:r>
      <w:r w:rsidRPr="008364C4">
        <w:rPr>
          <w:rFonts w:ascii="Times New Roman" w:hAnsi="Times New Roman"/>
          <w:sz w:val="28"/>
        </w:rPr>
        <w:t xml:space="preserve"> significance/ of priory areas and structures in the CPDP activity:</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DCs, which activity is of public and social </w:t>
      </w:r>
      <w:proofErr w:type="gramStart"/>
      <w:r w:rsidRPr="008364C4">
        <w:rPr>
          <w:rFonts w:ascii="Times New Roman" w:hAnsi="Times New Roman"/>
          <w:sz w:val="28"/>
        </w:rPr>
        <w:t>significance;</w:t>
      </w:r>
      <w:proofErr w:type="gramEnd"/>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DCs, which underwent significant structural changes resulting from a change in the law and the internal regulations.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2. DCs depending on the categories and the volume of personal data processed:</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DCs processing personal data pursuant to Art. 5 (1) of LPPD;</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DCs which activity endangers the individuals’ rights and lawful interests;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3. DCs which have not been subject to inspection.</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4. DCs which have not submitted applications for registration/registration update in the register under Art. </w:t>
      </w:r>
      <w:proofErr w:type="gramStart"/>
      <w:r w:rsidRPr="008364C4">
        <w:rPr>
          <w:rFonts w:ascii="Times New Roman" w:hAnsi="Times New Roman"/>
          <w:sz w:val="28"/>
        </w:rPr>
        <w:t>10 (1) (2) of LPPD.</w:t>
      </w:r>
      <w:proofErr w:type="gramEnd"/>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5. Administrative region where no scheduled inspections of DCs have been carried out.</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main tasks of the scheduled inspections are related to the fulfilment of DC's obligations in connection with the provisions of LPPD regarding the registration and update of DCs in the register under Art. </w:t>
      </w:r>
      <w:proofErr w:type="gramStart"/>
      <w:r w:rsidRPr="008364C4">
        <w:rPr>
          <w:rFonts w:ascii="Times New Roman" w:hAnsi="Times New Roman"/>
          <w:sz w:val="28"/>
        </w:rPr>
        <w:t>10 (1) (2) of LPPD and the obligations under Art.</w:t>
      </w:r>
      <w:proofErr w:type="gramEnd"/>
      <w:r w:rsidRPr="008364C4">
        <w:rPr>
          <w:rFonts w:ascii="Times New Roman" w:hAnsi="Times New Roman"/>
          <w:sz w:val="28"/>
        </w:rPr>
        <w:t xml:space="preserve"> </w:t>
      </w:r>
      <w:proofErr w:type="gramStart"/>
      <w:r w:rsidRPr="008364C4">
        <w:rPr>
          <w:rFonts w:ascii="Times New Roman" w:hAnsi="Times New Roman"/>
          <w:sz w:val="28"/>
        </w:rPr>
        <w:t>19 (1), Art.</w:t>
      </w:r>
      <w:proofErr w:type="gramEnd"/>
      <w:r w:rsidRPr="008364C4">
        <w:rPr>
          <w:rFonts w:ascii="Times New Roman" w:hAnsi="Times New Roman"/>
          <w:sz w:val="28"/>
        </w:rPr>
        <w:t xml:space="preserve"> </w:t>
      </w:r>
      <w:proofErr w:type="gramStart"/>
      <w:r w:rsidRPr="008364C4">
        <w:rPr>
          <w:rFonts w:ascii="Times New Roman" w:hAnsi="Times New Roman"/>
          <w:sz w:val="28"/>
        </w:rPr>
        <w:t>23, Art.</w:t>
      </w:r>
      <w:proofErr w:type="gramEnd"/>
      <w:r w:rsidRPr="008364C4">
        <w:rPr>
          <w:rFonts w:ascii="Times New Roman" w:hAnsi="Times New Roman"/>
          <w:sz w:val="28"/>
        </w:rPr>
        <w:t xml:space="preserve"> </w:t>
      </w:r>
      <w:proofErr w:type="gramStart"/>
      <w:r w:rsidRPr="008364C4">
        <w:rPr>
          <w:rFonts w:ascii="Times New Roman" w:hAnsi="Times New Roman"/>
          <w:sz w:val="28"/>
        </w:rPr>
        <w:t>25 of LPPD, and the establishment of technical and organizational measures to protect personal data.</w:t>
      </w:r>
      <w:proofErr w:type="gramEnd"/>
      <w:r w:rsidRPr="008364C4">
        <w:rPr>
          <w:rFonts w:ascii="Times New Roman" w:hAnsi="Times New Roman"/>
          <w:sz w:val="28"/>
        </w:rPr>
        <w:t xml:space="preserve"> The inspections mainly involve registers containing personal data of individuals, customers (contractors) of data controllers, according to their main business in the </w:t>
      </w:r>
      <w:r w:rsidR="009D7A1A">
        <w:rPr>
          <w:rFonts w:ascii="Times New Roman" w:hAnsi="Times New Roman"/>
          <w:sz w:val="28"/>
        </w:rPr>
        <w:t xml:space="preserve">following </w:t>
      </w:r>
      <w:r w:rsidRPr="008364C4">
        <w:rPr>
          <w:rFonts w:ascii="Times New Roman" w:hAnsi="Times New Roman"/>
          <w:sz w:val="28"/>
        </w:rPr>
        <w:t>areas: government, judicial, education, banking and credit activity, trade and services, etc., mostly with national scope of operations.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accordance with the criteria adopted in the Plan, the Commission appointed inspections of 23 DCs operating in different sectors of the social and economic life. </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following inspections of DCs</w:t>
      </w:r>
      <w:r w:rsidR="009D7A1A">
        <w:rPr>
          <w:rFonts w:ascii="Times New Roman" w:hAnsi="Times New Roman"/>
          <w:sz w:val="28"/>
        </w:rPr>
        <w:t>,</w:t>
      </w:r>
      <w:r w:rsidR="009D7A1A" w:rsidRPr="009D7A1A">
        <w:rPr>
          <w:rFonts w:ascii="Times New Roman" w:hAnsi="Times New Roman"/>
          <w:sz w:val="28"/>
        </w:rPr>
        <w:t xml:space="preserve"> </w:t>
      </w:r>
      <w:r w:rsidR="009D7A1A" w:rsidRPr="008364C4">
        <w:rPr>
          <w:rFonts w:ascii="Times New Roman" w:hAnsi="Times New Roman"/>
          <w:sz w:val="28"/>
        </w:rPr>
        <w:t>distributed by field of activity</w:t>
      </w:r>
      <w:r w:rsidR="009D7A1A">
        <w:rPr>
          <w:rFonts w:ascii="Times New Roman" w:hAnsi="Times New Roman"/>
          <w:sz w:val="28"/>
        </w:rPr>
        <w:t>, were carried out</w:t>
      </w:r>
      <w:r w:rsidRPr="008364C4">
        <w:rPr>
          <w:rFonts w:ascii="Times New Roman" w:hAnsi="Times New Roman"/>
          <w:sz w:val="28"/>
        </w:rPr>
        <w:t>:</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public administration (7 inspections) – Executi</w:t>
      </w:r>
      <w:r w:rsidR="009D7A1A">
        <w:rPr>
          <w:rFonts w:ascii="Times New Roman" w:hAnsi="Times New Roman"/>
          <w:sz w:val="28"/>
        </w:rPr>
        <w:t xml:space="preserve">ve Forestry Agency, Ministry of </w:t>
      </w:r>
      <w:r w:rsidRPr="008364C4">
        <w:rPr>
          <w:rFonts w:ascii="Times New Roman" w:hAnsi="Times New Roman"/>
          <w:sz w:val="28"/>
        </w:rPr>
        <w:t>Interior (Schengen Information System), Ministry of Foreign Affairs (Visa Information System), Ministry of Labour an</w:t>
      </w:r>
      <w:r w:rsidR="009D7A1A">
        <w:rPr>
          <w:rFonts w:ascii="Times New Roman" w:hAnsi="Times New Roman"/>
          <w:sz w:val="28"/>
        </w:rPr>
        <w:t xml:space="preserve">d Social Policy, Ministry of  Interior </w:t>
      </w:r>
      <w:r w:rsidRPr="008364C4">
        <w:rPr>
          <w:rFonts w:ascii="Times New Roman" w:hAnsi="Times New Roman"/>
          <w:sz w:val="28"/>
        </w:rPr>
        <w:t xml:space="preserve">(National Unit Europol), National Institute of Forensic Science and Criminology at the Ministry of Interior and the State Agency for Refugees at the Council of Ministers (National </w:t>
      </w:r>
      <w:proofErr w:type="spellStart"/>
      <w:r w:rsidRPr="008364C4">
        <w:rPr>
          <w:rFonts w:ascii="Times New Roman" w:hAnsi="Times New Roman"/>
          <w:sz w:val="28"/>
        </w:rPr>
        <w:t>Eurodac</w:t>
      </w:r>
      <w:proofErr w:type="spellEnd"/>
      <w:r w:rsidRPr="008364C4">
        <w:rPr>
          <w:rFonts w:ascii="Times New Roman" w:hAnsi="Times New Roman"/>
          <w:sz w:val="28"/>
        </w:rPr>
        <w:t xml:space="preserve"> System);</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w:t>
      </w:r>
      <w:proofErr w:type="gramStart"/>
      <w:r w:rsidRPr="008364C4">
        <w:rPr>
          <w:rFonts w:ascii="Times New Roman" w:hAnsi="Times New Roman"/>
          <w:sz w:val="28"/>
        </w:rPr>
        <w:t>healthcare</w:t>
      </w:r>
      <w:proofErr w:type="gramEnd"/>
      <w:r w:rsidRPr="008364C4">
        <w:rPr>
          <w:rFonts w:ascii="Times New Roman" w:hAnsi="Times New Roman"/>
          <w:sz w:val="28"/>
        </w:rPr>
        <w:t xml:space="preserve"> (3 inspections) – </w:t>
      </w:r>
      <w:proofErr w:type="spellStart"/>
      <w:r w:rsidRPr="008364C4">
        <w:rPr>
          <w:rFonts w:ascii="Times New Roman" w:hAnsi="Times New Roman"/>
          <w:sz w:val="28"/>
        </w:rPr>
        <w:t>Alexandrovska</w:t>
      </w:r>
      <w:proofErr w:type="spellEnd"/>
      <w:r w:rsidRPr="008364C4">
        <w:rPr>
          <w:rFonts w:ascii="Times New Roman" w:hAnsi="Times New Roman"/>
          <w:sz w:val="28"/>
        </w:rPr>
        <w:t xml:space="preserve"> University Hospital for Active Treatment EAD, National </w:t>
      </w:r>
      <w:proofErr w:type="spellStart"/>
      <w:r w:rsidRPr="008364C4">
        <w:rPr>
          <w:rFonts w:ascii="Times New Roman" w:hAnsi="Times New Roman"/>
          <w:sz w:val="28"/>
        </w:rPr>
        <w:t>Center</w:t>
      </w:r>
      <w:proofErr w:type="spellEnd"/>
      <w:r w:rsidRPr="008364C4">
        <w:rPr>
          <w:rFonts w:ascii="Times New Roman" w:hAnsi="Times New Roman"/>
          <w:sz w:val="28"/>
        </w:rPr>
        <w:t xml:space="preserve"> of Addiction and </w:t>
      </w:r>
      <w:proofErr w:type="spellStart"/>
      <w:r w:rsidRPr="008364C4">
        <w:rPr>
          <w:rFonts w:ascii="Times New Roman" w:hAnsi="Times New Roman"/>
          <w:sz w:val="28"/>
        </w:rPr>
        <w:t>Multipr</w:t>
      </w:r>
      <w:r w:rsidR="009D7A1A">
        <w:rPr>
          <w:rFonts w:ascii="Times New Roman" w:hAnsi="Times New Roman"/>
          <w:sz w:val="28"/>
        </w:rPr>
        <w:t>o</w:t>
      </w:r>
      <w:r w:rsidRPr="008364C4">
        <w:rPr>
          <w:rFonts w:ascii="Times New Roman" w:hAnsi="Times New Roman"/>
          <w:sz w:val="28"/>
        </w:rPr>
        <w:t>file</w:t>
      </w:r>
      <w:proofErr w:type="spellEnd"/>
      <w:r w:rsidRPr="008364C4">
        <w:rPr>
          <w:rFonts w:ascii="Times New Roman" w:hAnsi="Times New Roman"/>
          <w:sz w:val="28"/>
        </w:rPr>
        <w:t xml:space="preserve"> Hospital for Active Treatment </w:t>
      </w:r>
      <w:proofErr w:type="spellStart"/>
      <w:r w:rsidRPr="008364C4">
        <w:rPr>
          <w:rFonts w:ascii="Times New Roman" w:hAnsi="Times New Roman"/>
          <w:sz w:val="28"/>
        </w:rPr>
        <w:t>Tokuda</w:t>
      </w:r>
      <w:proofErr w:type="spellEnd"/>
      <w:r w:rsidRPr="008364C4">
        <w:rPr>
          <w:rFonts w:ascii="Times New Roman" w:hAnsi="Times New Roman"/>
          <w:sz w:val="28"/>
        </w:rPr>
        <w:t xml:space="preserve"> Hospital Sofia AD;</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w:t>
      </w:r>
      <w:proofErr w:type="gramStart"/>
      <w:r w:rsidRPr="008364C4">
        <w:rPr>
          <w:rFonts w:ascii="Times New Roman" w:hAnsi="Times New Roman"/>
          <w:sz w:val="28"/>
        </w:rPr>
        <w:t>justice</w:t>
      </w:r>
      <w:proofErr w:type="gramEnd"/>
      <w:r w:rsidRPr="008364C4">
        <w:rPr>
          <w:rFonts w:ascii="Times New Roman" w:hAnsi="Times New Roman"/>
          <w:sz w:val="28"/>
        </w:rPr>
        <w:t xml:space="preserve"> (3 inspections) – </w:t>
      </w:r>
      <w:proofErr w:type="spellStart"/>
      <w:r w:rsidRPr="008364C4">
        <w:rPr>
          <w:rFonts w:ascii="Times New Roman" w:hAnsi="Times New Roman"/>
          <w:sz w:val="28"/>
        </w:rPr>
        <w:t>Veliko</w:t>
      </w:r>
      <w:proofErr w:type="spellEnd"/>
      <w:r w:rsidRPr="008364C4">
        <w:rPr>
          <w:rFonts w:ascii="Times New Roman" w:hAnsi="Times New Roman"/>
          <w:sz w:val="28"/>
        </w:rPr>
        <w:t xml:space="preserve"> </w:t>
      </w:r>
      <w:proofErr w:type="spellStart"/>
      <w:r w:rsidRPr="008364C4">
        <w:rPr>
          <w:rFonts w:ascii="Times New Roman" w:hAnsi="Times New Roman"/>
          <w:sz w:val="28"/>
        </w:rPr>
        <w:t>Tarnovo</w:t>
      </w:r>
      <w:proofErr w:type="spellEnd"/>
      <w:r w:rsidRPr="008364C4">
        <w:rPr>
          <w:rFonts w:ascii="Times New Roman" w:hAnsi="Times New Roman"/>
          <w:sz w:val="28"/>
        </w:rPr>
        <w:t xml:space="preserve"> Court of Appeal, </w:t>
      </w:r>
      <w:proofErr w:type="spellStart"/>
      <w:r w:rsidRPr="008364C4">
        <w:rPr>
          <w:rFonts w:ascii="Times New Roman" w:hAnsi="Times New Roman"/>
          <w:sz w:val="28"/>
        </w:rPr>
        <w:t>Smolyan</w:t>
      </w:r>
      <w:proofErr w:type="spellEnd"/>
      <w:r w:rsidRPr="008364C4">
        <w:rPr>
          <w:rFonts w:ascii="Times New Roman" w:hAnsi="Times New Roman"/>
          <w:sz w:val="28"/>
        </w:rPr>
        <w:t xml:space="preserve"> Administrative Court and </w:t>
      </w:r>
      <w:proofErr w:type="spellStart"/>
      <w:r w:rsidRPr="008364C4">
        <w:rPr>
          <w:rFonts w:ascii="Times New Roman" w:hAnsi="Times New Roman"/>
          <w:sz w:val="28"/>
        </w:rPr>
        <w:t>Smolyan</w:t>
      </w:r>
      <w:proofErr w:type="spellEnd"/>
      <w:r w:rsidRPr="008364C4">
        <w:rPr>
          <w:rFonts w:ascii="Times New Roman" w:hAnsi="Times New Roman"/>
          <w:sz w:val="28"/>
        </w:rPr>
        <w:t xml:space="preserve"> District Court;</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w:t>
      </w:r>
      <w:proofErr w:type="gramStart"/>
      <w:r w:rsidRPr="008364C4">
        <w:rPr>
          <w:rFonts w:ascii="Times New Roman" w:hAnsi="Times New Roman"/>
          <w:sz w:val="28"/>
        </w:rPr>
        <w:t>regional</w:t>
      </w:r>
      <w:proofErr w:type="gramEnd"/>
      <w:r w:rsidRPr="008364C4">
        <w:rPr>
          <w:rFonts w:ascii="Times New Roman" w:hAnsi="Times New Roman"/>
          <w:sz w:val="28"/>
        </w:rPr>
        <w:t xml:space="preserve"> and municipal administration (2 inspections) – Regional Administration – </w:t>
      </w:r>
      <w:proofErr w:type="spellStart"/>
      <w:r w:rsidRPr="008364C4">
        <w:rPr>
          <w:rFonts w:ascii="Times New Roman" w:hAnsi="Times New Roman"/>
          <w:sz w:val="28"/>
        </w:rPr>
        <w:t>Haskovo</w:t>
      </w:r>
      <w:proofErr w:type="spellEnd"/>
      <w:r w:rsidRPr="008364C4">
        <w:rPr>
          <w:rFonts w:ascii="Times New Roman" w:hAnsi="Times New Roman"/>
          <w:sz w:val="28"/>
        </w:rPr>
        <w:t xml:space="preserve"> Region and Municipal Administration – </w:t>
      </w:r>
      <w:proofErr w:type="spellStart"/>
      <w:r w:rsidRPr="008364C4">
        <w:rPr>
          <w:rFonts w:ascii="Times New Roman" w:hAnsi="Times New Roman"/>
          <w:sz w:val="28"/>
        </w:rPr>
        <w:t>Haskovo</w:t>
      </w:r>
      <w:proofErr w:type="spellEnd"/>
      <w:r w:rsidRPr="008364C4">
        <w:rPr>
          <w:rFonts w:ascii="Times New Roman" w:hAnsi="Times New Roman"/>
          <w:sz w:val="28"/>
        </w:rPr>
        <w:t>;</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lastRenderedPageBreak/>
        <w:t xml:space="preserve">– </w:t>
      </w:r>
      <w:proofErr w:type="gramStart"/>
      <w:r w:rsidRPr="008364C4">
        <w:rPr>
          <w:rFonts w:ascii="Times New Roman" w:hAnsi="Times New Roman"/>
          <w:sz w:val="28"/>
        </w:rPr>
        <w:t>education</w:t>
      </w:r>
      <w:proofErr w:type="gramEnd"/>
      <w:r w:rsidRPr="008364C4">
        <w:rPr>
          <w:rFonts w:ascii="Times New Roman" w:hAnsi="Times New Roman"/>
          <w:sz w:val="28"/>
        </w:rPr>
        <w:t xml:space="preserve"> (2 inspections) – European Polytechnic University, </w:t>
      </w:r>
      <w:proofErr w:type="spellStart"/>
      <w:r w:rsidRPr="008364C4">
        <w:rPr>
          <w:rFonts w:ascii="Times New Roman" w:hAnsi="Times New Roman"/>
          <w:sz w:val="28"/>
        </w:rPr>
        <w:t>Pernik</w:t>
      </w:r>
      <w:proofErr w:type="spellEnd"/>
      <w:r w:rsidRPr="008364C4">
        <w:rPr>
          <w:rFonts w:ascii="Times New Roman" w:hAnsi="Times New Roman"/>
          <w:sz w:val="28"/>
        </w:rPr>
        <w:t xml:space="preserve"> and Regional Inspectorate of Education – </w:t>
      </w:r>
      <w:proofErr w:type="spellStart"/>
      <w:r w:rsidRPr="008364C4">
        <w:rPr>
          <w:rFonts w:ascii="Times New Roman" w:hAnsi="Times New Roman"/>
          <w:sz w:val="28"/>
        </w:rPr>
        <w:t>Pernik</w:t>
      </w:r>
      <w:proofErr w:type="spellEnd"/>
      <w:r w:rsidRPr="008364C4">
        <w:rPr>
          <w:rFonts w:ascii="Times New Roman" w:hAnsi="Times New Roman"/>
          <w:sz w:val="28"/>
        </w:rPr>
        <w:t>;</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financial</w:t>
      </w:r>
      <w:proofErr w:type="gramEnd"/>
      <w:r w:rsidRPr="008364C4">
        <w:rPr>
          <w:rFonts w:ascii="Times New Roman" w:hAnsi="Times New Roman"/>
          <w:sz w:val="28"/>
        </w:rPr>
        <w:t xml:space="preserve"> sector (2 inspections) – DSK Bank EAD and TBI Leasing EAD;</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trade</w:t>
      </w:r>
      <w:proofErr w:type="gramEnd"/>
      <w:r w:rsidRPr="008364C4">
        <w:rPr>
          <w:rFonts w:ascii="Times New Roman" w:hAnsi="Times New Roman"/>
          <w:sz w:val="28"/>
        </w:rPr>
        <w:t xml:space="preserve"> and services (2 inspections) – Moto-</w:t>
      </w:r>
      <w:proofErr w:type="spellStart"/>
      <w:r w:rsidRPr="008364C4">
        <w:rPr>
          <w:rFonts w:ascii="Times New Roman" w:hAnsi="Times New Roman"/>
          <w:sz w:val="28"/>
        </w:rPr>
        <w:t>Pfohe</w:t>
      </w:r>
      <w:proofErr w:type="spellEnd"/>
      <w:r w:rsidRPr="008364C4">
        <w:rPr>
          <w:rFonts w:ascii="Times New Roman" w:hAnsi="Times New Roman"/>
          <w:sz w:val="28"/>
        </w:rPr>
        <w:t xml:space="preserve"> EOOD and K&amp;K Electronics EAD;</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insurance</w:t>
      </w:r>
      <w:proofErr w:type="gramEnd"/>
      <w:r w:rsidRPr="008364C4">
        <w:rPr>
          <w:rFonts w:ascii="Times New Roman" w:hAnsi="Times New Roman"/>
          <w:sz w:val="28"/>
        </w:rPr>
        <w:t xml:space="preserve"> (1 inspection) – Insurance Company Euro Ins AD and</w:t>
      </w:r>
    </w:p>
    <w:p w:rsidR="00ED0A33" w:rsidRPr="008364C4" w:rsidRDefault="00ED0A33" w:rsidP="00ED0A33">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pension</w:t>
      </w:r>
      <w:proofErr w:type="gramEnd"/>
      <w:r w:rsidRPr="008364C4">
        <w:rPr>
          <w:rFonts w:ascii="Times New Roman" w:hAnsi="Times New Roman"/>
          <w:sz w:val="28"/>
        </w:rPr>
        <w:t xml:space="preserve"> insurance (1 inspection) – ING Pension Insurance Company EAD.</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As a result of the completed scheduled inspection 20 statements of findings were drawn up and 13 compulsory instructions issued. 3 inspections of DCs are in the process of completion.</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At the beginning of 2013, 4 inspections schedules in 2012 were completed, involving </w:t>
      </w:r>
      <w:proofErr w:type="spellStart"/>
      <w:r w:rsidRPr="008364C4">
        <w:rPr>
          <w:rFonts w:ascii="Times New Roman" w:hAnsi="Times New Roman"/>
          <w:sz w:val="28"/>
        </w:rPr>
        <w:t>Rila</w:t>
      </w:r>
      <w:proofErr w:type="spellEnd"/>
      <w:r w:rsidRPr="008364C4">
        <w:rPr>
          <w:rFonts w:ascii="Times New Roman" w:hAnsi="Times New Roman"/>
          <w:sz w:val="28"/>
        </w:rPr>
        <w:t xml:space="preserve"> Tours 2001 OOD, Metro </w:t>
      </w:r>
      <w:proofErr w:type="spellStart"/>
      <w:r w:rsidRPr="008364C4">
        <w:rPr>
          <w:rFonts w:ascii="Times New Roman" w:hAnsi="Times New Roman"/>
          <w:sz w:val="28"/>
        </w:rPr>
        <w:t>Cash&amp;Carry</w:t>
      </w:r>
      <w:proofErr w:type="spellEnd"/>
      <w:r w:rsidRPr="008364C4">
        <w:rPr>
          <w:rFonts w:ascii="Times New Roman" w:hAnsi="Times New Roman"/>
          <w:sz w:val="28"/>
        </w:rPr>
        <w:t xml:space="preserve"> Bulgaria EOOD, Easy Asset Management AD and State Fund Agriculture. Compulsory instructions were issued on 3 of the inspections.</w:t>
      </w:r>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1.3. Ex-post inspections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third type of inspections refers to the inspections under Art. 12 (4) of LPPD, namely ex-post inspections carried out </w:t>
      </w:r>
      <w:r w:rsidR="009D7A1A">
        <w:rPr>
          <w:rFonts w:ascii="Times New Roman" w:hAnsi="Times New Roman"/>
          <w:sz w:val="28"/>
        </w:rPr>
        <w:t>on t</w:t>
      </w:r>
      <w:r w:rsidRPr="008364C4">
        <w:rPr>
          <w:rFonts w:ascii="Times New Roman" w:hAnsi="Times New Roman"/>
          <w:sz w:val="28"/>
        </w:rPr>
        <w:t>he application of CPDP’s decisions or compulsory instructions and at the Commission's initiative after receiving a signal.</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In 2013 a total of 44 ex-post inspections were carried out compared to 32 in 2012 (Fig. 6).</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As a result of these inspections, 3 compulsory instructions were issued, 14 statements for ascertaining administrative violations were drafted and 27 inspections did not establish any violations of LPPD.</w:t>
      </w:r>
    </w:p>
    <w:p w:rsidR="00ED0A33" w:rsidRPr="008364C4" w:rsidRDefault="00937E09" w:rsidP="00ED0A33">
      <w:pPr>
        <w:spacing w:after="0" w:line="360" w:lineRule="auto"/>
        <w:ind w:firstLine="284"/>
        <w:jc w:val="center"/>
        <w:rPr>
          <w:rFonts w:ascii="Times New Roman" w:hAnsi="Times New Roman"/>
          <w:sz w:val="28"/>
          <w:szCs w:val="28"/>
        </w:rPr>
      </w:pPr>
      <w:r>
        <w:rPr>
          <w:rFonts w:ascii="Times New Roman" w:hAnsi="Times New Roman"/>
          <w:b/>
          <w:noProof/>
          <w:sz w:val="28"/>
          <w:lang w:val="bg-BG" w:eastAsia="bg-BG" w:bidi="ar-SA"/>
        </w:rPr>
        <w:lastRenderedPageBreak/>
        <mc:AlternateContent>
          <mc:Choice Requires="wps">
            <w:drawing>
              <wp:anchor distT="0" distB="0" distL="114300" distR="114300" simplePos="0" relativeHeight="251666432" behindDoc="0" locked="0" layoutInCell="1" allowOverlap="1">
                <wp:simplePos x="0" y="0"/>
                <wp:positionH relativeFrom="column">
                  <wp:posOffset>3536950</wp:posOffset>
                </wp:positionH>
                <wp:positionV relativeFrom="paragraph">
                  <wp:posOffset>2547620</wp:posOffset>
                </wp:positionV>
                <wp:extent cx="1096645" cy="292735"/>
                <wp:effectExtent l="3175" t="4445"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CA040C" w:rsidRDefault="00740751" w:rsidP="00CA040C">
                            <w:pPr>
                              <w:rPr>
                                <w:lang w:val="en-US"/>
                              </w:rPr>
                            </w:pPr>
                            <w:r>
                              <w:rPr>
                                <w:lang w:val="en-US"/>
                              </w:rPr>
                              <w:t>Ex-post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78.5pt;margin-top:200.6pt;width:86.3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o6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" stroked="f">
                <v:textbox>
                  <w:txbxContent>
                    <w:p w:rsidR="00F21E3B" w:rsidRPr="00CA040C" w:rsidRDefault="00F21E3B" w:rsidP="00CA040C">
                      <w:pPr>
                        <w:rPr>
                          <w:lang w:val="en-US"/>
                        </w:rPr>
                      </w:pPr>
                      <w:r>
                        <w:rPr>
                          <w:lang w:val="en-US"/>
                        </w:rPr>
                        <w:t>Ex-post</w:t>
                      </w:r>
                    </w:p>
                  </w:txbxContent>
                </v:textbox>
              </v:shape>
            </w:pict>
          </mc:Fallback>
        </mc:AlternateContent>
      </w:r>
      <w:r>
        <w:rPr>
          <w:rFonts w:ascii="Times New Roman" w:hAnsi="Times New Roman"/>
          <w:b/>
          <w:noProof/>
          <w:sz w:val="28"/>
          <w:lang w:val="bg-BG" w:eastAsia="bg-BG" w:bidi="ar-SA"/>
        </w:rPr>
        <mc:AlternateContent>
          <mc:Choice Requires="wps">
            <w:drawing>
              <wp:anchor distT="0" distB="0" distL="114300" distR="114300" simplePos="0" relativeHeight="251665408" behindDoc="0" locked="0" layoutInCell="1" allowOverlap="1">
                <wp:simplePos x="0" y="0"/>
                <wp:positionH relativeFrom="column">
                  <wp:posOffset>2774950</wp:posOffset>
                </wp:positionH>
                <wp:positionV relativeFrom="paragraph">
                  <wp:posOffset>2547620</wp:posOffset>
                </wp:positionV>
                <wp:extent cx="591820" cy="292735"/>
                <wp:effectExtent l="3175" t="4445"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616C47" w:rsidRDefault="00740751" w:rsidP="00616C47">
                            <w:pPr>
                              <w:rPr>
                                <w:sz w:val="16"/>
                                <w:lang w:val="en-US"/>
                              </w:rPr>
                            </w:pPr>
                            <w:r w:rsidRPr="00616C47">
                              <w:rPr>
                                <w:sz w:val="16"/>
                                <w:lang w:val="en-US"/>
                              </w:rPr>
                              <w:t>On-going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18.5pt;margin-top:200.6pt;width:46.6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5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" stroked="f">
                <v:textbox>
                  <w:txbxContent>
                    <w:p w:rsidR="00F21E3B" w:rsidRPr="00616C47" w:rsidRDefault="00F21E3B" w:rsidP="00616C47">
                      <w:pPr>
                        <w:rPr>
                          <w:sz w:val="16"/>
                          <w:lang w:val="en-US"/>
                        </w:rPr>
                      </w:pPr>
                      <w:r w:rsidRPr="00616C47">
                        <w:rPr>
                          <w:sz w:val="16"/>
                          <w:lang w:val="en-US"/>
                        </w:rPr>
                        <w:t>On-going</w:t>
                      </w:r>
                    </w:p>
                  </w:txbxContent>
                </v:textbox>
              </v:shape>
            </w:pict>
          </mc:Fallback>
        </mc:AlternateContent>
      </w:r>
      <w:r>
        <w:rPr>
          <w:rFonts w:ascii="Times New Roman" w:hAnsi="Times New Roman"/>
          <w:noProof/>
          <w:sz w:val="28"/>
          <w:lang w:val="bg-BG" w:eastAsia="bg-BG" w:bidi="ar-SA"/>
        </w:rPr>
        <mc:AlternateContent>
          <mc:Choice Requires="wps">
            <w:drawing>
              <wp:anchor distT="0" distB="0" distL="114300" distR="114300" simplePos="0" relativeHeight="251664384" behindDoc="0" locked="0" layoutInCell="1" allowOverlap="1">
                <wp:simplePos x="0" y="0"/>
                <wp:positionH relativeFrom="column">
                  <wp:posOffset>1660525</wp:posOffset>
                </wp:positionH>
                <wp:positionV relativeFrom="paragraph">
                  <wp:posOffset>2547620</wp:posOffset>
                </wp:positionV>
                <wp:extent cx="839470" cy="292735"/>
                <wp:effectExtent l="3175" t="4445"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Default="00740751">
                            <w:r>
                              <w:t>Ex-ante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130.75pt;margin-top:200.6pt;width:66.1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R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" stroked="f">
                <v:textbox>
                  <w:txbxContent>
                    <w:p w:rsidR="00F21E3B" w:rsidRDefault="00F21E3B">
                      <w:r>
                        <w:t>Ex-ante</w:t>
                      </w:r>
                    </w:p>
                  </w:txbxContent>
                </v:textbox>
              </v:shape>
            </w:pict>
          </mc:Fallback>
        </mc:AlternateContent>
      </w:r>
      <w:r w:rsidR="00EE2462" w:rsidRPr="008364C4">
        <w:rPr>
          <w:rFonts w:ascii="Times New Roman" w:hAnsi="Times New Roman"/>
          <w:noProof/>
          <w:sz w:val="28"/>
          <w:szCs w:val="28"/>
          <w:lang w:val="bg-BG" w:eastAsia="bg-BG" w:bidi="ar-SA"/>
        </w:rPr>
        <w:drawing>
          <wp:inline distT="0" distB="0" distL="0" distR="0">
            <wp:extent cx="5429250" cy="28384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0A33" w:rsidRPr="008364C4" w:rsidRDefault="00ED0A33" w:rsidP="00ED0A33">
      <w:pPr>
        <w:spacing w:after="0" w:line="360" w:lineRule="auto"/>
        <w:ind w:firstLine="284"/>
        <w:jc w:val="center"/>
        <w:rPr>
          <w:rFonts w:ascii="Times New Roman" w:hAnsi="Times New Roman"/>
          <w:b/>
          <w:sz w:val="28"/>
          <w:szCs w:val="28"/>
        </w:rPr>
      </w:pPr>
      <w:proofErr w:type="gramStart"/>
      <w:r w:rsidRPr="008364C4">
        <w:rPr>
          <w:rFonts w:ascii="Times New Roman" w:hAnsi="Times New Roman"/>
          <w:b/>
          <w:sz w:val="28"/>
        </w:rPr>
        <w:t>Fig. 6.</w:t>
      </w:r>
      <w:proofErr w:type="gramEnd"/>
    </w:p>
    <w:p w:rsidR="00616C47" w:rsidRDefault="00616C47" w:rsidP="00ED0A33">
      <w:pPr>
        <w:spacing w:after="0" w:line="360" w:lineRule="auto"/>
        <w:ind w:firstLine="709"/>
        <w:jc w:val="both"/>
        <w:rPr>
          <w:rFonts w:ascii="Times New Roman" w:hAnsi="Times New Roman"/>
          <w:sz w:val="28"/>
        </w:rPr>
      </w:pPr>
    </w:p>
    <w:p w:rsidR="00616C47" w:rsidRDefault="00616C47" w:rsidP="009D7A1A">
      <w:pPr>
        <w:spacing w:after="0" w:line="360" w:lineRule="auto"/>
        <w:jc w:val="both"/>
        <w:rPr>
          <w:rFonts w:ascii="Times New Roman" w:hAnsi="Times New Roman"/>
          <w:sz w:val="28"/>
        </w:rPr>
      </w:pP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 differentiation by sectors was made in connection with the specific conditions in which p</w:t>
      </w:r>
      <w:r w:rsidR="00A26608">
        <w:rPr>
          <w:rFonts w:ascii="Times New Roman" w:hAnsi="Times New Roman"/>
          <w:sz w:val="28"/>
        </w:rPr>
        <w:t>ersonal data are processed. When</w:t>
      </w:r>
      <w:r w:rsidRPr="008364C4">
        <w:rPr>
          <w:rFonts w:ascii="Times New Roman" w:hAnsi="Times New Roman"/>
          <w:sz w:val="28"/>
        </w:rPr>
        <w:t xml:space="preserve"> performing its activity in 2013, the Commission carried out the following inspections by sectors:</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6417"/>
        <w:gridCol w:w="1397"/>
      </w:tblGrid>
      <w:tr w:rsidR="00ED0A33" w:rsidRPr="008364C4" w:rsidTr="00D848E3">
        <w:trPr>
          <w:trHeight w:val="255"/>
          <w:jc w:val="center"/>
        </w:trPr>
        <w:tc>
          <w:tcPr>
            <w:tcW w:w="511" w:type="dxa"/>
            <w:shd w:val="pct20" w:color="auto" w:fill="auto"/>
            <w:noWrap/>
            <w:vAlign w:val="center"/>
          </w:tcPr>
          <w:p w:rsidR="00ED0A33" w:rsidRPr="008364C4" w:rsidRDefault="00ED0A33" w:rsidP="00D848E3">
            <w:pPr>
              <w:spacing w:after="0" w:line="360" w:lineRule="auto"/>
              <w:jc w:val="center"/>
              <w:rPr>
                <w:rFonts w:ascii="Times New Roman" w:hAnsi="Times New Roman"/>
                <w:b/>
                <w:sz w:val="28"/>
                <w:szCs w:val="28"/>
              </w:rPr>
            </w:pPr>
            <w:r w:rsidRPr="008364C4">
              <w:rPr>
                <w:rFonts w:ascii="Times New Roman" w:hAnsi="Times New Roman"/>
                <w:b/>
                <w:sz w:val="28"/>
              </w:rPr>
              <w:t>No.</w:t>
            </w:r>
          </w:p>
        </w:tc>
        <w:tc>
          <w:tcPr>
            <w:tcW w:w="6417" w:type="dxa"/>
            <w:shd w:val="pct20" w:color="auto" w:fill="auto"/>
            <w:vAlign w:val="center"/>
          </w:tcPr>
          <w:p w:rsidR="00ED0A33" w:rsidRPr="008364C4" w:rsidRDefault="00ED0A33" w:rsidP="00D848E3">
            <w:pPr>
              <w:spacing w:after="0" w:line="360" w:lineRule="auto"/>
              <w:jc w:val="center"/>
              <w:rPr>
                <w:rFonts w:ascii="Times New Roman" w:hAnsi="Times New Roman"/>
                <w:b/>
                <w:sz w:val="28"/>
                <w:szCs w:val="28"/>
              </w:rPr>
            </w:pPr>
            <w:r w:rsidRPr="008364C4">
              <w:rPr>
                <w:rFonts w:ascii="Times New Roman" w:hAnsi="Times New Roman"/>
                <w:b/>
                <w:sz w:val="28"/>
              </w:rPr>
              <w:t>SECTOR</w:t>
            </w:r>
          </w:p>
        </w:tc>
        <w:tc>
          <w:tcPr>
            <w:tcW w:w="1397" w:type="dxa"/>
            <w:shd w:val="pct20" w:color="auto" w:fill="auto"/>
            <w:noWrap/>
            <w:vAlign w:val="center"/>
          </w:tcPr>
          <w:p w:rsidR="00ED0A33" w:rsidRPr="008364C4" w:rsidRDefault="00ED0A33" w:rsidP="00D848E3">
            <w:pPr>
              <w:spacing w:after="0" w:line="360" w:lineRule="auto"/>
              <w:jc w:val="center"/>
              <w:rPr>
                <w:rFonts w:ascii="Times New Roman" w:hAnsi="Times New Roman"/>
                <w:b/>
                <w:sz w:val="28"/>
                <w:szCs w:val="28"/>
              </w:rPr>
            </w:pPr>
            <w:r w:rsidRPr="008364C4">
              <w:rPr>
                <w:rFonts w:ascii="Times New Roman" w:hAnsi="Times New Roman"/>
                <w:b/>
                <w:sz w:val="28"/>
              </w:rPr>
              <w:t>NUMBER</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w:t>
            </w:r>
          </w:p>
        </w:tc>
        <w:tc>
          <w:tcPr>
            <w:tcW w:w="6417" w:type="dxa"/>
            <w:shd w:val="clear" w:color="auto" w:fill="auto"/>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Healthcare</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1,510</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Trade and services</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310</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3</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Education and training</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225</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4</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Legal and consultancy services</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136</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5</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Construction and architecture</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62</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6</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Tourism</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51</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7</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Social activities</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45</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8</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Production</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39</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9</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Non-profit organizations</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29</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9</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Transport</w:t>
            </w:r>
          </w:p>
        </w:tc>
        <w:tc>
          <w:tcPr>
            <w:tcW w:w="1397" w:type="dxa"/>
            <w:shd w:val="clear" w:color="auto" w:fill="auto"/>
            <w:noWrap/>
            <w:vAlign w:val="center"/>
          </w:tcPr>
          <w:p w:rsidR="00ED0A33" w:rsidRPr="008364C4" w:rsidDel="00CD09E1"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29</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10</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Insurance and social security</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25</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11</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 xml:space="preserve">Financial and accounting services </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21</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lastRenderedPageBreak/>
              <w:t>11</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Real estates</w:t>
            </w:r>
          </w:p>
        </w:tc>
        <w:tc>
          <w:tcPr>
            <w:tcW w:w="1397" w:type="dxa"/>
            <w:shd w:val="clear" w:color="auto" w:fill="auto"/>
            <w:noWrap/>
            <w:vAlign w:val="center"/>
          </w:tcPr>
          <w:p w:rsidR="00ED0A33" w:rsidRPr="008364C4" w:rsidDel="00CD09E1"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21</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12</w:t>
            </w:r>
          </w:p>
        </w:tc>
        <w:tc>
          <w:tcPr>
            <w:tcW w:w="6417" w:type="dxa"/>
            <w:shd w:val="clear" w:color="auto" w:fill="auto"/>
            <w:noWrap/>
            <w:vAlign w:val="center"/>
          </w:tcPr>
          <w:p w:rsidR="00ED0A33" w:rsidRPr="008364C4" w:rsidRDefault="00ED0A33" w:rsidP="00D848E3">
            <w:pPr>
              <w:spacing w:after="0" w:line="240" w:lineRule="auto"/>
              <w:jc w:val="both"/>
              <w:rPr>
                <w:rFonts w:ascii="Times New Roman" w:hAnsi="Times New Roman"/>
                <w:sz w:val="28"/>
                <w:szCs w:val="28"/>
              </w:rPr>
            </w:pPr>
            <w:r w:rsidRPr="008364C4">
              <w:rPr>
                <w:rFonts w:ascii="Times New Roman" w:hAnsi="Times New Roman"/>
                <w:sz w:val="28"/>
              </w:rPr>
              <w:t>Telecommunication and information technology and services</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20</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13</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Finance</w:t>
            </w:r>
          </w:p>
        </w:tc>
        <w:tc>
          <w:tcPr>
            <w:tcW w:w="1397" w:type="dxa"/>
            <w:shd w:val="clear" w:color="auto" w:fill="auto"/>
            <w:noWrap/>
            <w:vAlign w:val="center"/>
          </w:tcPr>
          <w:p w:rsidR="00ED0A33" w:rsidRPr="008364C4" w:rsidDel="00CD09E1"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19</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14</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Agriculture and forestry</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15</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15</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State administration</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13</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16</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Regional and municipal administration</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12</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16</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Advertising and marketing research</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12</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16</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Security services</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12</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17</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Political parties and organizations</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8</w:t>
            </w:r>
          </w:p>
        </w:tc>
      </w:tr>
      <w:tr w:rsidR="00ED0A33" w:rsidRPr="008364C4" w:rsidTr="00D848E3">
        <w:trPr>
          <w:trHeight w:val="255"/>
          <w:jc w:val="center"/>
        </w:trPr>
        <w:tc>
          <w:tcPr>
            <w:tcW w:w="511" w:type="dxa"/>
            <w:shd w:val="clear" w:color="auto" w:fill="auto"/>
            <w:noWrap/>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18</w:t>
            </w:r>
          </w:p>
        </w:tc>
        <w:tc>
          <w:tcPr>
            <w:tcW w:w="6417" w:type="dxa"/>
            <w:shd w:val="clear" w:color="auto" w:fill="auto"/>
            <w:noWrap/>
            <w:vAlign w:val="center"/>
          </w:tcPr>
          <w:p w:rsidR="00ED0A33" w:rsidRPr="008364C4" w:rsidRDefault="00ED0A33" w:rsidP="00D848E3">
            <w:pPr>
              <w:spacing w:after="0" w:line="360" w:lineRule="auto"/>
              <w:jc w:val="both"/>
              <w:rPr>
                <w:rFonts w:ascii="Times New Roman" w:hAnsi="Times New Roman"/>
                <w:sz w:val="28"/>
                <w:szCs w:val="28"/>
              </w:rPr>
            </w:pPr>
            <w:r w:rsidRPr="008364C4">
              <w:rPr>
                <w:rFonts w:ascii="Times New Roman" w:hAnsi="Times New Roman"/>
                <w:sz w:val="28"/>
              </w:rPr>
              <w:t>Other</w:t>
            </w:r>
          </w:p>
        </w:tc>
        <w:tc>
          <w:tcPr>
            <w:tcW w:w="1397" w:type="dxa"/>
            <w:shd w:val="clear" w:color="auto" w:fill="auto"/>
            <w:noWrap/>
            <w:vAlign w:val="center"/>
          </w:tcPr>
          <w:p w:rsidR="00ED0A33" w:rsidRPr="008364C4" w:rsidRDefault="00ED0A33" w:rsidP="00D848E3">
            <w:pPr>
              <w:spacing w:after="0" w:line="360" w:lineRule="auto"/>
              <w:jc w:val="center"/>
              <w:rPr>
                <w:rFonts w:ascii="Times New Roman" w:hAnsi="Times New Roman"/>
                <w:sz w:val="28"/>
                <w:szCs w:val="28"/>
              </w:rPr>
            </w:pPr>
            <w:r w:rsidRPr="008364C4">
              <w:rPr>
                <w:rFonts w:ascii="Times New Roman" w:hAnsi="Times New Roman"/>
                <w:sz w:val="28"/>
              </w:rPr>
              <w:t>82</w:t>
            </w:r>
          </w:p>
        </w:tc>
      </w:tr>
    </w:tbl>
    <w:p w:rsidR="00ED0A33" w:rsidRPr="008364C4" w:rsidRDefault="00ED0A33" w:rsidP="00ED0A33">
      <w:pPr>
        <w:spacing w:after="0" w:line="360" w:lineRule="auto"/>
        <w:ind w:firstLine="709"/>
        <w:jc w:val="both"/>
        <w:rPr>
          <w:rFonts w:ascii="Times New Roman" w:hAnsi="Times New Roman"/>
          <w:sz w:val="28"/>
          <w:szCs w:val="28"/>
        </w:rPr>
      </w:pP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attention was drawn on the inspections of DCs processing personal data relating to health, sexual life or human genome, revealing racial or ethnic origin; political, religious, philosophical, political opinion and membership in such organizations.</w:t>
      </w:r>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1.4. Handling of requests</w:t>
      </w:r>
    </w:p>
    <w:p w:rsidR="00ED0A33" w:rsidRPr="008364C4" w:rsidRDefault="00ED0A33" w:rsidP="00ED0A33">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t>Pursuant to Ar</w:t>
      </w:r>
      <w:r w:rsidR="00A26608">
        <w:rPr>
          <w:rFonts w:ascii="Times New Roman" w:hAnsi="Times New Roman"/>
          <w:sz w:val="28"/>
        </w:rPr>
        <w:t>t.</w:t>
      </w:r>
      <w:proofErr w:type="gramEnd"/>
      <w:r w:rsidR="00A26608">
        <w:rPr>
          <w:rFonts w:ascii="Times New Roman" w:hAnsi="Times New Roman"/>
          <w:sz w:val="28"/>
        </w:rPr>
        <w:t xml:space="preserve"> 36 (2) of RA</w:t>
      </w:r>
      <w:r w:rsidRPr="008364C4">
        <w:rPr>
          <w:rFonts w:ascii="Times New Roman" w:hAnsi="Times New Roman"/>
          <w:sz w:val="28"/>
        </w:rPr>
        <w:t xml:space="preserve">CPDPA when a request does not contain data of violated rights of the applicant, action can be taken under Art. </w:t>
      </w:r>
      <w:proofErr w:type="gramStart"/>
      <w:r w:rsidRPr="008364C4">
        <w:rPr>
          <w:rFonts w:ascii="Times New Roman" w:hAnsi="Times New Roman"/>
          <w:sz w:val="28"/>
        </w:rPr>
        <w:t>10 (1), (3), (5), and (6) and Art.</w:t>
      </w:r>
      <w:proofErr w:type="gramEnd"/>
      <w:r w:rsidRPr="008364C4">
        <w:rPr>
          <w:rFonts w:ascii="Times New Roman" w:hAnsi="Times New Roman"/>
          <w:sz w:val="28"/>
        </w:rPr>
        <w:t xml:space="preserve"> </w:t>
      </w:r>
      <w:proofErr w:type="gramStart"/>
      <w:r w:rsidRPr="008364C4">
        <w:rPr>
          <w:rFonts w:ascii="Times New Roman" w:hAnsi="Times New Roman"/>
          <w:sz w:val="28"/>
        </w:rPr>
        <w:t>43 of LPPD.</w:t>
      </w:r>
      <w:proofErr w:type="gramEnd"/>
      <w:r w:rsidRPr="008364C4">
        <w:rPr>
          <w:rFonts w:ascii="Times New Roman" w:hAnsi="Times New Roman"/>
          <w:sz w:val="28"/>
        </w:rPr>
        <w:t xml:space="preserve"> In 2013, the specialized control department considered 123 requests from individuals, including various inquiries on</w:t>
      </w:r>
      <w:r w:rsidR="00A26608">
        <w:rPr>
          <w:rFonts w:ascii="Times New Roman" w:hAnsi="Times New Roman"/>
          <w:sz w:val="28"/>
        </w:rPr>
        <w:t xml:space="preserve"> personal data </w:t>
      </w:r>
      <w:r w:rsidR="009D6AF1">
        <w:rPr>
          <w:rFonts w:ascii="Times New Roman" w:hAnsi="Times New Roman"/>
          <w:sz w:val="28"/>
        </w:rPr>
        <w:t>protection issues</w:t>
      </w:r>
      <w:r w:rsidRPr="008364C4">
        <w:rPr>
          <w:rFonts w:ascii="Times New Roman" w:hAnsi="Times New Roman"/>
          <w:sz w:val="28"/>
        </w:rPr>
        <w:t xml:space="preserve">, and on requests for access to public information under the Law on Access to Public Information (LAPI), resulting in the issuance of the respective draft decisions. </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There is a steady trend towards an increase of this type of applications, which in 2012 were 74.</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Most of the requests received by the CPDP concern rights violated under the LPPD in the following sectors: Internet (56), CCTV (16), public administration (12), trade and services (6), financial sector (5), etc. Significantly lower is the </w:t>
      </w:r>
      <w:r w:rsidRPr="008364C4">
        <w:rPr>
          <w:rFonts w:ascii="Times New Roman" w:hAnsi="Times New Roman"/>
          <w:sz w:val="28"/>
        </w:rPr>
        <w:lastRenderedPageBreak/>
        <w:t>number of requests in the sectors of district and municipal administration, education and training, healthcare, gambling, telecommunications, etc.</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In 2013, there is an increase in the signals sent by individuals for disclosure of their personal information without their consent, including their use for direct marketing, intrusion into their personal profiles in the social networks and/or e-mail addresses, as well as</w:t>
      </w:r>
      <w:r w:rsidR="00A26608">
        <w:rPr>
          <w:rFonts w:ascii="Times New Roman" w:hAnsi="Times New Roman"/>
          <w:sz w:val="28"/>
        </w:rPr>
        <w:t>, when using</w:t>
      </w:r>
      <w:r w:rsidRPr="008364C4">
        <w:rPr>
          <w:rFonts w:ascii="Times New Roman" w:hAnsi="Times New Roman"/>
          <w:sz w:val="28"/>
        </w:rPr>
        <w:t xml:space="preserve"> video surveillance.</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As a result of the consideration of the requests, 10 statements on ascertainment of administrative violations were drawn up and 7 requests were forwarded to other competent authorities. The relevant answers were sent to the senders.</w:t>
      </w:r>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2. Administrative penal activity</w:t>
      </w:r>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2.1. Compulsory instructions</w:t>
      </w:r>
    </w:p>
    <w:p w:rsidR="00ED0A33" w:rsidRPr="008364C4" w:rsidRDefault="00ED0A33" w:rsidP="00ED0A33">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t>Pursuant to Art.</w:t>
      </w:r>
      <w:proofErr w:type="gramEnd"/>
      <w:r w:rsidRPr="008364C4">
        <w:rPr>
          <w:rFonts w:ascii="Times New Roman" w:hAnsi="Times New Roman"/>
          <w:sz w:val="28"/>
        </w:rPr>
        <w:t xml:space="preserve"> </w:t>
      </w:r>
      <w:proofErr w:type="gramStart"/>
      <w:r w:rsidRPr="008364C4">
        <w:rPr>
          <w:rFonts w:ascii="Times New Roman" w:hAnsi="Times New Roman"/>
          <w:sz w:val="28"/>
        </w:rPr>
        <w:t>10 (1) (5) of LPPD and in connection with the implementation of the control activity under Art.</w:t>
      </w:r>
      <w:proofErr w:type="gramEnd"/>
      <w:r w:rsidRPr="008364C4">
        <w:rPr>
          <w:rFonts w:ascii="Times New Roman" w:hAnsi="Times New Roman"/>
          <w:sz w:val="28"/>
        </w:rPr>
        <w:t xml:space="preserve"> 12 (1) of LPPD, the Commission issues compulsory instructions (CI) to DCs regarding</w:t>
      </w:r>
      <w:r w:rsidR="00A26608">
        <w:rPr>
          <w:rFonts w:ascii="Times New Roman" w:hAnsi="Times New Roman"/>
          <w:sz w:val="28"/>
        </w:rPr>
        <w:t xml:space="preserve"> the personal data protection when processing data in accordance with </w:t>
      </w:r>
      <w:r w:rsidRPr="008364C4">
        <w:rPr>
          <w:rFonts w:ascii="Times New Roman" w:hAnsi="Times New Roman"/>
          <w:sz w:val="28"/>
        </w:rPr>
        <w:t>the relevant activity.</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These instructions aim at ensuring the adequate personal data protection level in the kept personal data registers by providing the required minimal technical and organizational means and protection measures pursuant to the LPPD and the Ordinance.</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CIs were issued to 26 DCs, compared to 16 for 2012. The most instructions were issued in the field of public administration, followed by the regional and municipal administration sector, the financial sector, and the sector of healthcare. The least instructions were issued in the </w:t>
      </w:r>
      <w:r w:rsidR="00A26608">
        <w:rPr>
          <w:rFonts w:ascii="Times New Roman" w:hAnsi="Times New Roman"/>
          <w:sz w:val="28"/>
        </w:rPr>
        <w:t xml:space="preserve">following </w:t>
      </w:r>
      <w:r w:rsidRPr="008364C4">
        <w:rPr>
          <w:rFonts w:ascii="Times New Roman" w:hAnsi="Times New Roman"/>
          <w:sz w:val="28"/>
        </w:rPr>
        <w:t>sectors: justice, education and training, information technology and services, and trade and services.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percentage of the CIs issued depending on the violation type is specified in the chart below (Fig. 10) 7).</w:t>
      </w:r>
    </w:p>
    <w:p w:rsidR="00ED0A33" w:rsidRPr="008364C4" w:rsidRDefault="00EE2462" w:rsidP="00ED0A33">
      <w:pPr>
        <w:spacing w:after="0" w:line="360" w:lineRule="auto"/>
        <w:jc w:val="center"/>
        <w:rPr>
          <w:rFonts w:ascii="Times New Roman" w:hAnsi="Times New Roman"/>
          <w:sz w:val="28"/>
          <w:szCs w:val="28"/>
        </w:rPr>
      </w:pPr>
      <w:r w:rsidRPr="008364C4">
        <w:rPr>
          <w:rFonts w:ascii="Times New Roman" w:hAnsi="Times New Roman"/>
          <w:noProof/>
          <w:sz w:val="28"/>
          <w:szCs w:val="28"/>
          <w:lang w:val="bg-BG" w:eastAsia="bg-BG" w:bidi="ar-SA"/>
        </w:rPr>
        <w:lastRenderedPageBreak/>
        <w:drawing>
          <wp:inline distT="0" distB="0" distL="0" distR="0">
            <wp:extent cx="5105400" cy="275272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A33" w:rsidRPr="008364C4" w:rsidRDefault="00ED0A33" w:rsidP="00ED0A33">
      <w:pPr>
        <w:spacing w:after="0" w:line="360" w:lineRule="auto"/>
        <w:jc w:val="center"/>
        <w:rPr>
          <w:rFonts w:ascii="Times New Roman" w:hAnsi="Times New Roman"/>
          <w:b/>
          <w:sz w:val="28"/>
          <w:szCs w:val="28"/>
        </w:rPr>
      </w:pPr>
      <w:r w:rsidRPr="008364C4">
        <w:rPr>
          <w:rFonts w:ascii="Times New Roman" w:hAnsi="Times New Roman"/>
          <w:b/>
          <w:sz w:val="28"/>
        </w:rPr>
        <w:t>Fig. 7</w:t>
      </w:r>
    </w:p>
    <w:p w:rsidR="00CD2169" w:rsidRDefault="00CD2169" w:rsidP="00ED0A33">
      <w:pPr>
        <w:spacing w:after="0" w:line="360" w:lineRule="auto"/>
        <w:ind w:firstLine="709"/>
        <w:jc w:val="both"/>
        <w:rPr>
          <w:rFonts w:ascii="Times New Roman" w:hAnsi="Times New Roman"/>
          <w:sz w:val="28"/>
        </w:rPr>
      </w:pP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Most often instructions are issued in relation to </w:t>
      </w:r>
      <w:proofErr w:type="spellStart"/>
      <w:r w:rsidRPr="008364C4">
        <w:rPr>
          <w:rFonts w:ascii="Times New Roman" w:hAnsi="Times New Roman"/>
          <w:sz w:val="28"/>
        </w:rPr>
        <w:t>ascertainments</w:t>
      </w:r>
      <w:proofErr w:type="spellEnd"/>
      <w:r w:rsidRPr="008364C4">
        <w:rPr>
          <w:rFonts w:ascii="Times New Roman" w:hAnsi="Times New Roman"/>
          <w:sz w:val="28"/>
        </w:rPr>
        <w:t xml:space="preserve"> concerning the processing of copies of the identity documents of individuals when entering into employment contract or upon holding public office. When concluding an employment contract, each employment is required to comply with the requirements of Art. 66 (1) of the Labour Code and Ordinance 4 dated 1993 on the documents required for the c</w:t>
      </w:r>
      <w:r w:rsidR="00A26608">
        <w:rPr>
          <w:rFonts w:ascii="Times New Roman" w:hAnsi="Times New Roman"/>
          <w:sz w:val="28"/>
        </w:rPr>
        <w:t>onclusion of employment contracts. Art. 1 of this O</w:t>
      </w:r>
      <w:r w:rsidRPr="008364C4">
        <w:rPr>
          <w:rFonts w:ascii="Times New Roman" w:hAnsi="Times New Roman"/>
          <w:sz w:val="28"/>
        </w:rPr>
        <w:t xml:space="preserve">rdinance does not provide for the submission of </w:t>
      </w:r>
      <w:r w:rsidR="00A26608">
        <w:rPr>
          <w:rFonts w:ascii="Times New Roman" w:hAnsi="Times New Roman"/>
          <w:sz w:val="28"/>
        </w:rPr>
        <w:t xml:space="preserve">an </w:t>
      </w:r>
      <w:r w:rsidRPr="008364C4">
        <w:rPr>
          <w:rFonts w:ascii="Times New Roman" w:hAnsi="Times New Roman"/>
          <w:sz w:val="28"/>
        </w:rPr>
        <w:t>identity document</w:t>
      </w:r>
      <w:r w:rsidR="00A26608">
        <w:rPr>
          <w:rFonts w:ascii="Times New Roman" w:hAnsi="Times New Roman"/>
          <w:sz w:val="28"/>
        </w:rPr>
        <w:t xml:space="preserve"> copy by</w:t>
      </w:r>
      <w:r w:rsidRPr="008364C4">
        <w:rPr>
          <w:rFonts w:ascii="Times New Roman" w:hAnsi="Times New Roman"/>
          <w:sz w:val="28"/>
        </w:rPr>
        <w:t xml:space="preserve"> the conclusion of the employment contract and therefore the requirement for the provision of such copies is without legal basis. Furthermore, such a requirement is not included in the provisions of Art. 2 of the Ordinance on the documents required to hold public office. Therefore, the processing of personal data by storing a copy of the individual's identity document in the individual's l</w:t>
      </w:r>
      <w:r w:rsidR="00A26608">
        <w:rPr>
          <w:rFonts w:ascii="Times New Roman" w:hAnsi="Times New Roman"/>
          <w:sz w:val="28"/>
        </w:rPr>
        <w:t xml:space="preserve">abour and official records when </w:t>
      </w:r>
      <w:r w:rsidRPr="008364C4">
        <w:rPr>
          <w:rFonts w:ascii="Times New Roman" w:hAnsi="Times New Roman"/>
          <w:sz w:val="28"/>
        </w:rPr>
        <w:t>concluding the employ</w:t>
      </w:r>
      <w:r w:rsidR="00A26608">
        <w:rPr>
          <w:rFonts w:ascii="Times New Roman" w:hAnsi="Times New Roman"/>
          <w:sz w:val="28"/>
        </w:rPr>
        <w:t xml:space="preserve">ment contract, respectively when the </w:t>
      </w:r>
      <w:r w:rsidRPr="008364C4">
        <w:rPr>
          <w:rFonts w:ascii="Times New Roman" w:hAnsi="Times New Roman"/>
          <w:sz w:val="28"/>
        </w:rPr>
        <w:t>employment relations</w:t>
      </w:r>
      <w:r w:rsidR="00A26608">
        <w:rPr>
          <w:rFonts w:ascii="Times New Roman" w:hAnsi="Times New Roman"/>
          <w:sz w:val="28"/>
        </w:rPr>
        <w:t xml:space="preserve"> are established</w:t>
      </w:r>
      <w:r w:rsidRPr="008364C4">
        <w:rPr>
          <w:rFonts w:ascii="Times New Roman" w:hAnsi="Times New Roman"/>
          <w:sz w:val="28"/>
        </w:rPr>
        <w:t>, is unlawful and in breach of the principle</w:t>
      </w:r>
      <w:r w:rsidR="00A26608">
        <w:rPr>
          <w:rFonts w:ascii="Times New Roman" w:hAnsi="Times New Roman"/>
          <w:sz w:val="28"/>
        </w:rPr>
        <w:t>,</w:t>
      </w:r>
      <w:r w:rsidRPr="008364C4">
        <w:rPr>
          <w:rFonts w:ascii="Times New Roman" w:hAnsi="Times New Roman"/>
          <w:sz w:val="28"/>
        </w:rPr>
        <w:t xml:space="preserve"> set out under Art. </w:t>
      </w:r>
      <w:proofErr w:type="gramStart"/>
      <w:r w:rsidRPr="008364C4">
        <w:rPr>
          <w:rFonts w:ascii="Times New Roman" w:hAnsi="Times New Roman"/>
          <w:sz w:val="28"/>
        </w:rPr>
        <w:t>2 (2) (1) of LPPD.</w:t>
      </w:r>
      <w:proofErr w:type="gramEnd"/>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instructions were issued in connection with the determination of specific measures to ensure the necessary </w:t>
      </w:r>
      <w:r w:rsidR="00A26608">
        <w:rPr>
          <w:rFonts w:ascii="Times New Roman" w:hAnsi="Times New Roman"/>
          <w:sz w:val="28"/>
        </w:rPr>
        <w:t xml:space="preserve">personal data protection </w:t>
      </w:r>
      <w:r w:rsidRPr="008364C4">
        <w:rPr>
          <w:rFonts w:ascii="Times New Roman" w:hAnsi="Times New Roman"/>
          <w:sz w:val="28"/>
        </w:rPr>
        <w:t xml:space="preserve">level. An important </w:t>
      </w:r>
      <w:r w:rsidRPr="008364C4">
        <w:rPr>
          <w:rFonts w:ascii="Times New Roman" w:hAnsi="Times New Roman"/>
          <w:sz w:val="28"/>
        </w:rPr>
        <w:lastRenderedPageBreak/>
        <w:t>point in the technical and organizational measures that should be undertaken by the DC is the obligation to determine time limits for data retaining.</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Other common violations were related to the violation of the provisions of Chapter Three of LPPD relating to the DC's obligations under Art. </w:t>
      </w:r>
      <w:proofErr w:type="gramStart"/>
      <w:r w:rsidRPr="008364C4">
        <w:rPr>
          <w:rFonts w:ascii="Times New Roman" w:hAnsi="Times New Roman"/>
          <w:sz w:val="28"/>
        </w:rPr>
        <w:t>17, Art.</w:t>
      </w:r>
      <w:proofErr w:type="gramEnd"/>
      <w:r w:rsidRPr="008364C4">
        <w:rPr>
          <w:rFonts w:ascii="Times New Roman" w:hAnsi="Times New Roman"/>
          <w:sz w:val="28"/>
        </w:rPr>
        <w:t xml:space="preserve"> </w:t>
      </w:r>
      <w:proofErr w:type="gramStart"/>
      <w:r w:rsidRPr="008364C4">
        <w:rPr>
          <w:rFonts w:ascii="Times New Roman" w:hAnsi="Times New Roman"/>
          <w:sz w:val="28"/>
        </w:rPr>
        <w:t>17b and Art.</w:t>
      </w:r>
      <w:proofErr w:type="gramEnd"/>
      <w:r w:rsidRPr="008364C4">
        <w:rPr>
          <w:rFonts w:ascii="Times New Roman" w:hAnsi="Times New Roman"/>
          <w:sz w:val="28"/>
        </w:rPr>
        <w:t xml:space="preserve"> </w:t>
      </w:r>
      <w:proofErr w:type="gramStart"/>
      <w:r w:rsidRPr="008364C4">
        <w:rPr>
          <w:rFonts w:ascii="Times New Roman" w:hAnsi="Times New Roman"/>
          <w:sz w:val="28"/>
        </w:rPr>
        <w:t>18 (3) to register and/or update the register under Art.</w:t>
      </w:r>
      <w:proofErr w:type="gramEnd"/>
      <w:r w:rsidRPr="008364C4">
        <w:rPr>
          <w:rFonts w:ascii="Times New Roman" w:hAnsi="Times New Roman"/>
          <w:sz w:val="28"/>
        </w:rPr>
        <w:t xml:space="preserve"> </w:t>
      </w:r>
      <w:proofErr w:type="gramStart"/>
      <w:r w:rsidRPr="008364C4">
        <w:rPr>
          <w:rFonts w:ascii="Times New Roman" w:hAnsi="Times New Roman"/>
          <w:sz w:val="28"/>
        </w:rPr>
        <w:t xml:space="preserve">10 (1) (2) of LPPD, and </w:t>
      </w:r>
      <w:r w:rsidR="009D6AF1">
        <w:rPr>
          <w:rFonts w:ascii="Times New Roman" w:hAnsi="Times New Roman"/>
          <w:sz w:val="28"/>
        </w:rPr>
        <w:t xml:space="preserve">to the </w:t>
      </w:r>
      <w:r w:rsidRPr="008364C4">
        <w:rPr>
          <w:rFonts w:ascii="Times New Roman" w:hAnsi="Times New Roman"/>
          <w:sz w:val="28"/>
        </w:rPr>
        <w:t>violation of the provisions of Art.</w:t>
      </w:r>
      <w:proofErr w:type="gramEnd"/>
      <w:r w:rsidRPr="008364C4">
        <w:rPr>
          <w:rFonts w:ascii="Times New Roman" w:hAnsi="Times New Roman"/>
          <w:sz w:val="28"/>
        </w:rPr>
        <w:t xml:space="preserve"> </w:t>
      </w:r>
      <w:proofErr w:type="gramStart"/>
      <w:r w:rsidRPr="008364C4">
        <w:rPr>
          <w:rFonts w:ascii="Times New Roman" w:hAnsi="Times New Roman"/>
          <w:sz w:val="28"/>
        </w:rPr>
        <w:t>19 of LPPD requiring the DC to inform the individuals on any processing of their personal data.</w:t>
      </w:r>
      <w:proofErr w:type="gramEnd"/>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Of the total number of 26 CIs issued – 13 were implemented within the deadlines specified by the Commission, 2 are subject to appeal and the rest are in the process of implementation.</w:t>
      </w:r>
    </w:p>
    <w:p w:rsidR="00E65989" w:rsidRPr="00937E09" w:rsidRDefault="00E65989" w:rsidP="00ED0A33">
      <w:pPr>
        <w:spacing w:after="0" w:line="360" w:lineRule="auto"/>
        <w:ind w:firstLine="709"/>
        <w:jc w:val="both"/>
        <w:rPr>
          <w:rFonts w:ascii="Times New Roman" w:hAnsi="Times New Roman"/>
          <w:b/>
          <w:color w:val="FF0000"/>
          <w:sz w:val="28"/>
          <w:szCs w:val="28"/>
        </w:rPr>
      </w:pPr>
    </w:p>
    <w:p w:rsidR="00ED0A33" w:rsidRPr="008364C4" w:rsidRDefault="00ED0A33" w:rsidP="00ED0A33">
      <w:pPr>
        <w:spacing w:after="0" w:line="360" w:lineRule="auto"/>
        <w:ind w:firstLine="709"/>
        <w:jc w:val="both"/>
        <w:rPr>
          <w:rFonts w:ascii="Times New Roman" w:hAnsi="Times New Roman"/>
          <w:b/>
          <w:sz w:val="28"/>
          <w:szCs w:val="28"/>
        </w:rPr>
      </w:pPr>
      <w:r w:rsidRPr="008364C4">
        <w:rPr>
          <w:rFonts w:ascii="Times New Roman" w:hAnsi="Times New Roman"/>
          <w:b/>
          <w:sz w:val="28"/>
        </w:rPr>
        <w:t>2.2. Administrative penal proceedings</w:t>
      </w:r>
    </w:p>
    <w:p w:rsidR="00ED0A33" w:rsidRPr="008364C4" w:rsidRDefault="00ED0A33" w:rsidP="00ED0A33">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t>According to t</w:t>
      </w:r>
      <w:r w:rsidR="009E75B0">
        <w:rPr>
          <w:rFonts w:ascii="Times New Roman" w:hAnsi="Times New Roman"/>
          <w:sz w:val="28"/>
        </w:rPr>
        <w:t>he provisions of Art.</w:t>
      </w:r>
      <w:proofErr w:type="gramEnd"/>
      <w:r w:rsidR="009E75B0">
        <w:rPr>
          <w:rFonts w:ascii="Times New Roman" w:hAnsi="Times New Roman"/>
          <w:sz w:val="28"/>
        </w:rPr>
        <w:t xml:space="preserve"> 43 of LPPD</w:t>
      </w:r>
      <w:r w:rsidRPr="008364C4">
        <w:rPr>
          <w:rFonts w:ascii="Times New Roman" w:hAnsi="Times New Roman"/>
          <w:sz w:val="28"/>
        </w:rPr>
        <w:t xml:space="preserve">, the ascertainment of violations, the issuance, appealing and execution of the penal decrees (PD) is </w:t>
      </w:r>
      <w:r w:rsidR="009E75B0">
        <w:rPr>
          <w:rFonts w:ascii="Times New Roman" w:hAnsi="Times New Roman"/>
          <w:sz w:val="28"/>
        </w:rPr>
        <w:t xml:space="preserve"> applied following </w:t>
      </w:r>
      <w:r w:rsidRPr="008364C4">
        <w:rPr>
          <w:rFonts w:ascii="Times New Roman" w:hAnsi="Times New Roman"/>
          <w:sz w:val="28"/>
        </w:rPr>
        <w:t>the procedure established under the Law on Administrative Violations and Penalties (LAVP).</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Statements for ascertaining administrative violations (SAAV) of LPPD’s instructions are drawn up by a Commission's member or by officials authorized by the institution according to the requirements of Art. </w:t>
      </w:r>
      <w:proofErr w:type="gramStart"/>
      <w:r w:rsidRPr="008364C4">
        <w:rPr>
          <w:rFonts w:ascii="Times New Roman" w:hAnsi="Times New Roman"/>
          <w:sz w:val="28"/>
        </w:rPr>
        <w:t>43 (1) of LPPD.</w:t>
      </w:r>
      <w:proofErr w:type="gramEnd"/>
      <w:r w:rsidRPr="008364C4">
        <w:rPr>
          <w:rFonts w:ascii="Times New Roman" w:hAnsi="Times New Roman"/>
          <w:sz w:val="28"/>
        </w:rPr>
        <w:t xml:space="preserve"> PDs are issued by the Chairperson of the Commission (Art. 43 (2) of LPPD).</w:t>
      </w:r>
    </w:p>
    <w:p w:rsidR="00ED0A33" w:rsidRPr="008364C4" w:rsidRDefault="009E75B0" w:rsidP="00ED0A33">
      <w:pPr>
        <w:spacing w:after="0" w:line="360" w:lineRule="auto"/>
        <w:ind w:firstLine="709"/>
        <w:jc w:val="both"/>
        <w:rPr>
          <w:rFonts w:ascii="Times New Roman" w:hAnsi="Times New Roman"/>
          <w:sz w:val="28"/>
          <w:szCs w:val="28"/>
        </w:rPr>
      </w:pPr>
      <w:proofErr w:type="gramStart"/>
      <w:r>
        <w:rPr>
          <w:rFonts w:ascii="Times New Roman" w:hAnsi="Times New Roman"/>
          <w:sz w:val="28"/>
        </w:rPr>
        <w:t xml:space="preserve">In 2013, in accordance with </w:t>
      </w:r>
      <w:r w:rsidR="00ED0A33" w:rsidRPr="008364C4">
        <w:rPr>
          <w:rFonts w:ascii="Times New Roman" w:hAnsi="Times New Roman"/>
          <w:sz w:val="28"/>
        </w:rPr>
        <w:t>the Commission's powers under Art.</w:t>
      </w:r>
      <w:proofErr w:type="gramEnd"/>
      <w:r w:rsidR="00ED0A33" w:rsidRPr="008364C4">
        <w:rPr>
          <w:rFonts w:ascii="Times New Roman" w:hAnsi="Times New Roman"/>
          <w:sz w:val="28"/>
        </w:rPr>
        <w:t xml:space="preserve"> 12 (1) and (8) of LPPD to exercise control on the compliance of the regulations in the field of personal data protection, 40 violations of different provisions of LPPD were ascertained resulting in drafting 30 SAAVs on the basis of which the Chairperson of CPDP issued 29 PDs. Compared to 2012, there is a decrease in the number of SAAV, but there is an increase of the issued compulsory instructions.</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most c</w:t>
      </w:r>
      <w:r w:rsidR="009E75B0">
        <w:rPr>
          <w:rFonts w:ascii="Times New Roman" w:hAnsi="Times New Roman"/>
          <w:sz w:val="28"/>
        </w:rPr>
        <w:t>ommon violation of LPPD concerned</w:t>
      </w:r>
      <w:r w:rsidRPr="008364C4">
        <w:rPr>
          <w:rFonts w:ascii="Times New Roman" w:hAnsi="Times New Roman"/>
          <w:sz w:val="28"/>
        </w:rPr>
        <w:t xml:space="preserve"> the failure to update the information submitted on the personal data registers kept by DCs. The violation involves processing of personal data by the data controller for the purposes of a </w:t>
      </w:r>
      <w:r w:rsidRPr="008364C4">
        <w:rPr>
          <w:rFonts w:ascii="Times New Roman" w:hAnsi="Times New Roman"/>
          <w:sz w:val="28"/>
        </w:rPr>
        <w:lastRenderedPageBreak/>
        <w:t xml:space="preserve">new register, not declared before CPDP and not entered in the register under Art. </w:t>
      </w:r>
      <w:proofErr w:type="gramStart"/>
      <w:r w:rsidRPr="008364C4">
        <w:rPr>
          <w:rFonts w:ascii="Times New Roman" w:hAnsi="Times New Roman"/>
          <w:sz w:val="28"/>
        </w:rPr>
        <w:t>10 (1) of LPPD.</w:t>
      </w:r>
      <w:proofErr w:type="gramEnd"/>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The secon</w:t>
      </w:r>
      <w:r w:rsidR="009E75B0">
        <w:rPr>
          <w:rFonts w:ascii="Times New Roman" w:hAnsi="Times New Roman"/>
          <w:sz w:val="28"/>
        </w:rPr>
        <w:t>d most common violation concerned</w:t>
      </w:r>
      <w:r w:rsidRPr="008364C4">
        <w:rPr>
          <w:rFonts w:ascii="Times New Roman" w:hAnsi="Times New Roman"/>
          <w:sz w:val="28"/>
        </w:rPr>
        <w:t xml:space="preserve"> the failure of the data controller to take the appropriate technical and organizational measures to protect the data against accidental or unlawful destruction or accidental loss, unauthorized access, modification or disclosure and against other unlawful forms of processing, which is a violation under Art. </w:t>
      </w:r>
      <w:proofErr w:type="gramStart"/>
      <w:r w:rsidRPr="008364C4">
        <w:rPr>
          <w:rFonts w:ascii="Times New Roman" w:hAnsi="Times New Roman"/>
          <w:sz w:val="28"/>
        </w:rPr>
        <w:t>23 (1) of LPPD.</w:t>
      </w:r>
      <w:proofErr w:type="gramEnd"/>
    </w:p>
    <w:p w:rsidR="00ED0A33" w:rsidRPr="008364C4" w:rsidRDefault="009E75B0" w:rsidP="00ED0A33">
      <w:pPr>
        <w:spacing w:after="0" w:line="360" w:lineRule="auto"/>
        <w:ind w:firstLine="709"/>
        <w:jc w:val="both"/>
        <w:rPr>
          <w:rFonts w:ascii="Times New Roman" w:hAnsi="Times New Roman"/>
          <w:sz w:val="28"/>
          <w:szCs w:val="28"/>
        </w:rPr>
      </w:pPr>
      <w:r>
        <w:rPr>
          <w:rFonts w:ascii="Times New Roman" w:hAnsi="Times New Roman"/>
          <w:sz w:val="28"/>
        </w:rPr>
        <w:t>Next was</w:t>
      </w:r>
      <w:r w:rsidR="00ED0A33" w:rsidRPr="008364C4">
        <w:rPr>
          <w:rFonts w:ascii="Times New Roman" w:hAnsi="Times New Roman"/>
          <w:sz w:val="28"/>
        </w:rPr>
        <w:t xml:space="preserve"> the failure of the data controller to carry out registration following the provisions of </w:t>
      </w:r>
      <w:proofErr w:type="gramStart"/>
      <w:r w:rsidR="00ED0A33" w:rsidRPr="008364C4">
        <w:rPr>
          <w:rFonts w:ascii="Times New Roman" w:hAnsi="Times New Roman"/>
          <w:sz w:val="28"/>
        </w:rPr>
        <w:t>Art.</w:t>
      </w:r>
      <w:proofErr w:type="gramEnd"/>
      <w:r w:rsidR="00ED0A33" w:rsidRPr="008364C4">
        <w:rPr>
          <w:rFonts w:ascii="Times New Roman" w:hAnsi="Times New Roman"/>
          <w:sz w:val="28"/>
        </w:rPr>
        <w:t xml:space="preserve"> </w:t>
      </w:r>
      <w:proofErr w:type="gramStart"/>
      <w:r w:rsidR="00ED0A33" w:rsidRPr="008364C4">
        <w:rPr>
          <w:rFonts w:ascii="Times New Roman" w:hAnsi="Times New Roman"/>
          <w:sz w:val="28"/>
        </w:rPr>
        <w:t>17 and Art.</w:t>
      </w:r>
      <w:proofErr w:type="gramEnd"/>
      <w:r w:rsidR="00ED0A33" w:rsidRPr="008364C4">
        <w:rPr>
          <w:rFonts w:ascii="Times New Roman" w:hAnsi="Times New Roman"/>
          <w:sz w:val="28"/>
        </w:rPr>
        <w:t xml:space="preserve"> </w:t>
      </w:r>
      <w:proofErr w:type="gramStart"/>
      <w:r w:rsidR="00ED0A33" w:rsidRPr="008364C4">
        <w:rPr>
          <w:rFonts w:ascii="Times New Roman" w:hAnsi="Times New Roman"/>
          <w:sz w:val="28"/>
        </w:rPr>
        <w:t>17b of LPPD.</w:t>
      </w:r>
      <w:proofErr w:type="gramEnd"/>
    </w:p>
    <w:p w:rsidR="00ED0A33" w:rsidRPr="008364C4" w:rsidRDefault="009E75B0" w:rsidP="00ED0A33">
      <w:pPr>
        <w:spacing w:after="0" w:line="360" w:lineRule="auto"/>
        <w:ind w:firstLine="709"/>
        <w:jc w:val="both"/>
        <w:rPr>
          <w:rFonts w:ascii="Times New Roman" w:hAnsi="Times New Roman"/>
          <w:sz w:val="28"/>
          <w:szCs w:val="28"/>
        </w:rPr>
      </w:pPr>
      <w:r>
        <w:rPr>
          <w:rFonts w:ascii="Times New Roman" w:hAnsi="Times New Roman"/>
          <w:sz w:val="28"/>
        </w:rPr>
        <w:t>Common violations were</w:t>
      </w:r>
      <w:r w:rsidR="00ED0A33" w:rsidRPr="008364C4">
        <w:rPr>
          <w:rFonts w:ascii="Times New Roman" w:hAnsi="Times New Roman"/>
          <w:sz w:val="28"/>
        </w:rPr>
        <w:t xml:space="preserve"> the violation of Art. </w:t>
      </w:r>
      <w:proofErr w:type="gramStart"/>
      <w:r w:rsidR="00ED0A33" w:rsidRPr="008364C4">
        <w:rPr>
          <w:rFonts w:ascii="Times New Roman" w:hAnsi="Times New Roman"/>
          <w:sz w:val="28"/>
        </w:rPr>
        <w:t>19 (1) of LPPD and Art.</w:t>
      </w:r>
      <w:proofErr w:type="gramEnd"/>
      <w:r w:rsidR="00ED0A33" w:rsidRPr="008364C4">
        <w:rPr>
          <w:rFonts w:ascii="Times New Roman" w:hAnsi="Times New Roman"/>
          <w:sz w:val="28"/>
        </w:rPr>
        <w:t xml:space="preserve"> 2 (2) (2) of LPPD, and respecti</w:t>
      </w:r>
      <w:r>
        <w:rPr>
          <w:rFonts w:ascii="Times New Roman" w:hAnsi="Times New Roman"/>
          <w:sz w:val="28"/>
        </w:rPr>
        <w:t>vely in the first case, DC failed</w:t>
      </w:r>
      <w:r w:rsidR="00ED0A33" w:rsidRPr="008364C4">
        <w:rPr>
          <w:rFonts w:ascii="Times New Roman" w:hAnsi="Times New Roman"/>
          <w:sz w:val="28"/>
        </w:rPr>
        <w:t xml:space="preserve"> to provide the individual whose data </w:t>
      </w:r>
      <w:r>
        <w:rPr>
          <w:rFonts w:ascii="Times New Roman" w:hAnsi="Times New Roman"/>
          <w:sz w:val="28"/>
        </w:rPr>
        <w:t xml:space="preserve">will be processed with </w:t>
      </w:r>
      <w:r w:rsidR="00ED0A33" w:rsidRPr="008364C4">
        <w:rPr>
          <w:rFonts w:ascii="Times New Roman" w:hAnsi="Times New Roman"/>
          <w:sz w:val="28"/>
        </w:rPr>
        <w:t>the necessary information on the purposes of processing and the recipients of the processed data, and in the second case, the processed data were not relevant to, related with and exceeded the purposes for which they are processed. 29 PD were issued, and 11 of them are based on statements issued at the end of 2012.</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Along with the PD issued in 2013, fines and property sanctions were imposed in the total amount of BGN 76,800, of which BGN 29,800 were paid.</w:t>
      </w:r>
    </w:p>
    <w:p w:rsidR="00ED0A33" w:rsidRPr="008364C4" w:rsidRDefault="00ED0A33" w:rsidP="00ED0A33">
      <w:pPr>
        <w:spacing w:after="0" w:line="360" w:lineRule="auto"/>
        <w:ind w:firstLine="709"/>
        <w:jc w:val="both"/>
        <w:rPr>
          <w:rFonts w:ascii="Times New Roman" w:hAnsi="Times New Roman"/>
          <w:sz w:val="28"/>
          <w:szCs w:val="28"/>
        </w:rPr>
      </w:pPr>
      <w:proofErr w:type="gramStart"/>
      <w:r w:rsidRPr="008364C4">
        <w:rPr>
          <w:rFonts w:ascii="Times New Roman" w:hAnsi="Times New Roman"/>
          <w:sz w:val="28"/>
        </w:rPr>
        <w:t>By a motivated resolutions of the Chairperson of CPDP pursuant to Art.</w:t>
      </w:r>
      <w:proofErr w:type="gramEnd"/>
      <w:r w:rsidRPr="008364C4">
        <w:rPr>
          <w:rFonts w:ascii="Times New Roman" w:hAnsi="Times New Roman"/>
          <w:sz w:val="28"/>
        </w:rPr>
        <w:t xml:space="preserve"> </w:t>
      </w:r>
      <w:proofErr w:type="gramStart"/>
      <w:r w:rsidRPr="008364C4">
        <w:rPr>
          <w:rFonts w:ascii="Times New Roman" w:hAnsi="Times New Roman"/>
          <w:sz w:val="28"/>
        </w:rPr>
        <w:t>34 (3) and Art.</w:t>
      </w:r>
      <w:proofErr w:type="gramEnd"/>
      <w:r w:rsidRPr="008364C4">
        <w:rPr>
          <w:rFonts w:ascii="Times New Roman" w:hAnsi="Times New Roman"/>
          <w:sz w:val="28"/>
        </w:rPr>
        <w:t xml:space="preserve"> 54 of LAVP</w:t>
      </w:r>
      <w:r w:rsidR="009E75B0">
        <w:rPr>
          <w:rFonts w:ascii="Times New Roman" w:hAnsi="Times New Roman"/>
          <w:sz w:val="28"/>
        </w:rPr>
        <w:t>,</w:t>
      </w:r>
      <w:r w:rsidRPr="008364C4">
        <w:rPr>
          <w:rFonts w:ascii="Times New Roman" w:hAnsi="Times New Roman"/>
          <w:sz w:val="28"/>
        </w:rPr>
        <w:t xml:space="preserve"> one administrative penal proceeding </w:t>
      </w:r>
      <w:r w:rsidR="009E75B0">
        <w:rPr>
          <w:rFonts w:ascii="Times New Roman" w:hAnsi="Times New Roman"/>
          <w:sz w:val="28"/>
        </w:rPr>
        <w:t xml:space="preserve">for two violations </w:t>
      </w:r>
      <w:r w:rsidRPr="008364C4">
        <w:rPr>
          <w:rFonts w:ascii="Times New Roman" w:hAnsi="Times New Roman"/>
          <w:sz w:val="28"/>
        </w:rPr>
        <w:t>was partially terminated. As a reason for termination, the administrative penal authority considered that there was not sufficient evidence that the DC to which SAAV was issued had committed that violation. PD was issued for the other violation. In 2013</w:t>
      </w:r>
      <w:r w:rsidR="009E75B0">
        <w:rPr>
          <w:rFonts w:ascii="Times New Roman" w:hAnsi="Times New Roman"/>
          <w:sz w:val="28"/>
        </w:rPr>
        <w:t>,</w:t>
      </w:r>
      <w:r w:rsidRPr="008364C4">
        <w:rPr>
          <w:rFonts w:ascii="Times New Roman" w:hAnsi="Times New Roman"/>
          <w:sz w:val="28"/>
        </w:rPr>
        <w:t xml:space="preserve"> similarly to 2012, the officials experienced difficulties to deliver the prepared SAAVs through the municipalities in the country according to the provisions of Art. </w:t>
      </w:r>
      <w:proofErr w:type="gramStart"/>
      <w:r w:rsidRPr="008364C4">
        <w:rPr>
          <w:rFonts w:ascii="Times New Roman" w:hAnsi="Times New Roman"/>
          <w:sz w:val="28"/>
        </w:rPr>
        <w:t>43 (4) of LAVP.</w:t>
      </w:r>
      <w:proofErr w:type="gramEnd"/>
      <w:r w:rsidRPr="008364C4">
        <w:rPr>
          <w:rFonts w:ascii="Times New Roman" w:hAnsi="Times New Roman"/>
          <w:sz w:val="28"/>
        </w:rPr>
        <w:t xml:space="preserve"> In some cases SAAVs were delivered to persons without representative power, in other cases no receipt was signed with which the DC certifies that it is informed of its right to submit objections to the statement within 3-day period, </w:t>
      </w:r>
      <w:r w:rsidRPr="009D6AF1">
        <w:rPr>
          <w:rFonts w:ascii="Times New Roman" w:hAnsi="Times New Roman"/>
          <w:sz w:val="28"/>
        </w:rPr>
        <w:t>which led to their</w:t>
      </w:r>
      <w:r w:rsidR="009E75B0" w:rsidRPr="009D6AF1">
        <w:rPr>
          <w:rFonts w:ascii="Times New Roman" w:hAnsi="Times New Roman"/>
          <w:sz w:val="28"/>
        </w:rPr>
        <w:t xml:space="preserve"> return for a new duly delivery</w:t>
      </w:r>
      <w:r w:rsidRPr="008364C4">
        <w:rPr>
          <w:rFonts w:ascii="Times New Roman" w:hAnsi="Times New Roman"/>
          <w:sz w:val="28"/>
        </w:rPr>
        <w:t>.</w:t>
      </w:r>
      <w:r w:rsidR="009E75B0">
        <w:rPr>
          <w:rFonts w:ascii="Times New Roman" w:hAnsi="Times New Roman"/>
          <w:sz w:val="28"/>
        </w:rPr>
        <w:t xml:space="preserve"> </w:t>
      </w:r>
      <w:r w:rsidR="009E75B0">
        <w:rPr>
          <w:rFonts w:ascii="Times New Roman" w:hAnsi="Times New Roman"/>
          <w:sz w:val="28"/>
        </w:rPr>
        <w:lastRenderedPageBreak/>
        <w:t>Although not established in practice, but in order to find and deliver the SAAVs and PDs,</w:t>
      </w:r>
      <w:r w:rsidR="009E75B0" w:rsidRPr="009E75B0">
        <w:rPr>
          <w:rFonts w:ascii="Times New Roman" w:hAnsi="Times New Roman"/>
          <w:sz w:val="28"/>
        </w:rPr>
        <w:t xml:space="preserve"> </w:t>
      </w:r>
      <w:r w:rsidR="009E75B0" w:rsidRPr="008364C4">
        <w:rPr>
          <w:rFonts w:ascii="Times New Roman" w:hAnsi="Times New Roman"/>
          <w:sz w:val="28"/>
        </w:rPr>
        <w:t>CPDP asked for and received assistance from the authorities of the Min</w:t>
      </w:r>
      <w:r w:rsidR="009E75B0">
        <w:rPr>
          <w:rFonts w:ascii="Times New Roman" w:hAnsi="Times New Roman"/>
          <w:sz w:val="28"/>
        </w:rPr>
        <w:t>istry of Interior.</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Of all PDs issued in 2013, no decree was revoked by the court, 1 was confirmed and the court ruled for reduction of the </w:t>
      </w:r>
      <w:r w:rsidR="009E75B0">
        <w:rPr>
          <w:rFonts w:ascii="Times New Roman" w:hAnsi="Times New Roman"/>
          <w:sz w:val="28"/>
        </w:rPr>
        <w:t>penalty amount</w:t>
      </w:r>
      <w:r w:rsidRPr="008364C4">
        <w:rPr>
          <w:rFonts w:ascii="Times New Roman" w:hAnsi="Times New Roman"/>
          <w:sz w:val="28"/>
        </w:rPr>
        <w:t>.</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Of all PDs issued in 2011 and 2012, which in 2013 were in the process of lawsuits, 3 were fully repealed, 12 were confirmed and on 6 of them </w:t>
      </w:r>
      <w:r w:rsidR="009E75B0">
        <w:rPr>
          <w:rFonts w:ascii="Times New Roman" w:hAnsi="Times New Roman"/>
          <w:sz w:val="28"/>
        </w:rPr>
        <w:t xml:space="preserve">the court ruled for reduction of </w:t>
      </w:r>
      <w:r w:rsidRPr="008364C4">
        <w:rPr>
          <w:rFonts w:ascii="Times New Roman" w:hAnsi="Times New Roman"/>
          <w:sz w:val="28"/>
        </w:rPr>
        <w:t>the</w:t>
      </w:r>
      <w:r w:rsidR="009E75B0">
        <w:rPr>
          <w:rFonts w:ascii="Times New Roman" w:hAnsi="Times New Roman"/>
          <w:sz w:val="28"/>
        </w:rPr>
        <w:t xml:space="preserve"> penalty amount</w:t>
      </w:r>
      <w:r w:rsidRPr="008364C4">
        <w:rPr>
          <w:rFonts w:ascii="Times New Roman" w:hAnsi="Times New Roman"/>
          <w:sz w:val="28"/>
        </w:rPr>
        <w:t>. Currently</w:t>
      </w:r>
      <w:r w:rsidR="00BE374D">
        <w:rPr>
          <w:rFonts w:ascii="Times New Roman" w:hAnsi="Times New Roman"/>
          <w:sz w:val="28"/>
        </w:rPr>
        <w:t>,</w:t>
      </w:r>
      <w:r w:rsidRPr="008364C4">
        <w:rPr>
          <w:rFonts w:ascii="Times New Roman" w:hAnsi="Times New Roman"/>
          <w:sz w:val="28"/>
        </w:rPr>
        <w:t xml:space="preserve"> 25 appealed PDs are subject to judicial review.</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5 PDs have entered into force in 2013 without being appealed.</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From the analysis of judicial practice on the amended PDs, it can be concluded that there is a trend showing that the courts in the country reduce to the minimum the amount of the imposed penalties for the respective violation, foreseen in LPPD. Most often, the reasons of the court when making the decisions to reduce the imposed property sanctions include “lack of aggravating circumstances”, such as first violation of the data controller, relevant evidences submitted after violation ascertainment, and “lack of harmful consequences of the act”.</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Repealing the decree</w:t>
      </w:r>
      <w:r w:rsidR="00BE374D">
        <w:rPr>
          <w:rFonts w:ascii="Times New Roman" w:hAnsi="Times New Roman"/>
          <w:sz w:val="28"/>
        </w:rPr>
        <w:t>s, the Court stated</w:t>
      </w:r>
      <w:r w:rsidRPr="008364C4">
        <w:rPr>
          <w:rFonts w:ascii="Times New Roman" w:hAnsi="Times New Roman"/>
          <w:sz w:val="28"/>
        </w:rPr>
        <w:t xml:space="preserve"> its reasons that the punitive body has violated material procedural rules, in particular it incorrectly stated the date of the offence, and therefore the Court considers this a violation of the right of defence. </w:t>
      </w:r>
      <w:proofErr w:type="gramStart"/>
      <w:r w:rsidRPr="008364C4">
        <w:rPr>
          <w:rFonts w:ascii="Times New Roman" w:hAnsi="Times New Roman"/>
          <w:sz w:val="28"/>
        </w:rPr>
        <w:t>(PD 15/2012, against Start 10 OOD, Plovdiv).</w:t>
      </w:r>
      <w:proofErr w:type="gramEnd"/>
      <w:r w:rsidRPr="008364C4">
        <w:rPr>
          <w:rFonts w:ascii="Times New Roman" w:hAnsi="Times New Roman"/>
          <w:sz w:val="28"/>
        </w:rPr>
        <w:t xml:space="preserve"> In</w:t>
      </w:r>
      <w:r w:rsidR="00BE374D">
        <w:rPr>
          <w:rFonts w:ascii="Times New Roman" w:hAnsi="Times New Roman"/>
          <w:sz w:val="28"/>
        </w:rPr>
        <w:t xml:space="preserve"> the other case, the court found</w:t>
      </w:r>
      <w:r w:rsidRPr="008364C4">
        <w:rPr>
          <w:rFonts w:ascii="Times New Roman" w:hAnsi="Times New Roman"/>
          <w:sz w:val="28"/>
        </w:rPr>
        <w:t xml:space="preserve"> that there is no corpus </w:t>
      </w:r>
      <w:proofErr w:type="spellStart"/>
      <w:r w:rsidRPr="008364C4">
        <w:rPr>
          <w:rFonts w:ascii="Times New Roman" w:hAnsi="Times New Roman"/>
          <w:sz w:val="28"/>
        </w:rPr>
        <w:t>delicti</w:t>
      </w:r>
      <w:proofErr w:type="spellEnd"/>
      <w:r w:rsidRPr="008364C4">
        <w:rPr>
          <w:rFonts w:ascii="Times New Roman" w:hAnsi="Times New Roman"/>
          <w:sz w:val="28"/>
        </w:rPr>
        <w:t xml:space="preserve"> for the issuance of PD (PD 40/2012, against </w:t>
      </w:r>
      <w:proofErr w:type="spellStart"/>
      <w:r w:rsidRPr="008364C4">
        <w:rPr>
          <w:rFonts w:ascii="Times New Roman" w:hAnsi="Times New Roman"/>
          <w:sz w:val="28"/>
        </w:rPr>
        <w:t>Yovkov&amp;Yovkov</w:t>
      </w:r>
      <w:proofErr w:type="spellEnd"/>
      <w:r w:rsidRPr="008364C4">
        <w:rPr>
          <w:rFonts w:ascii="Times New Roman" w:hAnsi="Times New Roman"/>
          <w:sz w:val="28"/>
        </w:rPr>
        <w:t xml:space="preserve"> OOD).</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the Commission's case law </w:t>
      </w:r>
      <w:r w:rsidR="00BE374D">
        <w:rPr>
          <w:rFonts w:ascii="Times New Roman" w:hAnsi="Times New Roman"/>
          <w:sz w:val="28"/>
        </w:rPr>
        <w:t>in 2013, the most significant was</w:t>
      </w:r>
      <w:r w:rsidRPr="008364C4">
        <w:rPr>
          <w:rFonts w:ascii="Times New Roman" w:hAnsi="Times New Roman"/>
          <w:sz w:val="28"/>
        </w:rPr>
        <w:t xml:space="preserve"> the case under PD 30/2011 against the political party "The Other Bulgaria", confirmed by Sofia District Court (SDC) by ruling for a </w:t>
      </w:r>
      <w:r w:rsidR="00BE374D">
        <w:rPr>
          <w:rFonts w:ascii="Times New Roman" w:hAnsi="Times New Roman"/>
          <w:sz w:val="28"/>
        </w:rPr>
        <w:t xml:space="preserve">penalty </w:t>
      </w:r>
      <w:r w:rsidRPr="008364C4">
        <w:rPr>
          <w:rFonts w:ascii="Times New Roman" w:hAnsi="Times New Roman"/>
          <w:sz w:val="28"/>
        </w:rPr>
        <w:t xml:space="preserve">reduction. The Administrative Court - Sofia upheld the judgement of SDC. The decree imposed property sanctions on the political party for two violations – under Art. </w:t>
      </w:r>
      <w:proofErr w:type="gramStart"/>
      <w:r w:rsidRPr="008364C4">
        <w:rPr>
          <w:rFonts w:ascii="Times New Roman" w:hAnsi="Times New Roman"/>
          <w:sz w:val="28"/>
        </w:rPr>
        <w:t xml:space="preserve">17 (1) of LPPD and </w:t>
      </w:r>
      <w:r w:rsidRPr="008364C4">
        <w:rPr>
          <w:rFonts w:ascii="Times New Roman" w:hAnsi="Times New Roman"/>
          <w:sz w:val="28"/>
        </w:rPr>
        <w:lastRenderedPageBreak/>
        <w:t>Art.</w:t>
      </w:r>
      <w:proofErr w:type="gramEnd"/>
      <w:r w:rsidRPr="008364C4">
        <w:rPr>
          <w:rFonts w:ascii="Times New Roman" w:hAnsi="Times New Roman"/>
          <w:sz w:val="28"/>
        </w:rPr>
        <w:t xml:space="preserve"> </w:t>
      </w:r>
      <w:proofErr w:type="gramStart"/>
      <w:r w:rsidRPr="008364C4">
        <w:rPr>
          <w:rFonts w:ascii="Times New Roman" w:hAnsi="Times New Roman"/>
          <w:sz w:val="28"/>
        </w:rPr>
        <w:t xml:space="preserve">18 (3) </w:t>
      </w:r>
      <w:r w:rsidR="00BE374D">
        <w:rPr>
          <w:rFonts w:ascii="Times New Roman" w:hAnsi="Times New Roman"/>
          <w:sz w:val="28"/>
        </w:rPr>
        <w:t>of LPPD.</w:t>
      </w:r>
      <w:proofErr w:type="gramEnd"/>
      <w:r w:rsidR="00BE374D">
        <w:rPr>
          <w:rFonts w:ascii="Times New Roman" w:hAnsi="Times New Roman"/>
          <w:sz w:val="28"/>
        </w:rPr>
        <w:t xml:space="preserve"> The violations concerned</w:t>
      </w:r>
      <w:r w:rsidRPr="008364C4">
        <w:rPr>
          <w:rFonts w:ascii="Times New Roman" w:hAnsi="Times New Roman"/>
          <w:sz w:val="28"/>
        </w:rPr>
        <w:t xml:space="preserve"> personal data processing – full name, personal number, e-mail address and location – of 702 individuals before the DC has submitted an a</w:t>
      </w:r>
      <w:r w:rsidR="00BE374D">
        <w:rPr>
          <w:rFonts w:ascii="Times New Roman" w:hAnsi="Times New Roman"/>
          <w:sz w:val="28"/>
        </w:rPr>
        <w:t>pplication for registration in</w:t>
      </w:r>
      <w:r w:rsidRPr="008364C4">
        <w:rPr>
          <w:rFonts w:ascii="Times New Roman" w:hAnsi="Times New Roman"/>
          <w:sz w:val="28"/>
        </w:rPr>
        <w:t xml:space="preserve"> CPDP, and by processing personal data of 2233 counted individuals for the purposes of a new registry without informing CPDP</w:t>
      </w:r>
      <w:r w:rsidR="00BE374D">
        <w:rPr>
          <w:rFonts w:ascii="Times New Roman" w:hAnsi="Times New Roman"/>
          <w:sz w:val="28"/>
        </w:rPr>
        <w:t xml:space="preserve"> about the</w:t>
      </w:r>
      <w:r w:rsidRPr="008364C4">
        <w:rPr>
          <w:rFonts w:ascii="Times New Roman" w:hAnsi="Times New Roman"/>
          <w:sz w:val="28"/>
        </w:rPr>
        <w:t xml:space="preserve"> change</w:t>
      </w:r>
      <w:r w:rsidR="00BE374D">
        <w:rPr>
          <w:rFonts w:ascii="Times New Roman" w:hAnsi="Times New Roman"/>
          <w:sz w:val="28"/>
        </w:rPr>
        <w:t xml:space="preserve"> in</w:t>
      </w:r>
      <w:r w:rsidRPr="008364C4">
        <w:rPr>
          <w:rFonts w:ascii="Times New Roman" w:hAnsi="Times New Roman"/>
          <w:sz w:val="28"/>
        </w:rPr>
        <w:t xml:space="preserve"> the data of the original </w:t>
      </w:r>
      <w:r w:rsidR="00BE374D">
        <w:rPr>
          <w:rFonts w:ascii="Times New Roman" w:hAnsi="Times New Roman"/>
          <w:sz w:val="28"/>
        </w:rPr>
        <w:t xml:space="preserve">registration </w:t>
      </w:r>
      <w:r w:rsidRPr="008364C4">
        <w:rPr>
          <w:rFonts w:ascii="Times New Roman" w:hAnsi="Times New Roman"/>
          <w:sz w:val="28"/>
        </w:rPr>
        <w:t xml:space="preserve">application. The aim of the political party "The Other </w:t>
      </w:r>
      <w:proofErr w:type="gramStart"/>
      <w:r w:rsidRPr="008364C4">
        <w:rPr>
          <w:rFonts w:ascii="Times New Roman" w:hAnsi="Times New Roman"/>
          <w:sz w:val="28"/>
        </w:rPr>
        <w:t>Bulgaria "</w:t>
      </w:r>
      <w:proofErr w:type="gramEnd"/>
      <w:r w:rsidRPr="008364C4">
        <w:rPr>
          <w:rFonts w:ascii="Times New Roman" w:hAnsi="Times New Roman"/>
          <w:sz w:val="28"/>
        </w:rPr>
        <w:t xml:space="preserve"> was to carry out a survey to count the Bulgarian citizens living outside the territory of Bulgaria.</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There is also a positive trend in the </w:t>
      </w:r>
      <w:r w:rsidR="009D6AF1" w:rsidRPr="009D6AF1">
        <w:rPr>
          <w:rFonts w:ascii="Times New Roman" w:hAnsi="Times New Roman"/>
          <w:sz w:val="28"/>
        </w:rPr>
        <w:t xml:space="preserve">case law with </w:t>
      </w:r>
      <w:r w:rsidRPr="009D6AF1">
        <w:rPr>
          <w:rFonts w:ascii="Times New Roman" w:hAnsi="Times New Roman"/>
          <w:sz w:val="28"/>
        </w:rPr>
        <w:t xml:space="preserve">the confirmation </w:t>
      </w:r>
      <w:r w:rsidRPr="008364C4">
        <w:rPr>
          <w:rFonts w:ascii="Times New Roman" w:hAnsi="Times New Roman"/>
          <w:sz w:val="28"/>
        </w:rPr>
        <w:t xml:space="preserve">of PDs issued against legal entities engaged in the hotel business, regarding their registration as controllers </w:t>
      </w:r>
      <w:r w:rsidR="00BE374D">
        <w:rPr>
          <w:rFonts w:ascii="Times New Roman" w:hAnsi="Times New Roman"/>
          <w:sz w:val="28"/>
        </w:rPr>
        <w:t xml:space="preserve">in </w:t>
      </w:r>
      <w:proofErr w:type="spellStart"/>
      <w:r w:rsidRPr="008364C4">
        <w:rPr>
          <w:rFonts w:ascii="Times New Roman" w:hAnsi="Times New Roman"/>
          <w:sz w:val="28"/>
        </w:rPr>
        <w:t>he</w:t>
      </w:r>
      <w:proofErr w:type="spellEnd"/>
      <w:r w:rsidRPr="008364C4">
        <w:rPr>
          <w:rFonts w:ascii="Times New Roman" w:hAnsi="Times New Roman"/>
          <w:sz w:val="28"/>
        </w:rPr>
        <w:t xml:space="preserve"> register under Art. 10 (1) (2) of LPPD prior to the processing of personal data of an unlimited number of individuals, updating information before making changes in the data of already registered data controllers (Art. 18 (3) of LPPD) or failure to take the required minimal technical and organizational measures to protect personal data with the rules implemented by personal data controllers (Art. 23 (4) in conjunction with (1) of LPPD). </w:t>
      </w:r>
    </w:p>
    <w:p w:rsidR="00ED0A33" w:rsidRPr="008364C4" w:rsidRDefault="00ED0A33" w:rsidP="00ED0A33">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statistical data mentioned indicates increase in the performance of the administrative penal activity </w:t>
      </w:r>
      <w:r w:rsidR="00BE374D">
        <w:rPr>
          <w:rFonts w:ascii="Times New Roman" w:hAnsi="Times New Roman"/>
          <w:sz w:val="28"/>
        </w:rPr>
        <w:t xml:space="preserve">with regard to its </w:t>
      </w:r>
      <w:r w:rsidRPr="008364C4">
        <w:rPr>
          <w:rFonts w:ascii="Times New Roman" w:hAnsi="Times New Roman"/>
          <w:sz w:val="28"/>
        </w:rPr>
        <w:t>efficiency and legality. All judgements and particularly their grounds were analysed in depth, in order to be legitimately implemented in the control activity and most of all for removal of weaknesses and gaps admitted in the activity on ascertainment of violations of LPPD and their recording in ac</w:t>
      </w:r>
      <w:r w:rsidR="00BE374D">
        <w:rPr>
          <w:rFonts w:ascii="Times New Roman" w:hAnsi="Times New Roman"/>
          <w:sz w:val="28"/>
        </w:rPr>
        <w:t xml:space="preserve">cordance with the provisions of </w:t>
      </w:r>
      <w:r w:rsidRPr="008364C4">
        <w:rPr>
          <w:rFonts w:ascii="Times New Roman" w:hAnsi="Times New Roman"/>
          <w:sz w:val="28"/>
        </w:rPr>
        <w:t>LAVP. As a result, there is a persistent tendency to maintain a relatively low percentage of PD repealed by the court.</w:t>
      </w:r>
    </w:p>
    <w:p w:rsidR="00507B5F" w:rsidRPr="008364C4" w:rsidRDefault="00A07E8F" w:rsidP="003D726B">
      <w:pPr>
        <w:pStyle w:val="Heading1"/>
      </w:pPr>
      <w:r w:rsidRPr="008364C4">
        <w:br w:type="page"/>
      </w:r>
      <w:bookmarkStart w:id="14" w:name="_Toc380595212"/>
      <w:bookmarkStart w:id="15" w:name="_Toc380740748"/>
      <w:proofErr w:type="gramStart"/>
      <w:r w:rsidRPr="008364C4">
        <w:lastRenderedPageBreak/>
        <w:t>VIІІ.</w:t>
      </w:r>
      <w:proofErr w:type="gramEnd"/>
      <w:r w:rsidRPr="008364C4">
        <w:t xml:space="preserve"> Proceedings on expressing opinio</w:t>
      </w:r>
      <w:r w:rsidR="00BA1ABD">
        <w:t>ns and authorization to transfer</w:t>
      </w:r>
      <w:r w:rsidRPr="008364C4">
        <w:t xml:space="preserve"> data to third countries</w:t>
      </w:r>
      <w:bookmarkEnd w:id="14"/>
      <w:bookmarkEnd w:id="15"/>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2013, CPDP ruled on 79 requests for opinions filed by individuals and legal entities.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summary, the issues on which the Commission has expressed opinions can be grouped in several directions:</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numPr>
          <w:ilvl w:val="0"/>
          <w:numId w:val="25"/>
        </w:numPr>
        <w:tabs>
          <w:tab w:val="left" w:pos="993"/>
        </w:tabs>
        <w:spacing w:after="0" w:line="360" w:lineRule="auto"/>
        <w:ind w:left="0" w:firstLine="709"/>
        <w:jc w:val="both"/>
        <w:rPr>
          <w:rFonts w:ascii="Times New Roman" w:hAnsi="Times New Roman"/>
          <w:b/>
          <w:sz w:val="28"/>
          <w:szCs w:val="28"/>
        </w:rPr>
      </w:pPr>
      <w:r w:rsidRPr="008364C4">
        <w:rPr>
          <w:rFonts w:ascii="Times New Roman" w:hAnsi="Times New Roman"/>
          <w:b/>
          <w:sz w:val="28"/>
        </w:rPr>
        <w:t>Access to the National Population Database (NPD)</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CPDP was again approached with requests for authorization </w:t>
      </w:r>
      <w:r w:rsidR="00BA1ABD">
        <w:rPr>
          <w:rFonts w:ascii="Times New Roman" w:hAnsi="Times New Roman"/>
          <w:sz w:val="28"/>
        </w:rPr>
        <w:t xml:space="preserve">of </w:t>
      </w:r>
      <w:r w:rsidRPr="008364C4">
        <w:rPr>
          <w:rFonts w:ascii="Times New Roman" w:hAnsi="Times New Roman"/>
          <w:sz w:val="28"/>
        </w:rPr>
        <w:t xml:space="preserve">access to the National Population Database, maintained by Directorate General “Civil Registration and Administrative Services" (DG CRAS) at the Ministry of Regional Development and Public Works (MRDPW), on the grounds of Art. </w:t>
      </w:r>
      <w:proofErr w:type="gramStart"/>
      <w:r w:rsidRPr="008364C4">
        <w:rPr>
          <w:rFonts w:ascii="Times New Roman" w:hAnsi="Times New Roman"/>
          <w:sz w:val="28"/>
        </w:rPr>
        <w:t>106 (1) (3) of the Law on Civil Registration (LCR).</w:t>
      </w:r>
      <w:proofErr w:type="gramEnd"/>
      <w:r w:rsidRPr="008364C4">
        <w:rPr>
          <w:rFonts w:ascii="Times New Roman" w:hAnsi="Times New Roman"/>
          <w:sz w:val="28"/>
        </w:rPr>
        <w:t xml:space="preserve"> The opinions stated by the Commission on the requests in question confirmed the constant practice according to which MRDPW - DG CRAS can provide information, i.e. personal data (not direct</w:t>
      </w:r>
      <w:r w:rsidR="00BA1ABD">
        <w:rPr>
          <w:rFonts w:ascii="Times New Roman" w:hAnsi="Times New Roman"/>
          <w:sz w:val="28"/>
        </w:rPr>
        <w:t xml:space="preserve"> access) on the ground of </w:t>
      </w:r>
      <w:r w:rsidRPr="008364C4">
        <w:rPr>
          <w:rFonts w:ascii="Times New Roman" w:hAnsi="Times New Roman"/>
          <w:sz w:val="28"/>
        </w:rPr>
        <w:t>the legitimate interest of applicants and after such legitimate interest is proven by appropriate legal means.</w:t>
      </w:r>
    </w:p>
    <w:p w:rsidR="00507B5F" w:rsidRPr="008364C4" w:rsidRDefault="00BA1ABD" w:rsidP="00507B5F">
      <w:pPr>
        <w:spacing w:after="0" w:line="360" w:lineRule="auto"/>
        <w:ind w:firstLine="709"/>
        <w:jc w:val="both"/>
        <w:rPr>
          <w:rFonts w:ascii="Times New Roman" w:hAnsi="Times New Roman"/>
          <w:sz w:val="28"/>
          <w:szCs w:val="28"/>
        </w:rPr>
      </w:pPr>
      <w:r>
        <w:rPr>
          <w:rFonts w:ascii="Times New Roman" w:hAnsi="Times New Roman"/>
          <w:sz w:val="28"/>
        </w:rPr>
        <w:t>For example, such requests were</w:t>
      </w:r>
      <w:r w:rsidR="00507B5F" w:rsidRPr="008364C4">
        <w:rPr>
          <w:rFonts w:ascii="Times New Roman" w:hAnsi="Times New Roman"/>
          <w:sz w:val="28"/>
        </w:rPr>
        <w:t xml:space="preserve"> filed by private companies with subject of business "credit activity" in accordance with the provisions of the Law on Consumer Loans. The requests by the above companies for direct access to NPD are reasoned with the credit activity performed by them and the related obligations for customers’ identification under the Law on Measures against Money Laundering. The opinion of CP</w:t>
      </w:r>
      <w:r>
        <w:rPr>
          <w:rFonts w:ascii="Times New Roman" w:hAnsi="Times New Roman"/>
          <w:sz w:val="28"/>
        </w:rPr>
        <w:t>DP on the individual requests was</w:t>
      </w:r>
      <w:r w:rsidR="00507B5F" w:rsidRPr="008364C4">
        <w:rPr>
          <w:rFonts w:ascii="Times New Roman" w:hAnsi="Times New Roman"/>
          <w:sz w:val="28"/>
        </w:rPr>
        <w:t xml:space="preserve"> that the data should be provided by MRDPW - DG CRAS in the form of specific information rather than direct access to the National Population Database.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Some of the requests indicate</w:t>
      </w:r>
      <w:r w:rsidR="00BA1ABD">
        <w:rPr>
          <w:rFonts w:ascii="Times New Roman" w:hAnsi="Times New Roman"/>
          <w:sz w:val="28"/>
        </w:rPr>
        <w:t>d</w:t>
      </w:r>
      <w:r w:rsidRPr="008364C4">
        <w:rPr>
          <w:rFonts w:ascii="Times New Roman" w:hAnsi="Times New Roman"/>
          <w:sz w:val="28"/>
        </w:rPr>
        <w:t xml:space="preserve"> that the companies acquire for valuable consideration the receivable of bank and non-bank financial institutions by entering into contracts for the sale and transfer of receiva</w:t>
      </w:r>
      <w:r w:rsidR="00D00ACB">
        <w:rPr>
          <w:rFonts w:ascii="Times New Roman" w:hAnsi="Times New Roman"/>
          <w:sz w:val="28"/>
        </w:rPr>
        <w:t>bles under which they obtain</w:t>
      </w:r>
      <w:r w:rsidRPr="008364C4">
        <w:rPr>
          <w:rFonts w:ascii="Times New Roman" w:hAnsi="Times New Roman"/>
          <w:sz w:val="28"/>
        </w:rPr>
        <w:t xml:space="preserve"> the rights of creditors for the liable persons (cession agreements). In </w:t>
      </w:r>
      <w:r w:rsidRPr="008364C4">
        <w:rPr>
          <w:rFonts w:ascii="Times New Roman" w:hAnsi="Times New Roman"/>
          <w:sz w:val="28"/>
        </w:rPr>
        <w:lastRenderedPageBreak/>
        <w:t>connection with collection of receivables, subject of the cession agreements, the companies need</w:t>
      </w:r>
      <w:r w:rsidR="00D00ACB">
        <w:rPr>
          <w:rFonts w:ascii="Times New Roman" w:hAnsi="Times New Roman"/>
          <w:sz w:val="28"/>
        </w:rPr>
        <w:t>ed</w:t>
      </w:r>
      <w:r w:rsidRPr="008364C4">
        <w:rPr>
          <w:rFonts w:ascii="Times New Roman" w:hAnsi="Times New Roman"/>
          <w:sz w:val="28"/>
        </w:rPr>
        <w:t xml:space="preserve"> to make inquiries about the civil status of the debtors who are natural persons, in particular inquiries about their permanent and current address. The representatives of the aforementioned companies approach</w:t>
      </w:r>
      <w:r w:rsidR="00D00ACB">
        <w:rPr>
          <w:rFonts w:ascii="Times New Roman" w:hAnsi="Times New Roman"/>
          <w:sz w:val="28"/>
        </w:rPr>
        <w:t>ed</w:t>
      </w:r>
      <w:r w:rsidRPr="008364C4">
        <w:rPr>
          <w:rFonts w:ascii="Times New Roman" w:hAnsi="Times New Roman"/>
          <w:sz w:val="28"/>
        </w:rPr>
        <w:t xml:space="preserve"> the Commission in accordance with the provisions of Art. 106 (1) (3) of LCR with the request to be authorized to have access to the data kept in National Population Database, maintained by DG CRAS at the Ministry of Regional Development and Public Works.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these particular cases the Commission expressed opinion, that there was no legal obstacle</w:t>
      </w:r>
      <w:r w:rsidR="00D00ACB">
        <w:rPr>
          <w:rFonts w:ascii="Times New Roman" w:hAnsi="Times New Roman"/>
          <w:sz w:val="28"/>
        </w:rPr>
        <w:t xml:space="preserve"> such information to be provided </w:t>
      </w:r>
      <w:r w:rsidRPr="008364C4">
        <w:rPr>
          <w:rFonts w:ascii="Times New Roman" w:hAnsi="Times New Roman"/>
          <w:sz w:val="28"/>
        </w:rPr>
        <w:t xml:space="preserve">upon the request by the companies for debt collection and </w:t>
      </w:r>
      <w:r w:rsidR="00D00ACB">
        <w:rPr>
          <w:rFonts w:ascii="Times New Roman" w:hAnsi="Times New Roman"/>
          <w:sz w:val="28"/>
        </w:rPr>
        <w:t xml:space="preserve">after </w:t>
      </w:r>
      <w:r w:rsidRPr="008364C4">
        <w:rPr>
          <w:rFonts w:ascii="Times New Roman" w:hAnsi="Times New Roman"/>
          <w:sz w:val="28"/>
        </w:rPr>
        <w:t xml:space="preserve">justifying their right </w:t>
      </w:r>
      <w:r w:rsidR="00D00ACB">
        <w:rPr>
          <w:rFonts w:ascii="Times New Roman" w:hAnsi="Times New Roman"/>
          <w:sz w:val="28"/>
        </w:rPr>
        <w:t>by the MRDPW and the</w:t>
      </w:r>
      <w:r w:rsidRPr="008364C4">
        <w:rPr>
          <w:rFonts w:ascii="Times New Roman" w:hAnsi="Times New Roman"/>
          <w:sz w:val="28"/>
        </w:rPr>
        <w:t xml:space="preserve"> DG CRAS to submit information, i.e. personal data (not direct access) for the exercise of their legitimate interest. The LCR text suggests that the data controller (MRDPW - DG CRAS) should </w:t>
      </w:r>
      <w:r w:rsidR="00D00ACB">
        <w:rPr>
          <w:rFonts w:ascii="Times New Roman" w:hAnsi="Times New Roman"/>
          <w:sz w:val="28"/>
        </w:rPr>
        <w:t>assess the statutory requirements, on the basis of</w:t>
      </w:r>
      <w:r w:rsidRPr="008364C4">
        <w:rPr>
          <w:rFonts w:ascii="Times New Roman" w:hAnsi="Times New Roman"/>
          <w:sz w:val="28"/>
        </w:rPr>
        <w:t xml:space="preserve"> which it may provide personal data such as: cession agreement (for cases where the transfer of debts is carried out by cession), confirmation for concluded cessions pursuant to Art. 99 (3) of the Law on Obligations and Contracts, contracts with individuals, which include the consent of the individual that the </w:t>
      </w:r>
      <w:proofErr w:type="spellStart"/>
      <w:r w:rsidRPr="008364C4">
        <w:rPr>
          <w:rFonts w:ascii="Times New Roman" w:hAnsi="Times New Roman"/>
          <w:sz w:val="28"/>
        </w:rPr>
        <w:t>cedant</w:t>
      </w:r>
      <w:proofErr w:type="spellEnd"/>
      <w:r w:rsidRPr="008364C4">
        <w:rPr>
          <w:rFonts w:ascii="Times New Roman" w:hAnsi="Times New Roman"/>
          <w:sz w:val="28"/>
        </w:rPr>
        <w:t xml:space="preserve"> as a data controller may require and receive personal data from information databases of other data controllers, etc.</w:t>
      </w:r>
    </w:p>
    <w:p w:rsidR="00507B5F" w:rsidRPr="008364C4" w:rsidRDefault="00507B5F" w:rsidP="00507B5F">
      <w:pPr>
        <w:spacing w:after="0" w:line="360" w:lineRule="auto"/>
        <w:ind w:firstLine="709"/>
        <w:jc w:val="both"/>
        <w:rPr>
          <w:rFonts w:ascii="Times New Roman" w:hAnsi="Times New Roman"/>
          <w:b/>
          <w:sz w:val="28"/>
          <w:szCs w:val="28"/>
        </w:rPr>
      </w:pPr>
    </w:p>
    <w:p w:rsidR="00507B5F" w:rsidRPr="008364C4" w:rsidRDefault="00507B5F" w:rsidP="00507B5F">
      <w:pPr>
        <w:numPr>
          <w:ilvl w:val="0"/>
          <w:numId w:val="25"/>
        </w:numPr>
        <w:tabs>
          <w:tab w:val="left" w:pos="993"/>
        </w:tabs>
        <w:spacing w:after="0" w:line="360" w:lineRule="auto"/>
        <w:jc w:val="both"/>
        <w:rPr>
          <w:rFonts w:ascii="Times New Roman" w:hAnsi="Times New Roman"/>
          <w:b/>
          <w:sz w:val="28"/>
          <w:szCs w:val="28"/>
        </w:rPr>
      </w:pPr>
      <w:r w:rsidRPr="008364C4">
        <w:rPr>
          <w:rFonts w:ascii="Times New Roman" w:hAnsi="Times New Roman"/>
          <w:b/>
          <w:sz w:val="28"/>
        </w:rPr>
        <w:t>Third party access to personal data</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As in previous years, in 2013</w:t>
      </w:r>
      <w:r w:rsidR="00D00ACB">
        <w:rPr>
          <w:rFonts w:ascii="Times New Roman" w:hAnsi="Times New Roman"/>
          <w:sz w:val="28"/>
        </w:rPr>
        <w:t>,</w:t>
      </w:r>
      <w:r w:rsidRPr="008364C4">
        <w:rPr>
          <w:rFonts w:ascii="Times New Roman" w:hAnsi="Times New Roman"/>
          <w:sz w:val="28"/>
        </w:rPr>
        <w:t xml:space="preserve"> the proceedings carried out in the Commission handled issues related to the operation of companies with business activity involving extrajudicial actions to collect valid and due receivables (excluding enforcement by governmental or private bailiffs), the so called "collectors companies".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Furthermore, the issue related to companies with business activity involving collection of receivables should be supplemented with the request of a company </w:t>
      </w:r>
      <w:r w:rsidRPr="008364C4">
        <w:rPr>
          <w:rFonts w:ascii="Times New Roman" w:hAnsi="Times New Roman"/>
          <w:sz w:val="28"/>
        </w:rPr>
        <w:lastRenderedPageBreak/>
        <w:t xml:space="preserve">with the aforementioned business activity, filed in 2013, informing that the company enters into contracts to provide services on collection of receivables as a </w:t>
      </w:r>
      <w:r w:rsidRPr="001551C5">
        <w:rPr>
          <w:rFonts w:ascii="Times New Roman" w:hAnsi="Times New Roman"/>
          <w:sz w:val="28"/>
        </w:rPr>
        <w:t>Contractor and undertakes contractual obligations to the Contracting Authorities (banks and non-bank financial institutions, businesses, service providers, etc.) to con</w:t>
      </w:r>
      <w:r w:rsidR="001551C5" w:rsidRPr="001551C5">
        <w:rPr>
          <w:rFonts w:ascii="Times New Roman" w:hAnsi="Times New Roman"/>
          <w:sz w:val="28"/>
        </w:rPr>
        <w:t>duct extrajudicial activities on</w:t>
      </w:r>
      <w:r w:rsidRPr="001551C5">
        <w:rPr>
          <w:rFonts w:ascii="Times New Roman" w:hAnsi="Times New Roman"/>
          <w:sz w:val="28"/>
        </w:rPr>
        <w:t xml:space="preserve"> collecting valid and due receivable of the Contracting Authorities to third parties – their debtors. </w:t>
      </w:r>
      <w:r w:rsidRPr="008364C4">
        <w:rPr>
          <w:rFonts w:ascii="Times New Roman" w:hAnsi="Times New Roman"/>
          <w:sz w:val="28"/>
        </w:rPr>
        <w:t xml:space="preserve">In this case there </w:t>
      </w:r>
      <w:r w:rsidR="009D6AF1" w:rsidRPr="008364C4">
        <w:rPr>
          <w:rFonts w:ascii="Times New Roman" w:hAnsi="Times New Roman"/>
          <w:sz w:val="28"/>
        </w:rPr>
        <w:t>are no actions</w:t>
      </w:r>
      <w:r w:rsidRPr="008364C4">
        <w:rPr>
          <w:rFonts w:ascii="Times New Roman" w:hAnsi="Times New Roman"/>
          <w:sz w:val="28"/>
        </w:rPr>
        <w:t xml:space="preserve"> of transfer of receivables – cession. The Contractor – collection company – acts as a "data processor" on behalf of data controllers (the individual Contracting Authorities), whereas in accordance with Art. 24 (4) of LPPD the relations between the data collectors and the collection company, as data processor, are governed by a written contract for provision of services for collection of receivables.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When processing personal data of debtors of the Contracting Authorities provided by the Contracting Authorities – customers to the Contractor – </w:t>
      </w:r>
      <w:proofErr w:type="gramStart"/>
      <w:r w:rsidRPr="008364C4">
        <w:rPr>
          <w:rFonts w:ascii="Times New Roman" w:hAnsi="Times New Roman"/>
          <w:sz w:val="28"/>
        </w:rPr>
        <w:t>collection company</w:t>
      </w:r>
      <w:proofErr w:type="gramEnd"/>
      <w:r w:rsidRPr="008364C4">
        <w:rPr>
          <w:rFonts w:ascii="Times New Roman" w:hAnsi="Times New Roman"/>
          <w:sz w:val="28"/>
        </w:rPr>
        <w:t>, the latter contacts the debtors (by written correspondence or telephone calls). In some cases, the debtors voluntarily provide the data processor with additional data, including contact telephone numbers, current addresses for correspondence. In connection with the foregoing, the collection company approached the Commission for an opinion concerning the following issue: Is it admissible that the voluntary provided personal data (current telephone numbers and addresses for correspondence) by debtors of the Contracting Authorities-customers of the Data Processor-collection company, which have become known to that the Data Processor in connection with the implementation of Contracts for provision of services for the collection of receivables, may be provided to the relevant Contracting Authority-customer of the company.</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opinion of CPDP on this issue is that the collection company, as personal data processor, is allowed to provide the customers of the company in their capacity of data controllers with personal data of debtors - individuals (current telephone numbers and addresses for access) only if the Contracts for </w:t>
      </w:r>
      <w:r w:rsidRPr="008364C4">
        <w:rPr>
          <w:rFonts w:ascii="Times New Roman" w:hAnsi="Times New Roman"/>
          <w:sz w:val="28"/>
        </w:rPr>
        <w:lastRenderedPageBreak/>
        <w:t xml:space="preserve">provision of services for the collection of receivables include an obligation of the Data Processor for the purposes of </w:t>
      </w:r>
      <w:proofErr w:type="spellStart"/>
      <w:r w:rsidR="00D00ACB">
        <w:rPr>
          <w:rFonts w:ascii="Times New Roman" w:hAnsi="Times New Roman"/>
          <w:sz w:val="28"/>
        </w:rPr>
        <w:t>carring</w:t>
      </w:r>
      <w:proofErr w:type="spellEnd"/>
      <w:r w:rsidR="00D00ACB">
        <w:rPr>
          <w:rFonts w:ascii="Times New Roman" w:hAnsi="Times New Roman"/>
          <w:sz w:val="28"/>
        </w:rPr>
        <w:t xml:space="preserve"> out </w:t>
      </w:r>
      <w:r w:rsidRPr="008364C4">
        <w:rPr>
          <w:rFonts w:ascii="Times New Roman" w:hAnsi="Times New Roman"/>
          <w:sz w:val="28"/>
        </w:rPr>
        <w:t>the contract</w:t>
      </w:r>
      <w:r w:rsidR="00D00ACB">
        <w:rPr>
          <w:rFonts w:ascii="Times New Roman" w:hAnsi="Times New Roman"/>
          <w:sz w:val="28"/>
        </w:rPr>
        <w:t>,</w:t>
      </w:r>
      <w:r w:rsidRPr="008364C4">
        <w:rPr>
          <w:rFonts w:ascii="Times New Roman" w:hAnsi="Times New Roman"/>
          <w:sz w:val="28"/>
        </w:rPr>
        <w:t xml:space="preserve"> to perform actions regarding the update of the processed personal data. This will be done </w:t>
      </w:r>
      <w:r w:rsidR="00D00ACB">
        <w:rPr>
          <w:rFonts w:ascii="Times New Roman" w:hAnsi="Times New Roman"/>
          <w:sz w:val="28"/>
        </w:rPr>
        <w:t xml:space="preserve">following </w:t>
      </w:r>
      <w:r w:rsidRPr="008364C4">
        <w:rPr>
          <w:rFonts w:ascii="Times New Roman" w:hAnsi="Times New Roman"/>
          <w:sz w:val="28"/>
        </w:rPr>
        <w:t xml:space="preserve">the obligation of the data controllers-customers of the collection company under Art. </w:t>
      </w:r>
      <w:proofErr w:type="gramStart"/>
      <w:r w:rsidRPr="008364C4">
        <w:rPr>
          <w:rFonts w:ascii="Times New Roman" w:hAnsi="Times New Roman"/>
          <w:sz w:val="28"/>
        </w:rPr>
        <w:t>2 (2) (4) of LPPD to maintain accurate and updated data.</w:t>
      </w:r>
      <w:proofErr w:type="gramEnd"/>
      <w:r w:rsidRPr="008364C4">
        <w:rPr>
          <w:rFonts w:ascii="Times New Roman" w:hAnsi="Times New Roman"/>
          <w:sz w:val="28"/>
        </w:rPr>
        <w:t xml:space="preserve"> In case that the Contracts for provision of services for the collection of receivables do not include the obligation for the Data Processor to update the data, then the Data Processor may provide the collected additional personal data only after obtaining the express and informed consent of the affected individuals. In this case the collection company is an independent data controller with the ensuing obligations for lawful, proportionate, conscient</w:t>
      </w:r>
      <w:r w:rsidR="008C1E35">
        <w:rPr>
          <w:rFonts w:ascii="Times New Roman" w:hAnsi="Times New Roman"/>
          <w:sz w:val="28"/>
        </w:rPr>
        <w:t xml:space="preserve">ious and accurate </w:t>
      </w:r>
      <w:r w:rsidRPr="008364C4">
        <w:rPr>
          <w:rFonts w:ascii="Times New Roman" w:hAnsi="Times New Roman"/>
          <w:sz w:val="28"/>
        </w:rPr>
        <w:t>personal data</w:t>
      </w:r>
      <w:r w:rsidR="008C1E35">
        <w:rPr>
          <w:rFonts w:ascii="Times New Roman" w:hAnsi="Times New Roman"/>
          <w:sz w:val="28"/>
        </w:rPr>
        <w:t xml:space="preserve"> processing</w:t>
      </w:r>
      <w:r w:rsidRPr="008364C4">
        <w:rPr>
          <w:rFonts w:ascii="Times New Roman" w:hAnsi="Times New Roman"/>
          <w:sz w:val="28"/>
        </w:rPr>
        <w:t>.</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Another interesting issue </w:t>
      </w:r>
      <w:r w:rsidR="001B2316">
        <w:rPr>
          <w:rFonts w:ascii="Times New Roman" w:hAnsi="Times New Roman"/>
          <w:sz w:val="28"/>
        </w:rPr>
        <w:t xml:space="preserve">about </w:t>
      </w:r>
      <w:r w:rsidRPr="008364C4">
        <w:rPr>
          <w:rFonts w:ascii="Times New Roman" w:hAnsi="Times New Roman"/>
          <w:sz w:val="28"/>
        </w:rPr>
        <w:t>the provision of loans to individuals, on which CPDP delive</w:t>
      </w:r>
      <w:r w:rsidR="001B2316">
        <w:rPr>
          <w:rFonts w:ascii="Times New Roman" w:hAnsi="Times New Roman"/>
          <w:sz w:val="28"/>
        </w:rPr>
        <w:t>red an opinion in 2013, was</w:t>
      </w:r>
      <w:r w:rsidRPr="008364C4">
        <w:rPr>
          <w:rFonts w:ascii="Times New Roman" w:hAnsi="Times New Roman"/>
          <w:sz w:val="28"/>
        </w:rPr>
        <w:t xml:space="preserve"> the request filed by the manager of the National Social Security Institute (NSSI), which reported that NSSI received inquiries on the lawful application of Art. </w:t>
      </w:r>
      <w:proofErr w:type="gramStart"/>
      <w:r w:rsidRPr="008364C4">
        <w:rPr>
          <w:rFonts w:ascii="Times New Roman" w:hAnsi="Times New Roman"/>
          <w:sz w:val="28"/>
        </w:rPr>
        <w:t xml:space="preserve">25 of LPPD </w:t>
      </w:r>
      <w:r w:rsidRPr="001551C5">
        <w:rPr>
          <w:rFonts w:ascii="Times New Roman" w:hAnsi="Times New Roman"/>
          <w:sz w:val="28"/>
        </w:rPr>
        <w:t xml:space="preserve">in assumption </w:t>
      </w:r>
      <w:r w:rsidRPr="008364C4">
        <w:rPr>
          <w:rFonts w:ascii="Times New Roman" w:hAnsi="Times New Roman"/>
          <w:sz w:val="28"/>
        </w:rPr>
        <w:t>of destruction of data after achieving the purpose of processing.</w:t>
      </w:r>
      <w:proofErr w:type="gramEnd"/>
      <w:r w:rsidRPr="008364C4">
        <w:rPr>
          <w:rFonts w:ascii="Times New Roman" w:hAnsi="Times New Roman"/>
          <w:sz w:val="28"/>
        </w:rPr>
        <w:t xml:space="preserve"> The </w:t>
      </w:r>
      <w:proofErr w:type="spellStart"/>
      <w:r w:rsidRPr="008364C4">
        <w:rPr>
          <w:rFonts w:ascii="Times New Roman" w:hAnsi="Times New Roman"/>
          <w:sz w:val="28"/>
        </w:rPr>
        <w:t>inquires</w:t>
      </w:r>
      <w:proofErr w:type="spellEnd"/>
      <w:r w:rsidRPr="008364C4">
        <w:rPr>
          <w:rFonts w:ascii="Times New Roman" w:hAnsi="Times New Roman"/>
          <w:sz w:val="28"/>
        </w:rPr>
        <w:t xml:space="preserve"> are related with the conclusion of contracts by NSSI pursuant to article 33 (5) (11) of the Code of Social Security (CSS) on the provision of information to financial institutions in connection with the financial services provided by those institutions (loans, leasing, etc.).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contracts include</w:t>
      </w:r>
      <w:r w:rsidR="001B2316">
        <w:rPr>
          <w:rFonts w:ascii="Times New Roman" w:hAnsi="Times New Roman"/>
          <w:sz w:val="28"/>
        </w:rPr>
        <w:t>d</w:t>
      </w:r>
      <w:r w:rsidRPr="008364C4">
        <w:rPr>
          <w:rFonts w:ascii="Times New Roman" w:hAnsi="Times New Roman"/>
          <w:sz w:val="28"/>
        </w:rPr>
        <w:t xml:space="preserve"> specific clauses requiring that the data controller receiving the data under Art. 4 (1) (2) of LPPD should receive the consent of the inspected person before receiving the respective data. The Manager of NSSI informed that the institute carried out periodic inspections aimed to verify and ensure that the counterparties observe their contractual obligations. The right of inspection is stipulated in the contracts.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connection with the above, the counterparties of NSSI, in order to meet their contractual obligations and upon the inspections of the NSSI to ensure the availability of the required </w:t>
      </w:r>
      <w:r w:rsidR="001551C5" w:rsidRPr="008364C4">
        <w:rPr>
          <w:rFonts w:ascii="Times New Roman" w:hAnsi="Times New Roman"/>
          <w:sz w:val="28"/>
        </w:rPr>
        <w:t>consent</w:t>
      </w:r>
      <w:r w:rsidRPr="008364C4">
        <w:rPr>
          <w:rFonts w:ascii="Times New Roman" w:hAnsi="Times New Roman"/>
          <w:sz w:val="28"/>
        </w:rPr>
        <w:t xml:space="preserve"> sent an inquiry regarding the application of Art. </w:t>
      </w:r>
      <w:proofErr w:type="gramStart"/>
      <w:r w:rsidRPr="008364C4">
        <w:rPr>
          <w:rFonts w:ascii="Times New Roman" w:hAnsi="Times New Roman"/>
          <w:sz w:val="28"/>
        </w:rPr>
        <w:lastRenderedPageBreak/>
        <w:t>25 of LPPD and in particular the obligation that the processed data should be destroyed after achieving the purpose of pro</w:t>
      </w:r>
      <w:r w:rsidR="001B2316">
        <w:rPr>
          <w:rFonts w:ascii="Times New Roman" w:hAnsi="Times New Roman"/>
          <w:sz w:val="28"/>
        </w:rPr>
        <w:t>cessing.</w:t>
      </w:r>
      <w:proofErr w:type="gramEnd"/>
      <w:r w:rsidR="001B2316">
        <w:rPr>
          <w:rFonts w:ascii="Times New Roman" w:hAnsi="Times New Roman"/>
          <w:sz w:val="28"/>
        </w:rPr>
        <w:t xml:space="preserve"> The specific problem was</w:t>
      </w:r>
      <w:r w:rsidRPr="008364C4">
        <w:rPr>
          <w:rFonts w:ascii="Times New Roman" w:hAnsi="Times New Roman"/>
          <w:sz w:val="28"/>
        </w:rPr>
        <w:t xml:space="preserve"> relate</w:t>
      </w:r>
      <w:r w:rsidR="001B2316">
        <w:rPr>
          <w:rFonts w:ascii="Times New Roman" w:hAnsi="Times New Roman"/>
          <w:sz w:val="28"/>
        </w:rPr>
        <w:t>d mostly to cases where there was</w:t>
      </w:r>
      <w:r w:rsidRPr="008364C4">
        <w:rPr>
          <w:rFonts w:ascii="Times New Roman" w:hAnsi="Times New Roman"/>
          <w:sz w:val="28"/>
        </w:rPr>
        <w:t xml:space="preserve"> a refusal to the applicant to be provided with the requested financial service and respectively the difference in time from the refusal to the possible inspection of the case by NSSI.</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connection with the foregoing, the Manager of NSSI approached CPDP for an opinion on the proper application of Art. 25 of LPPD in the context of the above assumptions, while taking into account the interest of NSSI as a data controller which provides data and wants to be allowed to verify the compliance with the contractual texts which ensure the lawful processing of the data provided by third parties.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opini</w:t>
      </w:r>
      <w:r w:rsidR="001B2316">
        <w:rPr>
          <w:rFonts w:ascii="Times New Roman" w:hAnsi="Times New Roman"/>
          <w:sz w:val="28"/>
        </w:rPr>
        <w:t>on of CPDP on this issue was</w:t>
      </w:r>
      <w:r w:rsidRPr="008364C4">
        <w:rPr>
          <w:rFonts w:ascii="Times New Roman" w:hAnsi="Times New Roman"/>
          <w:sz w:val="28"/>
        </w:rPr>
        <w:t xml:space="preserve"> that banks and non-banking financial institutions, providing loan services, acting as data controllers, are required to coordinate their activities involving personal data processing in compliance with the requirements of Art. 25 of LPPD, namely: after achieving the purpose of data processing, the data should be destroyed.</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order to ensure the powers of NSSI in connection with the control on the compliance with the obligation to obtain the prior consent of the persons inspected before providing information from the NSSI database, the contracts executed between the financial institutions providing loan services and NSSI should stipulate that the personal data will be destroyed after notifying NSSI within a reasonable period agreed between the parties. The financial institutions should at any time have valid evidence concerning the destruction of data – for example, a protocol for destruction of statements of consent or other written document specifying the destruction of the personal data after achieving the purpose of their processing.</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It is imperative that the financial institutions providing loan services, after the destruction of data should inform the respective individuals that the purposes </w:t>
      </w:r>
      <w:r w:rsidRPr="008364C4">
        <w:rPr>
          <w:rFonts w:ascii="Times New Roman" w:hAnsi="Times New Roman"/>
          <w:sz w:val="28"/>
        </w:rPr>
        <w:lastRenderedPageBreak/>
        <w:t>for which their data are collected have been achieved and therefore pur</w:t>
      </w:r>
      <w:r w:rsidR="001B2316">
        <w:rPr>
          <w:rFonts w:ascii="Times New Roman" w:hAnsi="Times New Roman"/>
          <w:sz w:val="28"/>
        </w:rPr>
        <w:t>suant to Art. 25 (1) (1) of LPPD</w:t>
      </w:r>
      <w:r w:rsidRPr="008364C4">
        <w:rPr>
          <w:rFonts w:ascii="Times New Roman" w:hAnsi="Times New Roman"/>
          <w:sz w:val="28"/>
        </w:rPr>
        <w:t xml:space="preserve"> these data are destroyed.</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numPr>
          <w:ilvl w:val="0"/>
          <w:numId w:val="25"/>
        </w:numPr>
        <w:tabs>
          <w:tab w:val="left" w:pos="1134"/>
        </w:tabs>
        <w:spacing w:after="0" w:line="360" w:lineRule="auto"/>
        <w:ind w:left="0" w:firstLine="709"/>
        <w:jc w:val="both"/>
        <w:rPr>
          <w:rFonts w:ascii="Times New Roman" w:hAnsi="Times New Roman"/>
          <w:b/>
          <w:sz w:val="28"/>
          <w:szCs w:val="28"/>
        </w:rPr>
      </w:pPr>
      <w:r w:rsidRPr="008364C4">
        <w:rPr>
          <w:rFonts w:ascii="Times New Roman" w:hAnsi="Times New Roman"/>
          <w:b/>
          <w:sz w:val="28"/>
        </w:rPr>
        <w:t xml:space="preserve">Provision of personal data </w:t>
      </w:r>
      <w:r w:rsidR="001B2316">
        <w:rPr>
          <w:rFonts w:ascii="Times New Roman" w:hAnsi="Times New Roman"/>
          <w:b/>
          <w:sz w:val="28"/>
        </w:rPr>
        <w:t xml:space="preserve">in accordance with </w:t>
      </w:r>
      <w:r w:rsidRPr="008364C4">
        <w:rPr>
          <w:rFonts w:ascii="Times New Roman" w:hAnsi="Times New Roman"/>
          <w:b/>
          <w:sz w:val="28"/>
        </w:rPr>
        <w:t>the Law on Access to Public Information (LAPI).</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CPDP delivered an opinion concerning the application of LPPD in cases of applications filed to individual data controllers, </w:t>
      </w:r>
      <w:r w:rsidR="00247514" w:rsidRPr="00247514">
        <w:rPr>
          <w:rFonts w:ascii="Times New Roman" w:hAnsi="Times New Roman"/>
          <w:sz w:val="28"/>
        </w:rPr>
        <w:t xml:space="preserve">public </w:t>
      </w:r>
      <w:r w:rsidRPr="00247514">
        <w:rPr>
          <w:rFonts w:ascii="Times New Roman" w:hAnsi="Times New Roman"/>
          <w:sz w:val="28"/>
        </w:rPr>
        <w:t>representatives</w:t>
      </w:r>
      <w:r w:rsidRPr="008364C4">
        <w:rPr>
          <w:rFonts w:ascii="Times New Roman" w:hAnsi="Times New Roman"/>
          <w:sz w:val="28"/>
        </w:rPr>
        <w:t xml:space="preserve">, relating to the provision of information under the Law on Access to Public Information. CPDP expressed opinions in relation to cases where the access to the information should be refused pursuant to Art. 37 (1) (2) of LPPD or such information could be provided but with deleted data relating to third parties who have not given their consent or have explicitly refused to provide their personal data in the specific cases under Art. </w:t>
      </w:r>
      <w:proofErr w:type="gramStart"/>
      <w:r w:rsidRPr="008364C4">
        <w:rPr>
          <w:rFonts w:ascii="Times New Roman" w:hAnsi="Times New Roman"/>
          <w:sz w:val="28"/>
        </w:rPr>
        <w:t>31 (4) of LPPD.</w:t>
      </w:r>
      <w:proofErr w:type="gramEnd"/>
      <w:r w:rsidRPr="008364C4">
        <w:rPr>
          <w:rFonts w:ascii="Times New Roman" w:hAnsi="Times New Roman"/>
          <w:sz w:val="28"/>
        </w:rPr>
        <w:t xml:space="preserve"> In such cases, the right to decide whether to refuse access to the requested information or to give access in volume and in a manner that does not prejudice the rights of third </w:t>
      </w:r>
      <w:r w:rsidR="001B2316" w:rsidRPr="008364C4">
        <w:rPr>
          <w:rFonts w:ascii="Times New Roman" w:hAnsi="Times New Roman"/>
          <w:sz w:val="28"/>
        </w:rPr>
        <w:t>parties</w:t>
      </w:r>
      <w:r w:rsidRPr="008364C4">
        <w:rPr>
          <w:rFonts w:ascii="Times New Roman" w:hAnsi="Times New Roman"/>
          <w:sz w:val="28"/>
        </w:rPr>
        <w:t xml:space="preserve"> belongs entirely to the data controller. The aim of this approach is in each particular case to ensure the lawful </w:t>
      </w:r>
      <w:r w:rsidR="001B2316">
        <w:rPr>
          <w:rFonts w:ascii="Times New Roman" w:hAnsi="Times New Roman"/>
          <w:sz w:val="28"/>
        </w:rPr>
        <w:t xml:space="preserve">personal data processing and privacy </w:t>
      </w:r>
      <w:r w:rsidRPr="008364C4">
        <w:rPr>
          <w:rFonts w:ascii="Times New Roman" w:hAnsi="Times New Roman"/>
          <w:sz w:val="28"/>
        </w:rPr>
        <w:t xml:space="preserve">of </w:t>
      </w:r>
      <w:r w:rsidR="001B2316">
        <w:rPr>
          <w:rFonts w:ascii="Times New Roman" w:hAnsi="Times New Roman"/>
          <w:sz w:val="28"/>
        </w:rPr>
        <w:t xml:space="preserve">the </w:t>
      </w:r>
      <w:r w:rsidRPr="008364C4">
        <w:rPr>
          <w:rFonts w:ascii="Times New Roman" w:hAnsi="Times New Roman"/>
          <w:sz w:val="28"/>
        </w:rPr>
        <w:t>individuals.</w:t>
      </w:r>
    </w:p>
    <w:p w:rsidR="00507B5F" w:rsidRPr="008364C4" w:rsidRDefault="00247514" w:rsidP="00507B5F">
      <w:pPr>
        <w:spacing w:after="0" w:line="360" w:lineRule="auto"/>
        <w:ind w:firstLine="709"/>
        <w:jc w:val="both"/>
        <w:rPr>
          <w:rFonts w:ascii="Times New Roman" w:hAnsi="Times New Roman"/>
          <w:sz w:val="28"/>
          <w:szCs w:val="28"/>
        </w:rPr>
      </w:pPr>
      <w:r w:rsidRPr="00247514">
        <w:rPr>
          <w:rFonts w:ascii="Times New Roman" w:hAnsi="Times New Roman"/>
          <w:sz w:val="28"/>
        </w:rPr>
        <w:t>An example can be mentioned</w:t>
      </w:r>
      <w:r w:rsidR="00507B5F" w:rsidRPr="00247514">
        <w:rPr>
          <w:rFonts w:ascii="Times New Roman" w:hAnsi="Times New Roman"/>
          <w:sz w:val="28"/>
        </w:rPr>
        <w:t xml:space="preserve"> </w:t>
      </w:r>
      <w:r w:rsidR="00507B5F" w:rsidRPr="008364C4">
        <w:rPr>
          <w:rFonts w:ascii="Times New Roman" w:hAnsi="Times New Roman"/>
          <w:sz w:val="28"/>
        </w:rPr>
        <w:t xml:space="preserve">the request for opinion filed by the Council of Ministers </w:t>
      </w:r>
      <w:r w:rsidR="001B2316">
        <w:rPr>
          <w:rFonts w:ascii="Times New Roman" w:hAnsi="Times New Roman"/>
          <w:sz w:val="28"/>
        </w:rPr>
        <w:t xml:space="preserve">about </w:t>
      </w:r>
      <w:r w:rsidR="00507B5F" w:rsidRPr="008364C4">
        <w:rPr>
          <w:rFonts w:ascii="Times New Roman" w:hAnsi="Times New Roman"/>
          <w:sz w:val="28"/>
        </w:rPr>
        <w:t>two applications for access to public information filed by p</w:t>
      </w:r>
      <w:r w:rsidR="001B2316">
        <w:rPr>
          <w:rFonts w:ascii="Times New Roman" w:hAnsi="Times New Roman"/>
          <w:sz w:val="28"/>
        </w:rPr>
        <w:t xml:space="preserve">rint media requiring information about </w:t>
      </w:r>
      <w:r w:rsidR="00507B5F" w:rsidRPr="008364C4">
        <w:rPr>
          <w:rFonts w:ascii="Times New Roman" w:hAnsi="Times New Roman"/>
          <w:sz w:val="28"/>
        </w:rPr>
        <w:t xml:space="preserve">the persons employed under official contracts and under civil contracts in the administration of the Council of Ministers, including the employees' name and surname, position and remuneration under the contract. CPDP expressed an opinion that the </w:t>
      </w:r>
      <w:r w:rsidR="00473BDD">
        <w:rPr>
          <w:rFonts w:ascii="Times New Roman" w:hAnsi="Times New Roman"/>
          <w:sz w:val="28"/>
        </w:rPr>
        <w:t xml:space="preserve">provision of information </w:t>
      </w:r>
      <w:r w:rsidR="00507B5F" w:rsidRPr="008364C4">
        <w:rPr>
          <w:rFonts w:ascii="Times New Roman" w:hAnsi="Times New Roman"/>
          <w:sz w:val="28"/>
        </w:rPr>
        <w:t xml:space="preserve">containing the name and surname, position and remuneration under the contract of individuals employed under labour and official contracts, as well as copies of civil contracts with individuals, could result in personalizing these particular individuals and as such it falls within the definition of "personal data" of the category of economic identity, as they directly identify the individuals and their remuneration. The processing of this information in the form of "disclosure" and its provision is </w:t>
      </w:r>
      <w:r w:rsidR="00507B5F" w:rsidRPr="008364C4">
        <w:rPr>
          <w:rFonts w:ascii="Times New Roman" w:hAnsi="Times New Roman"/>
          <w:sz w:val="28"/>
        </w:rPr>
        <w:lastRenderedPageBreak/>
        <w:t>permissible and lawful only in cases where at least one of the c</w:t>
      </w:r>
      <w:r w:rsidR="00473BDD">
        <w:rPr>
          <w:rFonts w:ascii="Times New Roman" w:hAnsi="Times New Roman"/>
          <w:sz w:val="28"/>
        </w:rPr>
        <w:t>onditions for admissible processing</w:t>
      </w:r>
      <w:r w:rsidR="00507B5F" w:rsidRPr="008364C4">
        <w:rPr>
          <w:rFonts w:ascii="Times New Roman" w:hAnsi="Times New Roman"/>
          <w:sz w:val="28"/>
        </w:rPr>
        <w:t xml:space="preserve"> is available. In the cases of provision of public information under LAPI which contains personal data, a condition for admissible processing in the form of data disclosure is the </w:t>
      </w:r>
      <w:proofErr w:type="spellStart"/>
      <w:r w:rsidR="00507B5F" w:rsidRPr="008364C4">
        <w:rPr>
          <w:rFonts w:ascii="Times New Roman" w:hAnsi="Times New Roman"/>
          <w:sz w:val="28"/>
        </w:rPr>
        <w:t>the</w:t>
      </w:r>
      <w:proofErr w:type="spellEnd"/>
      <w:r w:rsidR="00507B5F" w:rsidRPr="008364C4">
        <w:rPr>
          <w:rFonts w:ascii="Times New Roman" w:hAnsi="Times New Roman"/>
          <w:sz w:val="28"/>
        </w:rPr>
        <w:t xml:space="preserve"> consent of the respective individual (Art. 31 of LAPI in conjunction with Art. 4 (1) (2) of LPPD). In its opinion, CPDP also pointed out that with regard to the processing of personal data contained in labour and service records, the provision of Art. 17 (4) of the Law on Civil Servants should apply, namely that the disclosure of information from the service records of the civil servant is not permitted without the express written consent of the data subject. By analogy, the same rule should apply in respect of persons (employees) employed under the Labour Code.  </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numPr>
          <w:ilvl w:val="0"/>
          <w:numId w:val="25"/>
        </w:numPr>
        <w:tabs>
          <w:tab w:val="left" w:pos="1134"/>
        </w:tabs>
        <w:spacing w:after="0" w:line="360" w:lineRule="auto"/>
        <w:ind w:left="0" w:firstLine="709"/>
        <w:jc w:val="both"/>
        <w:rPr>
          <w:rFonts w:ascii="Times New Roman" w:hAnsi="Times New Roman"/>
          <w:b/>
          <w:sz w:val="28"/>
          <w:szCs w:val="28"/>
        </w:rPr>
      </w:pPr>
      <w:r w:rsidRPr="008364C4">
        <w:rPr>
          <w:rFonts w:ascii="Times New Roman" w:hAnsi="Times New Roman"/>
          <w:b/>
          <w:sz w:val="28"/>
        </w:rPr>
        <w:t>Requests for provision of information containing personal data</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Other rulings of CPDP with opinions related to requests for provision of information contain</w:t>
      </w:r>
      <w:r w:rsidR="008E2DFF">
        <w:rPr>
          <w:rFonts w:ascii="Times New Roman" w:hAnsi="Times New Roman"/>
          <w:sz w:val="28"/>
        </w:rPr>
        <w:t>ing personal data can be summarized</w:t>
      </w:r>
      <w:r w:rsidRPr="008364C4">
        <w:rPr>
          <w:rFonts w:ascii="Times New Roman" w:hAnsi="Times New Roman"/>
          <w:sz w:val="28"/>
        </w:rPr>
        <w:t xml:space="preserve"> into several groups.</w:t>
      </w:r>
    </w:p>
    <w:p w:rsidR="00507B5F" w:rsidRPr="008364C4" w:rsidRDefault="00507B5F" w:rsidP="00507B5F">
      <w:pPr>
        <w:spacing w:after="0" w:line="360" w:lineRule="auto"/>
        <w:ind w:firstLine="709"/>
        <w:jc w:val="both"/>
        <w:rPr>
          <w:rFonts w:ascii="Times New Roman" w:hAnsi="Times New Roman"/>
          <w:sz w:val="28"/>
          <w:szCs w:val="28"/>
        </w:rPr>
      </w:pPr>
      <w:proofErr w:type="gramStart"/>
      <w:r w:rsidRPr="00247514">
        <w:rPr>
          <w:rFonts w:ascii="Times New Roman" w:hAnsi="Times New Roman"/>
          <w:sz w:val="28"/>
        </w:rPr>
        <w:t>At the request of Members of Parliament pursuant to Art.</w:t>
      </w:r>
      <w:proofErr w:type="gramEnd"/>
      <w:r w:rsidRPr="00247514">
        <w:rPr>
          <w:rFonts w:ascii="Times New Roman" w:hAnsi="Times New Roman"/>
          <w:sz w:val="28"/>
        </w:rPr>
        <w:t xml:space="preserve"> 90 of the Constitution of the Republic of Bulgaria filed to </w:t>
      </w:r>
      <w:r w:rsidR="00247514" w:rsidRPr="00247514">
        <w:rPr>
          <w:rFonts w:ascii="Times New Roman" w:hAnsi="Times New Roman"/>
          <w:sz w:val="28"/>
        </w:rPr>
        <w:t xml:space="preserve">public data controllers. </w:t>
      </w:r>
      <w:r w:rsidRPr="008364C4">
        <w:rPr>
          <w:rFonts w:ascii="Times New Roman" w:hAnsi="Times New Roman"/>
          <w:sz w:val="28"/>
        </w:rPr>
        <w:t>For example, the Executive Forestry Agency subordinate to the Ministry of Agriculture and Forestry filed a request for opinion on issues concerning the application of LPPD in relation to the provision of information to a Member of Parliament containing personal data on files related to the change of use and sale of land plots in forest areas. Upon the provision of the requested information, consideration should be made for the legal requirements, the public interest both in relation to the question raised by the Member of Parliament, but also for the right to privacy, and the availability of the consent of the individuals that are the subjects of the personal data should also be taken into account.</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CPDP expressed an opinion that the provision of the requested information is admissible only in cases where there is at least one of the conditions specified in the provision of Art. </w:t>
      </w:r>
      <w:proofErr w:type="gramStart"/>
      <w:r w:rsidRPr="008364C4">
        <w:rPr>
          <w:rFonts w:ascii="Times New Roman" w:hAnsi="Times New Roman"/>
          <w:sz w:val="28"/>
        </w:rPr>
        <w:t>4 (1) (1-7) of LPPD.</w:t>
      </w:r>
      <w:proofErr w:type="gramEnd"/>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A possible admissibility condition for processing in the form of the provision of data in this particular case is the availability of the consent of the affected individuals (Art. 4 (1) (2) of LPPD). In the absence of consent, possible admissibility conditions are the provisions of Art. </w:t>
      </w:r>
      <w:proofErr w:type="gramStart"/>
      <w:r w:rsidRPr="008364C4">
        <w:rPr>
          <w:rFonts w:ascii="Times New Roman" w:hAnsi="Times New Roman"/>
          <w:sz w:val="28"/>
        </w:rPr>
        <w:t>4 (1) (1), (5) and (6) of LPPD.</w:t>
      </w:r>
      <w:proofErr w:type="gramEnd"/>
      <w:r w:rsidRPr="008364C4">
        <w:rPr>
          <w:rFonts w:ascii="Times New Roman" w:hAnsi="Times New Roman"/>
          <w:sz w:val="28"/>
        </w:rPr>
        <w:t xml:space="preserve"> In order to ensure fair processing of data in the specified legal assumptions and to achieve the objective of LPPD - ensuring privacy, the data controller can provide the files on the number of purchase and sale transactions and changes of the intended use of the land plots but only after the personal data contained therein are brought in a form that does not allow for the identification of the individuals, such as deletion or </w:t>
      </w:r>
      <w:proofErr w:type="spellStart"/>
      <w:r w:rsidRPr="008364C4">
        <w:rPr>
          <w:rFonts w:ascii="Times New Roman" w:hAnsi="Times New Roman"/>
          <w:sz w:val="28"/>
        </w:rPr>
        <w:t>anonymisation</w:t>
      </w:r>
      <w:proofErr w:type="spellEnd"/>
      <w:r w:rsidRPr="008364C4">
        <w:rPr>
          <w:rFonts w:ascii="Times New Roman" w:hAnsi="Times New Roman"/>
          <w:sz w:val="28"/>
        </w:rPr>
        <w:t xml:space="preserve"> by initials. </w:t>
      </w:r>
    </w:p>
    <w:p w:rsidR="00507B5F" w:rsidRPr="008364C4" w:rsidRDefault="00507B5F" w:rsidP="00507B5F">
      <w:pPr>
        <w:spacing w:after="0" w:line="360" w:lineRule="auto"/>
        <w:ind w:firstLine="709"/>
        <w:jc w:val="both"/>
        <w:rPr>
          <w:rFonts w:ascii="Times New Roman" w:hAnsi="Times New Roman"/>
          <w:sz w:val="28"/>
          <w:szCs w:val="28"/>
        </w:rPr>
      </w:pPr>
      <w:r w:rsidRPr="00247514">
        <w:rPr>
          <w:rFonts w:ascii="Times New Roman" w:hAnsi="Times New Roman"/>
          <w:sz w:val="28"/>
        </w:rPr>
        <w:t xml:space="preserve">Request for an opinion filed by the Council of Ministers as a liable subject under Art. 90 (1) of the Constitution of the Republic of Bulgaria regarding a question raised by the Members of Parliament through the Chairperson of the National Assembly to the Prime Minister of the Republic of Bulgaria pursuant to Art. </w:t>
      </w:r>
      <w:proofErr w:type="gramStart"/>
      <w:r w:rsidRPr="00247514">
        <w:rPr>
          <w:rFonts w:ascii="Times New Roman" w:hAnsi="Times New Roman"/>
          <w:sz w:val="28"/>
        </w:rPr>
        <w:t>90 (1) of the Constitution of the Republic of Bulgaria and Art.</w:t>
      </w:r>
      <w:proofErr w:type="gramEnd"/>
      <w:r w:rsidRPr="00247514">
        <w:rPr>
          <w:rFonts w:ascii="Times New Roman" w:hAnsi="Times New Roman"/>
          <w:sz w:val="28"/>
        </w:rPr>
        <w:t xml:space="preserve"> </w:t>
      </w:r>
      <w:proofErr w:type="gramStart"/>
      <w:r w:rsidRPr="00247514">
        <w:rPr>
          <w:rFonts w:ascii="Times New Roman" w:hAnsi="Times New Roman"/>
          <w:sz w:val="28"/>
        </w:rPr>
        <w:t>89 of the Rules of Organization and Procedure of the National Assembly.</w:t>
      </w:r>
      <w:proofErr w:type="gramEnd"/>
      <w:r w:rsidRPr="00247514">
        <w:rPr>
          <w:rFonts w:ascii="Times New Roman" w:hAnsi="Times New Roman"/>
          <w:sz w:val="28"/>
        </w:rPr>
        <w:t xml:space="preserve"> Th</w:t>
      </w:r>
      <w:r w:rsidR="008323BB" w:rsidRPr="00247514">
        <w:rPr>
          <w:rFonts w:ascii="Times New Roman" w:hAnsi="Times New Roman"/>
          <w:sz w:val="28"/>
        </w:rPr>
        <w:t xml:space="preserve">e </w:t>
      </w:r>
      <w:r w:rsidR="008323BB">
        <w:rPr>
          <w:rFonts w:ascii="Times New Roman" w:hAnsi="Times New Roman"/>
          <w:sz w:val="28"/>
        </w:rPr>
        <w:t>request for the opinion stated</w:t>
      </w:r>
      <w:r w:rsidRPr="008364C4">
        <w:rPr>
          <w:rFonts w:ascii="Times New Roman" w:hAnsi="Times New Roman"/>
          <w:sz w:val="28"/>
        </w:rPr>
        <w:t xml:space="preserve"> that the administration of the Council of Minsters has received a request for the provision of data on the number of appointed and dismissed employees in the state administration </w:t>
      </w:r>
      <w:r w:rsidR="008323BB" w:rsidRPr="008364C4">
        <w:rPr>
          <w:rFonts w:ascii="Times New Roman" w:hAnsi="Times New Roman"/>
          <w:sz w:val="28"/>
        </w:rPr>
        <w:t>for</w:t>
      </w:r>
      <w:r w:rsidRPr="008364C4">
        <w:rPr>
          <w:rFonts w:ascii="Times New Roman" w:hAnsi="Times New Roman"/>
          <w:sz w:val="28"/>
        </w:rPr>
        <w:t xml:space="preserve"> six months, specified by: ministries, state agencies, executive agencies, regional administrations, </w:t>
      </w:r>
      <w:proofErr w:type="gramStart"/>
      <w:r w:rsidRPr="008364C4">
        <w:rPr>
          <w:rFonts w:ascii="Times New Roman" w:hAnsi="Times New Roman"/>
          <w:sz w:val="28"/>
        </w:rPr>
        <w:t>specialized</w:t>
      </w:r>
      <w:proofErr w:type="gramEnd"/>
      <w:r w:rsidRPr="008364C4">
        <w:rPr>
          <w:rFonts w:ascii="Times New Roman" w:hAnsi="Times New Roman"/>
          <w:sz w:val="28"/>
        </w:rPr>
        <w:t xml:space="preserve"> administrations - </w:t>
      </w:r>
      <w:r w:rsidR="008323BB">
        <w:rPr>
          <w:rFonts w:ascii="Times New Roman" w:hAnsi="Times New Roman"/>
          <w:sz w:val="28"/>
        </w:rPr>
        <w:t>individual legal entities. It was</w:t>
      </w:r>
      <w:r w:rsidRPr="008364C4">
        <w:rPr>
          <w:rFonts w:ascii="Times New Roman" w:hAnsi="Times New Roman"/>
          <w:sz w:val="28"/>
        </w:rPr>
        <w:t xml:space="preserve"> specified that the request includes the attachment of lists of names upon complying with LPPD, as well as information on the reasons for the emergence of relationships. It</w:t>
      </w:r>
      <w:r w:rsidR="008323BB">
        <w:rPr>
          <w:rFonts w:ascii="Times New Roman" w:hAnsi="Times New Roman"/>
          <w:sz w:val="28"/>
        </w:rPr>
        <w:t xml:space="preserve"> was also specified</w:t>
      </w:r>
      <w:r w:rsidRPr="008364C4">
        <w:rPr>
          <w:rFonts w:ascii="Times New Roman" w:hAnsi="Times New Roman"/>
          <w:sz w:val="28"/>
        </w:rPr>
        <w:t xml:space="preserve"> that the provision of this information identifies the particular administrative structure. In</w:t>
      </w:r>
      <w:r w:rsidR="008323BB">
        <w:rPr>
          <w:rFonts w:ascii="Times New Roman" w:hAnsi="Times New Roman"/>
          <w:sz w:val="28"/>
        </w:rPr>
        <w:t xml:space="preserve"> this connection, the request</w:t>
      </w:r>
      <w:r w:rsidRPr="008364C4">
        <w:rPr>
          <w:rFonts w:ascii="Times New Roman" w:hAnsi="Times New Roman"/>
          <w:sz w:val="28"/>
        </w:rPr>
        <w:t xml:space="preserve"> for an opinion</w:t>
      </w:r>
      <w:r w:rsidR="008323BB">
        <w:rPr>
          <w:rFonts w:ascii="Times New Roman" w:hAnsi="Times New Roman"/>
          <w:sz w:val="28"/>
        </w:rPr>
        <w:t xml:space="preserve"> was</w:t>
      </w:r>
      <w:r w:rsidRPr="008364C4">
        <w:rPr>
          <w:rFonts w:ascii="Times New Roman" w:hAnsi="Times New Roman"/>
          <w:sz w:val="28"/>
        </w:rPr>
        <w:t xml:space="preserve"> whether the lists of names linked with the other required information constitute complex personal data. The Commission expressed an opinion that information containing name, specific administrative structure and reasons for the emergence of employment or service relation of a servant at the public administration could lead to the identification of this </w:t>
      </w:r>
      <w:r w:rsidRPr="008364C4">
        <w:rPr>
          <w:rFonts w:ascii="Times New Roman" w:hAnsi="Times New Roman"/>
          <w:sz w:val="28"/>
        </w:rPr>
        <w:lastRenderedPageBreak/>
        <w:t xml:space="preserve">particular individual and as such it falls within the definition of personal data </w:t>
      </w:r>
      <w:r w:rsidR="008323BB">
        <w:rPr>
          <w:rFonts w:ascii="Times New Roman" w:hAnsi="Times New Roman"/>
          <w:sz w:val="28"/>
        </w:rPr>
        <w:t xml:space="preserve">under </w:t>
      </w:r>
      <w:r w:rsidRPr="008364C4">
        <w:rPr>
          <w:rFonts w:ascii="Times New Roman" w:hAnsi="Times New Roman"/>
          <w:sz w:val="28"/>
        </w:rPr>
        <w:t xml:space="preserve">Art. </w:t>
      </w:r>
      <w:proofErr w:type="gramStart"/>
      <w:r w:rsidRPr="008364C4">
        <w:rPr>
          <w:rFonts w:ascii="Times New Roman" w:hAnsi="Times New Roman"/>
          <w:sz w:val="28"/>
        </w:rPr>
        <w:t>2 (1) of LPPD.</w:t>
      </w:r>
      <w:proofErr w:type="gramEnd"/>
      <w:r w:rsidRPr="008364C4">
        <w:rPr>
          <w:rFonts w:ascii="Times New Roman" w:hAnsi="Times New Roman"/>
          <w:sz w:val="28"/>
        </w:rPr>
        <w:t xml:space="preserve"> The </w:t>
      </w:r>
      <w:r w:rsidR="008323BB">
        <w:rPr>
          <w:rFonts w:ascii="Times New Roman" w:hAnsi="Times New Roman"/>
          <w:sz w:val="28"/>
        </w:rPr>
        <w:t xml:space="preserve">provision of such information </w:t>
      </w:r>
      <w:r w:rsidRPr="008364C4">
        <w:rPr>
          <w:rFonts w:ascii="Times New Roman" w:hAnsi="Times New Roman"/>
          <w:sz w:val="28"/>
        </w:rPr>
        <w:t xml:space="preserve">is allowed only in cases where there is at least one of the conditions specified in the provision of Art. </w:t>
      </w:r>
      <w:proofErr w:type="gramStart"/>
      <w:r w:rsidRPr="008364C4">
        <w:rPr>
          <w:rFonts w:ascii="Times New Roman" w:hAnsi="Times New Roman"/>
          <w:sz w:val="28"/>
        </w:rPr>
        <w:t>4 (1) (1-7) of the LPPD.</w:t>
      </w:r>
      <w:proofErr w:type="gramEnd"/>
      <w:r w:rsidRPr="008364C4">
        <w:rPr>
          <w:rFonts w:ascii="Times New Roman" w:hAnsi="Times New Roman"/>
          <w:sz w:val="28"/>
        </w:rPr>
        <w:t xml:space="preserve"> </w:t>
      </w:r>
      <w:proofErr w:type="gramStart"/>
      <w:r w:rsidRPr="008364C4">
        <w:rPr>
          <w:rFonts w:ascii="Times New Roman" w:hAnsi="Times New Roman"/>
          <w:sz w:val="28"/>
        </w:rPr>
        <w:t>In this particular case, the Council of Ministers as a liable subject under Art.</w:t>
      </w:r>
      <w:proofErr w:type="gramEnd"/>
      <w:r w:rsidRPr="008364C4">
        <w:rPr>
          <w:rFonts w:ascii="Times New Roman" w:hAnsi="Times New Roman"/>
          <w:sz w:val="28"/>
        </w:rPr>
        <w:t xml:space="preserve"> 90 (1) of the Constitution of the Republic of Bulgaria, could provide the requested information (without the names of the persons) in pursuance of a statutory obligation of the data controller within the meaning of Art. </w:t>
      </w:r>
      <w:proofErr w:type="gramStart"/>
      <w:r w:rsidRPr="008364C4">
        <w:rPr>
          <w:rFonts w:ascii="Times New Roman" w:hAnsi="Times New Roman"/>
          <w:sz w:val="28"/>
        </w:rPr>
        <w:t>4 (1) (1) of LPPD.</w:t>
      </w:r>
      <w:proofErr w:type="gramEnd"/>
      <w:r w:rsidRPr="008364C4">
        <w:rPr>
          <w:rFonts w:ascii="Times New Roman" w:hAnsi="Times New Roman"/>
          <w:sz w:val="28"/>
        </w:rPr>
        <w:t xml:space="preserv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addition to the examples on requests for access to informat</w:t>
      </w:r>
      <w:r w:rsidR="008323BB">
        <w:rPr>
          <w:rFonts w:ascii="Times New Roman" w:hAnsi="Times New Roman"/>
          <w:sz w:val="28"/>
        </w:rPr>
        <w:t>ion containing personal data, was</w:t>
      </w:r>
      <w:r w:rsidRPr="008364C4">
        <w:rPr>
          <w:rFonts w:ascii="Times New Roman" w:hAnsi="Times New Roman"/>
          <w:sz w:val="28"/>
        </w:rPr>
        <w:t xml:space="preserve"> the request filed by the Regional Inspectorate of Education - </w:t>
      </w:r>
      <w:proofErr w:type="spellStart"/>
      <w:r w:rsidRPr="008364C4">
        <w:rPr>
          <w:rFonts w:ascii="Times New Roman" w:hAnsi="Times New Roman"/>
          <w:sz w:val="28"/>
        </w:rPr>
        <w:t>Pazardzhik</w:t>
      </w:r>
      <w:proofErr w:type="spellEnd"/>
      <w:r w:rsidRPr="008364C4">
        <w:rPr>
          <w:rFonts w:ascii="Times New Roman" w:hAnsi="Times New Roman"/>
          <w:sz w:val="28"/>
        </w:rPr>
        <w:t xml:space="preserve"> regarding a letter sent by the regional structure of the trade union </w:t>
      </w:r>
      <w:proofErr w:type="spellStart"/>
      <w:r w:rsidRPr="008364C4">
        <w:rPr>
          <w:rFonts w:ascii="Times New Roman" w:hAnsi="Times New Roman"/>
          <w:sz w:val="28"/>
        </w:rPr>
        <w:t>Podkrepa</w:t>
      </w:r>
      <w:proofErr w:type="spellEnd"/>
      <w:r w:rsidRPr="008364C4">
        <w:rPr>
          <w:rFonts w:ascii="Times New Roman" w:hAnsi="Times New Roman"/>
          <w:sz w:val="28"/>
        </w:rPr>
        <w:t xml:space="preserve"> concerning the provision of personal data by the principal of the primary school in the town </w:t>
      </w:r>
      <w:proofErr w:type="spellStart"/>
      <w:r w:rsidRPr="008364C4">
        <w:rPr>
          <w:rFonts w:ascii="Times New Roman" w:hAnsi="Times New Roman"/>
          <w:sz w:val="28"/>
        </w:rPr>
        <w:t>Pazardzhik</w:t>
      </w:r>
      <w:proofErr w:type="spellEnd"/>
      <w:r w:rsidRPr="008364C4">
        <w:rPr>
          <w:rFonts w:ascii="Times New Roman" w:hAnsi="Times New Roman"/>
          <w:sz w:val="28"/>
        </w:rPr>
        <w:t>. The information requested by the trade unions is the work schedule and the basic gross salaries of teaching and non-teaching staff of the s</w:t>
      </w:r>
      <w:r w:rsidR="005B21C5">
        <w:rPr>
          <w:rFonts w:ascii="Times New Roman" w:hAnsi="Times New Roman"/>
          <w:sz w:val="28"/>
        </w:rPr>
        <w:t>chool.  It was</w:t>
      </w:r>
      <w:r w:rsidRPr="008364C4">
        <w:rPr>
          <w:rFonts w:ascii="Times New Roman" w:hAnsi="Times New Roman"/>
          <w:sz w:val="28"/>
        </w:rPr>
        <w:t xml:space="preserve"> stated that the information is requested in </w:t>
      </w:r>
      <w:r w:rsidR="005B21C5">
        <w:rPr>
          <w:rFonts w:ascii="Times New Roman" w:hAnsi="Times New Roman"/>
          <w:sz w:val="28"/>
        </w:rPr>
        <w:t xml:space="preserve">connection with </w:t>
      </w:r>
      <w:r w:rsidRPr="008364C4">
        <w:rPr>
          <w:rFonts w:ascii="Times New Roman" w:hAnsi="Times New Roman"/>
          <w:sz w:val="28"/>
        </w:rPr>
        <w:t xml:space="preserve">the expected increases in wages and amendments in the Internal Rules on the Formation of Wages. The chairpersons </w:t>
      </w:r>
      <w:r w:rsidR="005B21C5">
        <w:rPr>
          <w:rFonts w:ascii="Times New Roman" w:hAnsi="Times New Roman"/>
          <w:sz w:val="28"/>
        </w:rPr>
        <w:t>of the trade union sections took</w:t>
      </w:r>
      <w:r w:rsidRPr="008364C4">
        <w:rPr>
          <w:rFonts w:ascii="Times New Roman" w:hAnsi="Times New Roman"/>
          <w:sz w:val="28"/>
        </w:rPr>
        <w:t xml:space="preserve"> part in the negotiations and therefore they need to know the amount of the basic wages of the categories of employees "teacher", "senior teacher" and "chief teacher". The Commission expressed the opinion that if in this particular case the information on individual wage could lead to individualization of a particular individual, then it falls within the definition of personal data within the meaning of LPPD.  Processing of that information is admissible only in cases where there is at least one of the conditions specified in the provision of Art. </w:t>
      </w:r>
      <w:proofErr w:type="gramStart"/>
      <w:r w:rsidRPr="008364C4">
        <w:rPr>
          <w:rFonts w:ascii="Times New Roman" w:hAnsi="Times New Roman"/>
          <w:sz w:val="28"/>
        </w:rPr>
        <w:t>4 (1) (1-7) of the LPPD.</w:t>
      </w:r>
      <w:proofErr w:type="gramEnd"/>
      <w:r w:rsidRPr="008364C4">
        <w:rPr>
          <w:rFonts w:ascii="Times New Roman" w:hAnsi="Times New Roman"/>
          <w:sz w:val="28"/>
        </w:rPr>
        <w:t xml:space="preserve"> In this case, as a condition of admissible processing by the provision of the requested information may serve the provisions of Art. 4 (1) (5) of LPPD - performance of a task carried out in the public interest. The information on the waged of the teaching staff in the primary school should be provided only by categories "teacher", "senior </w:t>
      </w:r>
      <w:r w:rsidRPr="008364C4">
        <w:rPr>
          <w:rFonts w:ascii="Times New Roman" w:hAnsi="Times New Roman"/>
          <w:sz w:val="28"/>
        </w:rPr>
        <w:lastRenderedPageBreak/>
        <w:t>teacher", "chief teacher" without specifying the individuals occupying the teaching positions at the school.</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247514" w:rsidRDefault="00507B5F" w:rsidP="00507B5F">
      <w:pPr>
        <w:numPr>
          <w:ilvl w:val="0"/>
          <w:numId w:val="25"/>
        </w:numPr>
        <w:tabs>
          <w:tab w:val="left" w:pos="993"/>
        </w:tabs>
        <w:spacing w:after="0" w:line="360" w:lineRule="auto"/>
        <w:jc w:val="both"/>
        <w:rPr>
          <w:rFonts w:ascii="Times New Roman" w:hAnsi="Times New Roman"/>
          <w:b/>
          <w:sz w:val="28"/>
          <w:szCs w:val="28"/>
        </w:rPr>
      </w:pPr>
      <w:r w:rsidRPr="008364C4">
        <w:rPr>
          <w:rFonts w:ascii="Times New Roman" w:hAnsi="Times New Roman"/>
          <w:b/>
          <w:sz w:val="28"/>
        </w:rPr>
        <w:t xml:space="preserve">Disclosure of </w:t>
      </w:r>
      <w:r w:rsidR="00247514" w:rsidRPr="00247514">
        <w:rPr>
          <w:rFonts w:ascii="Times New Roman" w:hAnsi="Times New Roman"/>
          <w:b/>
          <w:sz w:val="28"/>
        </w:rPr>
        <w:t>personal data of public persons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Another important issue regarding the access to information containing personal data</w:t>
      </w:r>
      <w:r w:rsidR="005B21C5">
        <w:rPr>
          <w:rFonts w:ascii="Times New Roman" w:hAnsi="Times New Roman"/>
          <w:sz w:val="28"/>
        </w:rPr>
        <w:t>, considered by CPDP in 2013, was</w:t>
      </w:r>
      <w:r w:rsidRPr="008364C4">
        <w:rPr>
          <w:rFonts w:ascii="Times New Roman" w:hAnsi="Times New Roman"/>
          <w:sz w:val="28"/>
        </w:rPr>
        <w:t xml:space="preserve"> related to the announcement of the declarations under Art. 12 of the Law on Prevention and Disclosure of Conflict of Interests (LPDCI) on the official websites of the state institutions in search of a balance between the public interest and the protection of personal data of specific persons. The disclosure of personal data contained in the declarations under Art. </w:t>
      </w:r>
      <w:proofErr w:type="gramStart"/>
      <w:r w:rsidRPr="008364C4">
        <w:rPr>
          <w:rFonts w:ascii="Times New Roman" w:hAnsi="Times New Roman"/>
          <w:sz w:val="28"/>
        </w:rPr>
        <w:t>12 pursuant to Art.</w:t>
      </w:r>
      <w:proofErr w:type="gramEnd"/>
      <w:r w:rsidRPr="008364C4">
        <w:rPr>
          <w:rFonts w:ascii="Times New Roman" w:hAnsi="Times New Roman"/>
          <w:sz w:val="28"/>
        </w:rPr>
        <w:t xml:space="preserve"> 17 (2) of LPDC</w:t>
      </w:r>
      <w:r w:rsidR="005B21C5">
        <w:rPr>
          <w:rFonts w:ascii="Times New Roman" w:hAnsi="Times New Roman"/>
          <w:sz w:val="28"/>
        </w:rPr>
        <w:t>I</w:t>
      </w:r>
      <w:r w:rsidRPr="008364C4">
        <w:rPr>
          <w:rFonts w:ascii="Times New Roman" w:hAnsi="Times New Roman"/>
          <w:sz w:val="28"/>
        </w:rPr>
        <w:t xml:space="preserve">, excluding the names of the declarer should be done with the express written consent of the individual-declarer attached as a separate text to the same declaration. </w:t>
      </w:r>
      <w:proofErr w:type="gramStart"/>
      <w:r w:rsidRPr="008364C4">
        <w:rPr>
          <w:rFonts w:ascii="Times New Roman" w:hAnsi="Times New Roman"/>
          <w:sz w:val="28"/>
        </w:rPr>
        <w:t>Posting on the Internet the declaration under Art.</w:t>
      </w:r>
      <w:proofErr w:type="gramEnd"/>
      <w:r w:rsidRPr="008364C4">
        <w:rPr>
          <w:rFonts w:ascii="Times New Roman" w:hAnsi="Times New Roman"/>
          <w:sz w:val="28"/>
        </w:rPr>
        <w:t xml:space="preserve"> 12 of LPDCI without the e</w:t>
      </w:r>
      <w:r w:rsidR="005B21C5">
        <w:rPr>
          <w:rFonts w:ascii="Times New Roman" w:hAnsi="Times New Roman"/>
          <w:sz w:val="28"/>
        </w:rPr>
        <w:t xml:space="preserve">xpress consent of the declarer </w:t>
      </w:r>
      <w:r w:rsidRPr="008364C4">
        <w:rPr>
          <w:rFonts w:ascii="Times New Roman" w:hAnsi="Times New Roman"/>
          <w:sz w:val="28"/>
        </w:rPr>
        <w:t>would constitute a violation of LPPD. Any declaration posted on an official website without the express consent of the declarer should be removed until the consent of t</w:t>
      </w:r>
      <w:r w:rsidR="005B21C5">
        <w:rPr>
          <w:rFonts w:ascii="Times New Roman" w:hAnsi="Times New Roman"/>
          <w:sz w:val="28"/>
        </w:rPr>
        <w:t>he data subject is obtained</w:t>
      </w:r>
      <w:r w:rsidRPr="008364C4">
        <w:rPr>
          <w:rFonts w:ascii="Times New Roman" w:hAnsi="Times New Roman"/>
          <w:sz w:val="28"/>
        </w:rPr>
        <w:t>. The announcement should not contain the signature of the declarer. In the event that the decla</w:t>
      </w:r>
      <w:r w:rsidR="005B21C5">
        <w:rPr>
          <w:rFonts w:ascii="Times New Roman" w:hAnsi="Times New Roman"/>
          <w:sz w:val="28"/>
        </w:rPr>
        <w:t>ration contains</w:t>
      </w:r>
      <w:r w:rsidRPr="008364C4">
        <w:rPr>
          <w:rFonts w:ascii="Times New Roman" w:hAnsi="Times New Roman"/>
          <w:sz w:val="28"/>
        </w:rPr>
        <w:t xml:space="preserve"> third </w:t>
      </w:r>
      <w:proofErr w:type="gramStart"/>
      <w:r w:rsidRPr="008364C4">
        <w:rPr>
          <w:rFonts w:ascii="Times New Roman" w:hAnsi="Times New Roman"/>
          <w:sz w:val="28"/>
        </w:rPr>
        <w:t>persons</w:t>
      </w:r>
      <w:proofErr w:type="gramEnd"/>
      <w:r w:rsidR="005B21C5">
        <w:rPr>
          <w:rFonts w:ascii="Times New Roman" w:hAnsi="Times New Roman"/>
          <w:sz w:val="28"/>
        </w:rPr>
        <w:t xml:space="preserve"> personal data</w:t>
      </w:r>
      <w:r w:rsidRPr="008364C4">
        <w:rPr>
          <w:rFonts w:ascii="Times New Roman" w:hAnsi="Times New Roman"/>
          <w:sz w:val="28"/>
        </w:rPr>
        <w:t xml:space="preserve">, the consent of the declarer does not reflect on them and they should be </w:t>
      </w:r>
      <w:proofErr w:type="spellStart"/>
      <w:r w:rsidRPr="008364C4">
        <w:rPr>
          <w:rFonts w:ascii="Times New Roman" w:hAnsi="Times New Roman"/>
          <w:sz w:val="28"/>
        </w:rPr>
        <w:t>anonymised</w:t>
      </w:r>
      <w:proofErr w:type="spellEnd"/>
      <w:r w:rsidRPr="008364C4">
        <w:rPr>
          <w:rFonts w:ascii="Times New Roman" w:hAnsi="Times New Roman"/>
          <w:sz w:val="28"/>
        </w:rPr>
        <w:t xml:space="preserv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With regard to the recent amendments to the Law on Publicity of the Property of Persons Occupying High State Positions and Other Positions which extended the scope of the liable persons, CPDP received a request for an opinion concerning the public access to the declaration posted on the website of the Court of Auditors. CPDP expressed the opinion that the posting of data of the liable persons as a form of personal data processing under LPPD is permissible and lawful, as in this case the data are collected for specified, specific and legitimate purposes, namely: for ensuring publicity and transparency of the property </w:t>
      </w:r>
      <w:r w:rsidRPr="00247514">
        <w:rPr>
          <w:rFonts w:ascii="Times New Roman" w:hAnsi="Times New Roman"/>
          <w:sz w:val="28"/>
        </w:rPr>
        <w:t xml:space="preserve">of </w:t>
      </w:r>
      <w:r w:rsidR="00247514" w:rsidRPr="00247514">
        <w:rPr>
          <w:rFonts w:ascii="Times New Roman" w:hAnsi="Times New Roman"/>
          <w:sz w:val="28"/>
        </w:rPr>
        <w:t>public persons</w:t>
      </w:r>
      <w:r w:rsidRPr="00247514">
        <w:rPr>
          <w:rFonts w:ascii="Times New Roman" w:hAnsi="Times New Roman"/>
          <w:sz w:val="28"/>
        </w:rPr>
        <w:t xml:space="preserve"> </w:t>
      </w:r>
      <w:r w:rsidRPr="008364C4">
        <w:rPr>
          <w:rFonts w:ascii="Times New Roman" w:hAnsi="Times New Roman"/>
          <w:sz w:val="28"/>
        </w:rPr>
        <w:t xml:space="preserve">from the public and private sector who </w:t>
      </w:r>
      <w:r w:rsidR="005B21C5">
        <w:rPr>
          <w:rFonts w:ascii="Times New Roman" w:hAnsi="Times New Roman"/>
          <w:sz w:val="28"/>
        </w:rPr>
        <w:t xml:space="preserve">considering </w:t>
      </w:r>
      <w:r w:rsidRPr="008364C4">
        <w:rPr>
          <w:rFonts w:ascii="Times New Roman" w:hAnsi="Times New Roman"/>
          <w:sz w:val="28"/>
        </w:rPr>
        <w:t xml:space="preserve">their positions and functions have a reduced level of protection than the other citizens. In terms of the </w:t>
      </w:r>
      <w:r w:rsidRPr="008364C4">
        <w:rPr>
          <w:rFonts w:ascii="Times New Roman" w:hAnsi="Times New Roman"/>
          <w:sz w:val="28"/>
        </w:rPr>
        <w:lastRenderedPageBreak/>
        <w:t xml:space="preserve">consent included as part of the declaration form, the position of the CPDP supports the fact that the consent is required under a special law and in fact is a duty to provide relevant information for the purposes of publicity of the property of persons occupying high state, public and other positions in the public and private sectors, and therefore its absence cannot block the implementation of the mandatory provisions of the Law on Publicity of the Property of Persons Occupying High State Positions and Other Positions in the Public and Private Sectors. Even the absence of the consent of the persons liable for publishing the information contained in the declarations, due to the availability of a legal obligation for the Court of Auditors to publish such information, which is also a performance of a task of public interest, the public disclosure of such information is permissible and lawful.  In its opinion, CPDP made an analysis of the purpose of the Law on Publicity of the Property of Persons Occupying High State Positions and Other Positions in the Public and Private Sectors, namely: that the property of these persons should always be known as a type of anti-corruption measure which cannot be limited under LPPD. Reasons for this may also be sought in Decision 4 dated 26 March 2012 under constitutional case 14/201, which confirms the adopted in 1996 interpretation of the balance between the two rights – for </w:t>
      </w:r>
      <w:r w:rsidR="00247514" w:rsidRPr="00247514">
        <w:rPr>
          <w:rFonts w:ascii="Times New Roman" w:hAnsi="Times New Roman"/>
          <w:sz w:val="28"/>
        </w:rPr>
        <w:t>public persons</w:t>
      </w:r>
      <w:r w:rsidRPr="00247514">
        <w:rPr>
          <w:rFonts w:ascii="Times New Roman" w:hAnsi="Times New Roman"/>
          <w:sz w:val="28"/>
        </w:rPr>
        <w:t xml:space="preserve"> </w:t>
      </w:r>
      <w:r w:rsidRPr="008364C4">
        <w:rPr>
          <w:rFonts w:ascii="Times New Roman" w:hAnsi="Times New Roman"/>
          <w:sz w:val="28"/>
        </w:rPr>
        <w:t>the protection of personal data is "much reduced" compared to the</w:t>
      </w:r>
      <w:r w:rsidR="005B21C5">
        <w:rPr>
          <w:rFonts w:ascii="Times New Roman" w:hAnsi="Times New Roman"/>
          <w:sz w:val="28"/>
        </w:rPr>
        <w:t xml:space="preserve"> other </w:t>
      </w:r>
      <w:proofErr w:type="spellStart"/>
      <w:r w:rsidR="005B21C5">
        <w:rPr>
          <w:rFonts w:ascii="Times New Roman" w:hAnsi="Times New Roman"/>
          <w:sz w:val="28"/>
        </w:rPr>
        <w:t>individulas</w:t>
      </w:r>
      <w:proofErr w:type="spellEnd"/>
      <w:r w:rsidR="005B21C5">
        <w:rPr>
          <w:rFonts w:ascii="Times New Roman" w:hAnsi="Times New Roman"/>
          <w:sz w:val="28"/>
        </w:rPr>
        <w:t xml:space="preserve"> personal data protection</w:t>
      </w:r>
      <w:r w:rsidRPr="008364C4">
        <w:rPr>
          <w:rFonts w:ascii="Times New Roman" w:hAnsi="Times New Roman"/>
          <w:sz w:val="28"/>
        </w:rPr>
        <w:t xml:space="preserve">. </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numPr>
          <w:ilvl w:val="0"/>
          <w:numId w:val="25"/>
        </w:numPr>
        <w:tabs>
          <w:tab w:val="left" w:pos="993"/>
        </w:tabs>
        <w:spacing w:after="0" w:line="360" w:lineRule="auto"/>
        <w:jc w:val="both"/>
        <w:rPr>
          <w:rFonts w:ascii="Times New Roman" w:hAnsi="Times New Roman"/>
          <w:b/>
          <w:sz w:val="28"/>
          <w:szCs w:val="28"/>
        </w:rPr>
      </w:pPr>
      <w:r w:rsidRPr="008364C4">
        <w:rPr>
          <w:rFonts w:ascii="Times New Roman" w:hAnsi="Times New Roman"/>
          <w:b/>
          <w:sz w:val="28"/>
        </w:rPr>
        <w:t>Sensitive data</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Ot</w:t>
      </w:r>
      <w:r w:rsidR="005B21C5">
        <w:rPr>
          <w:rFonts w:ascii="Times New Roman" w:hAnsi="Times New Roman"/>
          <w:sz w:val="28"/>
        </w:rPr>
        <w:t>her opinions of CPDP in 2013 were</w:t>
      </w:r>
      <w:r w:rsidRPr="008364C4">
        <w:rPr>
          <w:rFonts w:ascii="Times New Roman" w:hAnsi="Times New Roman"/>
          <w:sz w:val="28"/>
        </w:rPr>
        <w:t xml:space="preserve"> related to </w:t>
      </w:r>
      <w:r w:rsidR="005B21C5">
        <w:rPr>
          <w:rFonts w:ascii="Times New Roman" w:hAnsi="Times New Roman"/>
          <w:sz w:val="28"/>
        </w:rPr>
        <w:t xml:space="preserve">the </w:t>
      </w:r>
      <w:r w:rsidRPr="008364C4">
        <w:rPr>
          <w:rFonts w:ascii="Times New Roman" w:hAnsi="Times New Roman"/>
          <w:sz w:val="28"/>
        </w:rPr>
        <w:t xml:space="preserve">access to the so-called "sensitive data" whose processing is generally prohibited under Art. </w:t>
      </w:r>
      <w:proofErr w:type="gramStart"/>
      <w:r w:rsidRPr="008364C4">
        <w:rPr>
          <w:rFonts w:ascii="Times New Roman" w:hAnsi="Times New Roman"/>
          <w:sz w:val="28"/>
        </w:rPr>
        <w:t>5 (1) of LPPD.</w:t>
      </w:r>
      <w:proofErr w:type="gramEnd"/>
      <w:r w:rsidRPr="008364C4">
        <w:rPr>
          <w:rFonts w:ascii="Times New Roman" w:hAnsi="Times New Roman"/>
          <w:sz w:val="28"/>
        </w:rPr>
        <w:t xml:space="preserv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As an example may serve a request filed by the Ministry of Health, </w:t>
      </w:r>
      <w:r w:rsidR="005B21C5">
        <w:rPr>
          <w:rFonts w:ascii="Times New Roman" w:hAnsi="Times New Roman"/>
          <w:sz w:val="28"/>
        </w:rPr>
        <w:t>which stated</w:t>
      </w:r>
      <w:r w:rsidRPr="008364C4">
        <w:rPr>
          <w:rFonts w:ascii="Times New Roman" w:hAnsi="Times New Roman"/>
          <w:sz w:val="28"/>
        </w:rPr>
        <w:t xml:space="preserve"> that the Director of the State Psychiatric Hospital in a Bulgarian town approached the Ministry with a request for "guidance" in connection with a letter of the Ministry</w:t>
      </w:r>
      <w:r w:rsidR="005B21C5">
        <w:rPr>
          <w:rFonts w:ascii="Times New Roman" w:hAnsi="Times New Roman"/>
          <w:sz w:val="28"/>
        </w:rPr>
        <w:t xml:space="preserve"> of Interior</w:t>
      </w:r>
      <w:r w:rsidR="005B21C5" w:rsidRPr="005B21C5">
        <w:rPr>
          <w:rFonts w:ascii="Times New Roman" w:hAnsi="Times New Roman"/>
          <w:sz w:val="28"/>
        </w:rPr>
        <w:t xml:space="preserve"> </w:t>
      </w:r>
      <w:r w:rsidR="005B21C5" w:rsidRPr="008364C4">
        <w:rPr>
          <w:rFonts w:ascii="Times New Roman" w:hAnsi="Times New Roman"/>
          <w:sz w:val="28"/>
        </w:rPr>
        <w:t>Regi</w:t>
      </w:r>
      <w:r w:rsidR="005B21C5">
        <w:rPr>
          <w:rFonts w:ascii="Times New Roman" w:hAnsi="Times New Roman"/>
          <w:sz w:val="28"/>
        </w:rPr>
        <w:t>onal Directorate</w:t>
      </w:r>
      <w:r w:rsidRPr="008364C4">
        <w:rPr>
          <w:rFonts w:ascii="Times New Roman" w:hAnsi="Times New Roman"/>
          <w:sz w:val="28"/>
        </w:rPr>
        <w:t xml:space="preserve"> to provide </w:t>
      </w:r>
      <w:proofErr w:type="gramStart"/>
      <w:r w:rsidRPr="008364C4">
        <w:rPr>
          <w:rFonts w:ascii="Times New Roman" w:hAnsi="Times New Roman"/>
          <w:sz w:val="28"/>
        </w:rPr>
        <w:t>a</w:t>
      </w:r>
      <w:proofErr w:type="gramEnd"/>
      <w:r w:rsidRPr="008364C4">
        <w:rPr>
          <w:rFonts w:ascii="Times New Roman" w:hAnsi="Times New Roman"/>
          <w:sz w:val="28"/>
        </w:rPr>
        <w:t xml:space="preserve"> "updated list of the currently hospitalized mentally ill persons". In this case CPDP expressed an </w:t>
      </w:r>
      <w:r w:rsidRPr="008364C4">
        <w:rPr>
          <w:rFonts w:ascii="Times New Roman" w:hAnsi="Times New Roman"/>
          <w:sz w:val="28"/>
        </w:rPr>
        <w:lastRenderedPageBreak/>
        <w:t>opinion that the requirement for maintenance of a list of mentally ill persons by police and junior police inspectors laid down under Art. 20 (1) (7) of Instruction 1з-2295 dated 2012 on the organization of operation at the Ministry of Interior on the territorial service to citizens, is contrary to the conditions for provision of health information under Article 28 (1) of the Law on Health, which protects the patients' rights, and in this particular case – the rights of the patients with mental disorders hospitalized in the respective State Psychiatric Hospital. Furthermore, the Constitution of the Republic of Bulgaria contains several basic principles regarding mentally ill persons, namely: persons with physical and mental disorders are subject to special protection by the state and society (Art. 51 (3))</w:t>
      </w:r>
      <w:proofErr w:type="gramStart"/>
      <w:r w:rsidRPr="008364C4">
        <w:rPr>
          <w:rFonts w:ascii="Times New Roman" w:hAnsi="Times New Roman"/>
          <w:sz w:val="28"/>
        </w:rPr>
        <w:t>,</w:t>
      </w:r>
      <w:proofErr w:type="gramEnd"/>
      <w:r w:rsidRPr="008364C4">
        <w:rPr>
          <w:rFonts w:ascii="Times New Roman" w:hAnsi="Times New Roman"/>
          <w:sz w:val="28"/>
        </w:rPr>
        <w:t xml:space="preserve"> the state shall protect the health of citizens (Art. 52 (3)). In addition, the text of the instruction is in absolute conflict with the provisions of Art. 157 (1) of the Law on the Ministry of Interior, which explicitly prohibits the collection of information about citizens on their health condition only (Art. 157 (1) of the Law on the Ministry of Interior). In view of the aforementioned, the Commission expressed an opinion that the requested information (updated list of the hospitalized mentally ill persons) should </w:t>
      </w:r>
      <w:r w:rsidR="005B21C5">
        <w:rPr>
          <w:rFonts w:ascii="Times New Roman" w:hAnsi="Times New Roman"/>
          <w:sz w:val="28"/>
        </w:rPr>
        <w:t xml:space="preserve">not </w:t>
      </w:r>
      <w:r w:rsidRPr="008364C4">
        <w:rPr>
          <w:rFonts w:ascii="Times New Roman" w:hAnsi="Times New Roman"/>
          <w:sz w:val="28"/>
        </w:rPr>
        <w:t xml:space="preserve">be provided. Such a provision would be contrary to the provisions of Art.4 (1) and Art. </w:t>
      </w:r>
      <w:proofErr w:type="gramStart"/>
      <w:r w:rsidRPr="008364C4">
        <w:rPr>
          <w:rFonts w:ascii="Times New Roman" w:hAnsi="Times New Roman"/>
          <w:sz w:val="28"/>
        </w:rPr>
        <w:t>5 (2) of LPPD, the provision of Art.</w:t>
      </w:r>
      <w:proofErr w:type="gramEnd"/>
      <w:r w:rsidRPr="008364C4">
        <w:rPr>
          <w:rFonts w:ascii="Times New Roman" w:hAnsi="Times New Roman"/>
          <w:sz w:val="28"/>
        </w:rPr>
        <w:t xml:space="preserve"> </w:t>
      </w:r>
      <w:proofErr w:type="gramStart"/>
      <w:r w:rsidRPr="008364C4">
        <w:rPr>
          <w:rFonts w:ascii="Times New Roman" w:hAnsi="Times New Roman"/>
          <w:sz w:val="28"/>
        </w:rPr>
        <w:t>28 of the Law on Health, as well as the provision of Art.</w:t>
      </w:r>
      <w:proofErr w:type="gramEnd"/>
      <w:r w:rsidRPr="008364C4">
        <w:rPr>
          <w:rFonts w:ascii="Times New Roman" w:hAnsi="Times New Roman"/>
          <w:sz w:val="28"/>
        </w:rPr>
        <w:t xml:space="preserve"> </w:t>
      </w:r>
      <w:proofErr w:type="gramStart"/>
      <w:r w:rsidRPr="008364C4">
        <w:rPr>
          <w:rFonts w:ascii="Times New Roman" w:hAnsi="Times New Roman"/>
          <w:sz w:val="28"/>
        </w:rPr>
        <w:t>157 (1) of the Law on the Ministry of Interior.</w:t>
      </w:r>
      <w:proofErr w:type="gramEnd"/>
      <w:r w:rsidRPr="008364C4">
        <w:rPr>
          <w:rFonts w:ascii="Times New Roman" w:hAnsi="Times New Roman"/>
          <w:sz w:val="28"/>
        </w:rPr>
        <w:t xml:space="preserve"> In this case, the provision of such requested information about the persons hospitalized in this hospital would violate the principles of appropriateness and proportionality, as laid out under Art. </w:t>
      </w:r>
      <w:proofErr w:type="gramStart"/>
      <w:r w:rsidRPr="008364C4">
        <w:rPr>
          <w:rFonts w:ascii="Times New Roman" w:hAnsi="Times New Roman"/>
          <w:sz w:val="28"/>
        </w:rPr>
        <w:t>2 (2) of LPPD.</w:t>
      </w:r>
      <w:proofErr w:type="gramEnd"/>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the Commission expressed another opinion on processing of sensitive data </w:t>
      </w:r>
      <w:r w:rsidR="00E77042">
        <w:rPr>
          <w:rFonts w:ascii="Times New Roman" w:hAnsi="Times New Roman"/>
          <w:sz w:val="28"/>
        </w:rPr>
        <w:t xml:space="preserve">on </w:t>
      </w:r>
      <w:r w:rsidRPr="008364C4">
        <w:rPr>
          <w:rFonts w:ascii="Times New Roman" w:hAnsi="Times New Roman"/>
          <w:sz w:val="28"/>
        </w:rPr>
        <w:t>requests filed by the National Health Insurance F</w:t>
      </w:r>
      <w:r w:rsidR="00E77042">
        <w:rPr>
          <w:rFonts w:ascii="Times New Roman" w:hAnsi="Times New Roman"/>
          <w:sz w:val="28"/>
        </w:rPr>
        <w:t>und (NHIF).  One of them was related</w:t>
      </w:r>
      <w:r w:rsidRPr="008364C4">
        <w:rPr>
          <w:rFonts w:ascii="Times New Roman" w:hAnsi="Times New Roman"/>
          <w:sz w:val="28"/>
        </w:rPr>
        <w:t xml:space="preserve"> to the provision of lists containing information on persons qualified by Ministry of Defence as military disabled and military suffered to pharmacies which have entered into contracts with NHIF for dispensing medicines. CPDP ruled that NHIF is allowed to provide the requested information to the pharmacies which have entered into contracts with NHIF pursuant to Art. 4 (1) (1) </w:t>
      </w:r>
      <w:r w:rsidRPr="008364C4">
        <w:rPr>
          <w:rFonts w:ascii="Times New Roman" w:hAnsi="Times New Roman"/>
          <w:sz w:val="28"/>
        </w:rPr>
        <w:lastRenderedPageBreak/>
        <w:t xml:space="preserve">and (4) of LPPD, namely: the processing of personal data of individuals is permitted if it is necessary for the data controller to perform a statutory obligation, as well as when the processing is necessary to protect the life and health of the individual to whom the data relates. The provision of personal data is admissible in connection with Art. 28 (1) (7) of the Law on Health, which stipulates that health information about individuals can be provided to third parties when it is necessary for the purposes of the Ministry of Health, the National </w:t>
      </w:r>
      <w:proofErr w:type="spellStart"/>
      <w:r w:rsidRPr="008364C4">
        <w:rPr>
          <w:rFonts w:ascii="Times New Roman" w:hAnsi="Times New Roman"/>
          <w:sz w:val="28"/>
        </w:rPr>
        <w:t>Center</w:t>
      </w:r>
      <w:proofErr w:type="spellEnd"/>
      <w:r w:rsidRPr="008364C4">
        <w:rPr>
          <w:rFonts w:ascii="Times New Roman" w:hAnsi="Times New Roman"/>
          <w:sz w:val="28"/>
        </w:rPr>
        <w:t xml:space="preserve"> for Health Information, NHIF, the regional health inspections and the National Institute of Statistics.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national Health Insurance Fund also approached CPDP on issues concerning the transfer of personal data under Art. </w:t>
      </w:r>
      <w:proofErr w:type="gramStart"/>
      <w:r w:rsidRPr="008364C4">
        <w:rPr>
          <w:rFonts w:ascii="Times New Roman" w:hAnsi="Times New Roman"/>
          <w:sz w:val="28"/>
        </w:rPr>
        <w:t>5 (1) of LPPD to insurance companies, referring to the Insurance Code.</w:t>
      </w:r>
      <w:proofErr w:type="gramEnd"/>
      <w:r w:rsidRPr="008364C4">
        <w:rPr>
          <w:rFonts w:ascii="Times New Roman" w:hAnsi="Times New Roman"/>
          <w:sz w:val="28"/>
        </w:rPr>
        <w:t xml:space="preserve"> The opinion of CPDP is that NHIF and RHIF are allowed to provide personal data stored in the information registers maintained by these institutions upon receiving a request by insurance companies in relation to the occurrence of insurance events under Third Party Liability Insurance and Life Insurance.</w:t>
      </w:r>
    </w:p>
    <w:p w:rsidR="00507B5F" w:rsidRPr="008364C4" w:rsidRDefault="00507B5F" w:rsidP="00507B5F">
      <w:pPr>
        <w:spacing w:after="0" w:line="360" w:lineRule="auto"/>
        <w:ind w:firstLine="709"/>
        <w:jc w:val="both"/>
        <w:rPr>
          <w:rFonts w:ascii="Times New Roman" w:hAnsi="Times New Roman"/>
          <w:b/>
          <w:sz w:val="28"/>
          <w:szCs w:val="28"/>
        </w:rPr>
      </w:pPr>
    </w:p>
    <w:p w:rsidR="00507B5F" w:rsidRPr="008364C4" w:rsidRDefault="00507B5F" w:rsidP="00507B5F">
      <w:pPr>
        <w:numPr>
          <w:ilvl w:val="0"/>
          <w:numId w:val="25"/>
        </w:numPr>
        <w:tabs>
          <w:tab w:val="left" w:pos="993"/>
        </w:tabs>
        <w:spacing w:after="0" w:line="360" w:lineRule="auto"/>
        <w:ind w:left="0" w:firstLine="709"/>
        <w:jc w:val="both"/>
        <w:rPr>
          <w:rFonts w:ascii="Times New Roman" w:hAnsi="Times New Roman"/>
          <w:b/>
          <w:sz w:val="28"/>
          <w:szCs w:val="28"/>
        </w:rPr>
      </w:pPr>
      <w:r w:rsidRPr="008364C4">
        <w:rPr>
          <w:rFonts w:ascii="Times New Roman" w:hAnsi="Times New Roman"/>
          <w:b/>
          <w:sz w:val="28"/>
        </w:rPr>
        <w:t>Opinions on ma</w:t>
      </w:r>
      <w:r w:rsidR="00426B47">
        <w:rPr>
          <w:rFonts w:ascii="Times New Roman" w:hAnsi="Times New Roman"/>
          <w:b/>
          <w:sz w:val="28"/>
        </w:rPr>
        <w:t>tters of important</w:t>
      </w:r>
      <w:r w:rsidRPr="008364C4">
        <w:rPr>
          <w:rFonts w:ascii="Times New Roman" w:hAnsi="Times New Roman"/>
          <w:b/>
          <w:sz w:val="28"/>
        </w:rPr>
        <w:t xml:space="preserve"> public interest</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sz w:val="28"/>
        </w:rPr>
        <w:t xml:space="preserve">In 2013 CPDP expressed an opinion on issues related to the protection of personal data in connection with the conditions and procedures for the certification of the Bulgarian origin of applicants for Bulgarian citizenship. To rule on the request for an opinion, CPDP analysed the legal framework regulating the public relations in connection with the acquisition of Bulgarian citizenship through naturalization. The legislator has determined a strict procedure under which persons who are not Bulgarian citizens by origin or place of birth may acquire Bulgarian citizenship through naturalization. Based on </w:t>
      </w:r>
      <w:r w:rsidR="00426B47">
        <w:rPr>
          <w:rFonts w:ascii="Times New Roman" w:hAnsi="Times New Roman"/>
          <w:sz w:val="28"/>
        </w:rPr>
        <w:t xml:space="preserve">the </w:t>
      </w:r>
      <w:r w:rsidRPr="008364C4">
        <w:rPr>
          <w:rFonts w:ascii="Times New Roman" w:hAnsi="Times New Roman"/>
          <w:sz w:val="28"/>
        </w:rPr>
        <w:t xml:space="preserve">legal analysis, CPDP assumed that given the complex factual composition of the procedure for acquisition of Bulgarian citizenship through naturalization under the Law on the Bulgarian Citizenship, in order to exercise the powers of the Minister of Justice </w:t>
      </w:r>
      <w:r w:rsidRPr="008364C4">
        <w:rPr>
          <w:rFonts w:ascii="Times New Roman" w:hAnsi="Times New Roman"/>
          <w:sz w:val="28"/>
        </w:rPr>
        <w:lastRenderedPageBreak/>
        <w:t xml:space="preserve">and pursuant to the provisions of Art. </w:t>
      </w:r>
      <w:proofErr w:type="gramStart"/>
      <w:r w:rsidRPr="008364C4">
        <w:rPr>
          <w:rFonts w:ascii="Times New Roman" w:hAnsi="Times New Roman"/>
          <w:sz w:val="28"/>
        </w:rPr>
        <w:t>4 (1) (1) and (5) in conjunction with the provision of Art.</w:t>
      </w:r>
      <w:proofErr w:type="gramEnd"/>
      <w:r w:rsidRPr="008364C4">
        <w:rPr>
          <w:rFonts w:ascii="Times New Roman" w:hAnsi="Times New Roman"/>
          <w:sz w:val="28"/>
        </w:rPr>
        <w:t xml:space="preserve"> 5 (2) (2) of LPPD, the State Agency for the Bulgarians Abroad should provide the Ministry of Justice with the files on the certificates of Bulgarian origin issued by the Agency and containing personal data of applicants for Bulgarian citizenship through naturalization.</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Furthermore, in 2013 CPDP expressed an opinion in connection with a request filed by the Chairperson and the Secretary of the Central Election Commission in connection with the parliamentary elections.</w:t>
      </w:r>
    </w:p>
    <w:p w:rsidR="00507B5F" w:rsidRPr="008364C4" w:rsidRDefault="00426B47" w:rsidP="00507B5F">
      <w:pPr>
        <w:spacing w:after="0" w:line="360" w:lineRule="auto"/>
        <w:ind w:firstLine="709"/>
        <w:jc w:val="both"/>
        <w:rPr>
          <w:rFonts w:ascii="Times New Roman" w:hAnsi="Times New Roman"/>
          <w:sz w:val="28"/>
          <w:szCs w:val="28"/>
        </w:rPr>
      </w:pPr>
      <w:r>
        <w:rPr>
          <w:rFonts w:ascii="Times New Roman" w:hAnsi="Times New Roman"/>
          <w:sz w:val="28"/>
        </w:rPr>
        <w:t>The first question concerned the need for registration in</w:t>
      </w:r>
      <w:r w:rsidR="00507B5F" w:rsidRPr="008364C4">
        <w:rPr>
          <w:rFonts w:ascii="Times New Roman" w:hAnsi="Times New Roman"/>
          <w:sz w:val="28"/>
        </w:rPr>
        <w:t xml:space="preserve"> CPDP of the nomination committees for indepe</w:t>
      </w:r>
      <w:r>
        <w:rPr>
          <w:rFonts w:ascii="Times New Roman" w:hAnsi="Times New Roman"/>
          <w:sz w:val="28"/>
        </w:rPr>
        <w:t xml:space="preserve">ndent candidates for </w:t>
      </w:r>
      <w:r w:rsidR="00507B5F" w:rsidRPr="008364C4">
        <w:rPr>
          <w:rFonts w:ascii="Times New Roman" w:hAnsi="Times New Roman"/>
          <w:sz w:val="28"/>
        </w:rPr>
        <w:t>parliament</w:t>
      </w:r>
      <w:r>
        <w:rPr>
          <w:rFonts w:ascii="Times New Roman" w:hAnsi="Times New Roman"/>
          <w:sz w:val="28"/>
        </w:rPr>
        <w:t xml:space="preserve"> members</w:t>
      </w:r>
      <w:r w:rsidR="00507B5F" w:rsidRPr="008364C4">
        <w:rPr>
          <w:rFonts w:ascii="Times New Roman" w:hAnsi="Times New Roman"/>
          <w:sz w:val="28"/>
        </w:rPr>
        <w:t>. The Commission indicated that the nomination committees for independent cand</w:t>
      </w:r>
      <w:r>
        <w:rPr>
          <w:rFonts w:ascii="Times New Roman" w:hAnsi="Times New Roman"/>
          <w:sz w:val="28"/>
        </w:rPr>
        <w:t>idates for parliament members</w:t>
      </w:r>
      <w:r w:rsidR="00507B5F" w:rsidRPr="008364C4">
        <w:rPr>
          <w:rFonts w:ascii="Times New Roman" w:hAnsi="Times New Roman"/>
          <w:sz w:val="28"/>
        </w:rPr>
        <w:t xml:space="preserve"> under Art. 96 (2) of the Election Code are data controllers and they are required to be registered with CPDP.  </w:t>
      </w:r>
    </w:p>
    <w:p w:rsidR="00507B5F" w:rsidRPr="008364C4" w:rsidRDefault="00426B47" w:rsidP="00507B5F">
      <w:pPr>
        <w:spacing w:after="0" w:line="360" w:lineRule="auto"/>
        <w:ind w:firstLine="709"/>
        <w:jc w:val="both"/>
        <w:rPr>
          <w:rFonts w:ascii="Times New Roman" w:hAnsi="Times New Roman"/>
          <w:sz w:val="28"/>
          <w:szCs w:val="28"/>
        </w:rPr>
      </w:pPr>
      <w:r>
        <w:rPr>
          <w:rFonts w:ascii="Times New Roman" w:hAnsi="Times New Roman"/>
          <w:sz w:val="28"/>
        </w:rPr>
        <w:t>The second question was</w:t>
      </w:r>
      <w:r w:rsidR="00507B5F" w:rsidRPr="008364C4">
        <w:rPr>
          <w:rFonts w:ascii="Times New Roman" w:hAnsi="Times New Roman"/>
          <w:sz w:val="28"/>
        </w:rPr>
        <w:t xml:space="preserve"> related to the forthcoming parliamentary elections and the amendment and supplements to the Election Code adopted in February 2013 according to which the CEC has new obligations.  In relation to the new obligation to broadcast the meetings of CEC in real time on the Internet, CPDP delivered an opinion that it is lawful and permissible </w:t>
      </w:r>
      <w:r>
        <w:rPr>
          <w:rFonts w:ascii="Times New Roman" w:hAnsi="Times New Roman"/>
          <w:sz w:val="28"/>
        </w:rPr>
        <w:t xml:space="preserve">considering the </w:t>
      </w:r>
      <w:r w:rsidR="00507B5F" w:rsidRPr="008364C4">
        <w:rPr>
          <w:rFonts w:ascii="Times New Roman" w:hAnsi="Times New Roman"/>
          <w:sz w:val="28"/>
        </w:rPr>
        <w:t xml:space="preserve">legal obligation </w:t>
      </w:r>
      <w:r>
        <w:rPr>
          <w:rFonts w:ascii="Times New Roman" w:hAnsi="Times New Roman"/>
          <w:sz w:val="28"/>
        </w:rPr>
        <w:t xml:space="preserve">set </w:t>
      </w:r>
      <w:r w:rsidR="00507B5F" w:rsidRPr="008364C4">
        <w:rPr>
          <w:rFonts w:ascii="Times New Roman" w:hAnsi="Times New Roman"/>
          <w:sz w:val="28"/>
        </w:rPr>
        <w:t>with the new provisions of the Electio</w:t>
      </w:r>
      <w:r>
        <w:rPr>
          <w:rFonts w:ascii="Times New Roman" w:hAnsi="Times New Roman"/>
          <w:sz w:val="28"/>
        </w:rPr>
        <w:t>ns Code and the performance</w:t>
      </w:r>
      <w:r w:rsidR="00507B5F" w:rsidRPr="008364C4">
        <w:rPr>
          <w:rFonts w:ascii="Times New Roman" w:hAnsi="Times New Roman"/>
          <w:sz w:val="28"/>
        </w:rPr>
        <w:t xml:space="preserve"> of a task which is in the public interest in order to </w:t>
      </w:r>
      <w:proofErr w:type="spellStart"/>
      <w:r>
        <w:rPr>
          <w:rFonts w:ascii="Times New Roman" w:hAnsi="Times New Roman"/>
          <w:sz w:val="28"/>
        </w:rPr>
        <w:t>aknowledge</w:t>
      </w:r>
      <w:proofErr w:type="spellEnd"/>
      <w:r>
        <w:rPr>
          <w:rFonts w:ascii="Times New Roman" w:hAnsi="Times New Roman"/>
          <w:sz w:val="28"/>
        </w:rPr>
        <w:t xml:space="preserve"> the public with </w:t>
      </w:r>
      <w:r w:rsidR="00507B5F" w:rsidRPr="008364C4">
        <w:rPr>
          <w:rFonts w:ascii="Times New Roman" w:hAnsi="Times New Roman"/>
          <w:sz w:val="28"/>
        </w:rPr>
        <w:t>the important issues discussed at the</w:t>
      </w:r>
      <w:r>
        <w:rPr>
          <w:rFonts w:ascii="Times New Roman" w:hAnsi="Times New Roman"/>
          <w:sz w:val="28"/>
        </w:rPr>
        <w:t xml:space="preserve"> CEC meetings</w:t>
      </w:r>
      <w:r w:rsidR="00507B5F" w:rsidRPr="008364C4">
        <w:rPr>
          <w:rFonts w:ascii="Times New Roman" w:hAnsi="Times New Roman"/>
          <w:sz w:val="28"/>
        </w:rPr>
        <w:t>.</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An important CPDP</w:t>
      </w:r>
      <w:r w:rsidR="00426B47">
        <w:rPr>
          <w:rFonts w:ascii="Times New Roman" w:hAnsi="Times New Roman"/>
          <w:sz w:val="28"/>
        </w:rPr>
        <w:t>'s opinion of public interest was</w:t>
      </w:r>
      <w:r w:rsidRPr="008364C4">
        <w:rPr>
          <w:rFonts w:ascii="Times New Roman" w:hAnsi="Times New Roman"/>
          <w:sz w:val="28"/>
        </w:rPr>
        <w:t xml:space="preserve"> the opinion</w:t>
      </w:r>
      <w:r w:rsidR="00426B47">
        <w:rPr>
          <w:rFonts w:ascii="Times New Roman" w:hAnsi="Times New Roman"/>
          <w:sz w:val="28"/>
        </w:rPr>
        <w:t xml:space="preserve"> in connection with the right of</w:t>
      </w:r>
      <w:r w:rsidRPr="008364C4">
        <w:rPr>
          <w:rFonts w:ascii="Times New Roman" w:hAnsi="Times New Roman"/>
          <w:sz w:val="28"/>
        </w:rPr>
        <w:t xml:space="preserve"> access to maps of </w:t>
      </w:r>
      <w:proofErr w:type="spellStart"/>
      <w:r w:rsidRPr="008364C4">
        <w:rPr>
          <w:rFonts w:ascii="Times New Roman" w:hAnsi="Times New Roman"/>
          <w:sz w:val="28"/>
        </w:rPr>
        <w:t>restituted</w:t>
      </w:r>
      <w:proofErr w:type="spellEnd"/>
      <w:r w:rsidRPr="008364C4">
        <w:rPr>
          <w:rFonts w:ascii="Times New Roman" w:hAnsi="Times New Roman"/>
          <w:sz w:val="28"/>
        </w:rPr>
        <w:t xml:space="preserve"> property and cadastral maps along the route of the project South Stream Gas Pipeline, as well as to the registers kept with those maps. A question was raised about the possibility of providing information on current ownership data along the gas pipeline route and the following data: full name, personal number and address of the owners and holders of other real rights over these properties. After examining the received request and after taking into account the exceptional public importance of the </w:t>
      </w:r>
      <w:r w:rsidRPr="008364C4">
        <w:rPr>
          <w:rFonts w:ascii="Times New Roman" w:hAnsi="Times New Roman"/>
          <w:sz w:val="28"/>
        </w:rPr>
        <w:lastRenderedPageBreak/>
        <w:t>project, the Commission ruled that there is a condition for admissibility of the processing – implementation of a task carried out in the public interest. The data of the individuals should be processed in strict compliance with the principles of appropriateness and proportionality of data, i.e. the data processing should involve the required minimum amount of data according to the objectives, and the nature and type of data should be consistent with them. South Stream Bulgaria AD, as a data controller, should fulfil its legal obligations to notify the individuals whose data are to be processed. The processed personal data should refer to the specific individuals only – the owners or holders of other real rights over real estates located along the route of the gas pipeline. In cases where there is a statutory time limit determined for the processing of data, they should be processed within that time limit. In</w:t>
      </w:r>
      <w:r w:rsidR="00426B47">
        <w:rPr>
          <w:rFonts w:ascii="Times New Roman" w:hAnsi="Times New Roman"/>
          <w:sz w:val="28"/>
        </w:rPr>
        <w:t xml:space="preserve"> cases where there is no such </w:t>
      </w:r>
      <w:r w:rsidRPr="008364C4">
        <w:rPr>
          <w:rFonts w:ascii="Times New Roman" w:hAnsi="Times New Roman"/>
          <w:sz w:val="28"/>
        </w:rPr>
        <w:t>time limit, the data controller is required to process the data for a period no longer than the period necessary to achieve the purposes for which data were received. The data controller</w:t>
      </w:r>
      <w:r w:rsidR="00426B47">
        <w:rPr>
          <w:rFonts w:ascii="Times New Roman" w:hAnsi="Times New Roman"/>
          <w:sz w:val="28"/>
        </w:rPr>
        <w:t xml:space="preserve"> should set</w:t>
      </w:r>
      <w:r w:rsidRPr="008364C4">
        <w:rPr>
          <w:rFonts w:ascii="Times New Roman" w:hAnsi="Times New Roman"/>
          <w:sz w:val="28"/>
        </w:rPr>
        <w:t xml:space="preserve"> the time limits for carrying out periodic reviews on the need to process data and on the deletion of personal data, whereas the measures and time limits for this purpose are determined by the instruction of the data controller.</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A question of substantial financial interest on which the Com</w:t>
      </w:r>
      <w:r w:rsidR="00387274">
        <w:rPr>
          <w:rFonts w:ascii="Times New Roman" w:hAnsi="Times New Roman"/>
          <w:sz w:val="28"/>
        </w:rPr>
        <w:t>mission expressed its opinion was</w:t>
      </w:r>
      <w:r w:rsidRPr="008364C4">
        <w:rPr>
          <w:rFonts w:ascii="Times New Roman" w:hAnsi="Times New Roman"/>
          <w:sz w:val="28"/>
        </w:rPr>
        <w:t xml:space="preserve"> the implementation in Bulgaria of the Foreign Account Tax Compliance Act of U.S. taxpayers, adopted by the U.S. Congress - FATCA. The request was filed by the representatives of a bank based in Bulgaria, part of a multinational company. The main purpose of FATCA is to enable the U.S. tax authorities to combat cross-border fraud of U.S. persons with accounts and financial assets abroad. This objective will be achieve</w:t>
      </w:r>
      <w:r w:rsidR="00387274">
        <w:rPr>
          <w:rFonts w:ascii="Times New Roman" w:hAnsi="Times New Roman"/>
          <w:sz w:val="28"/>
        </w:rPr>
        <w:t>d by building a global system for</w:t>
      </w:r>
      <w:r w:rsidRPr="008364C4">
        <w:rPr>
          <w:rFonts w:ascii="Times New Roman" w:hAnsi="Times New Roman"/>
          <w:sz w:val="28"/>
        </w:rPr>
        <w:t xml:space="preserve"> automatic information exchange which imposes an obligation on all foreign financial institutions to provide information to the American Internal Revenue Service (IRS) about all accounts of U.S. taxpayers or foreign companies that are owned by U.S. taxpayers. Thus FATCA creates numerous new obligations for all foreign financial institutions. After a thorough analysis, CPDP assumed that due to </w:t>
      </w:r>
      <w:r w:rsidRPr="008364C4">
        <w:rPr>
          <w:rFonts w:ascii="Times New Roman" w:hAnsi="Times New Roman"/>
          <w:sz w:val="28"/>
        </w:rPr>
        <w:lastRenderedPageBreak/>
        <w:t xml:space="preserve">the fact that at this moment for the Bulgarian bank there is no regulatory obligation to provide personal data of its customers–individuals subject to the U.S. tax law to another data controller in the United States relating to the implementation of FATCA, there is no legal basis for CPDP to allow data transfer to the United States. Data transfer based solely on the consent of the individuals would be excessive and contrary to the principle of the legality of the processing of personal data because of the lack of regulatory basis to require the consent of the individuals. </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spacing w:after="0" w:line="360" w:lineRule="auto"/>
        <w:ind w:firstLine="709"/>
        <w:jc w:val="both"/>
        <w:rPr>
          <w:rFonts w:ascii="Times New Roman" w:hAnsi="Times New Roman"/>
          <w:b/>
          <w:bCs/>
          <w:sz w:val="28"/>
          <w:szCs w:val="28"/>
        </w:rPr>
      </w:pPr>
      <w:r w:rsidRPr="008364C4">
        <w:rPr>
          <w:rFonts w:ascii="Times New Roman" w:hAnsi="Times New Roman"/>
          <w:b/>
          <w:sz w:val="28"/>
        </w:rPr>
        <w:t>Provision of data to third countries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During th</w:t>
      </w:r>
      <w:r w:rsidR="008352D0">
        <w:rPr>
          <w:rFonts w:ascii="Times New Roman" w:hAnsi="Times New Roman"/>
          <w:sz w:val="28"/>
        </w:rPr>
        <w:t xml:space="preserve">e reporting period the trend for reduction in </w:t>
      </w:r>
      <w:r w:rsidRPr="008364C4">
        <w:rPr>
          <w:rFonts w:ascii="Times New Roman" w:hAnsi="Times New Roman"/>
          <w:sz w:val="28"/>
        </w:rPr>
        <w:t xml:space="preserve">the number of requests for authorization of </w:t>
      </w:r>
      <w:r w:rsidR="008352D0">
        <w:rPr>
          <w:rFonts w:ascii="Times New Roman" w:hAnsi="Times New Roman"/>
          <w:sz w:val="28"/>
        </w:rPr>
        <w:t xml:space="preserve">third countries personal data </w:t>
      </w:r>
      <w:r w:rsidRPr="008364C4">
        <w:rPr>
          <w:rFonts w:ascii="Times New Roman" w:hAnsi="Times New Roman"/>
          <w:sz w:val="28"/>
        </w:rPr>
        <w:t xml:space="preserve">transfers </w:t>
      </w:r>
      <w:r w:rsidR="008352D0">
        <w:rPr>
          <w:rFonts w:ascii="Times New Roman" w:hAnsi="Times New Roman"/>
          <w:sz w:val="28"/>
        </w:rPr>
        <w:t>under LPPD continued</w:t>
      </w:r>
      <w:r w:rsidRPr="008364C4">
        <w:rPr>
          <w:rFonts w:ascii="Times New Roman" w:hAnsi="Times New Roman"/>
          <w:sz w:val="28"/>
        </w:rPr>
        <w:t>, which is due to the amendments made in 2012 to the Rules of Procedure of CPDP and its administration. As a</w:t>
      </w:r>
      <w:r w:rsidR="008352D0">
        <w:rPr>
          <w:rFonts w:ascii="Times New Roman" w:hAnsi="Times New Roman"/>
          <w:sz w:val="28"/>
        </w:rPr>
        <w:t xml:space="preserve"> result of the lighter regime for third countries </w:t>
      </w:r>
      <w:r w:rsidRPr="008364C4">
        <w:rPr>
          <w:rFonts w:ascii="Times New Roman" w:hAnsi="Times New Roman"/>
          <w:sz w:val="28"/>
        </w:rPr>
        <w:t>personal data transfer, data controllers are only required to notify the Commission on all cases of transfer based on standard contractual clauses or</w:t>
      </w:r>
      <w:r w:rsidR="008352D0">
        <w:rPr>
          <w:rFonts w:ascii="Times New Roman" w:hAnsi="Times New Roman"/>
          <w:sz w:val="28"/>
        </w:rPr>
        <w:t xml:space="preserve"> adequacy decisions</w:t>
      </w:r>
      <w:r w:rsidRPr="008364C4">
        <w:rPr>
          <w:rFonts w:ascii="Times New Roman" w:hAnsi="Times New Roman"/>
          <w:sz w:val="28"/>
        </w:rPr>
        <w:t>. In this connection</w:t>
      </w:r>
      <w:r w:rsidR="008352D0">
        <w:rPr>
          <w:rFonts w:ascii="Times New Roman" w:hAnsi="Times New Roman"/>
          <w:sz w:val="28"/>
        </w:rPr>
        <w:t>,</w:t>
      </w:r>
      <w:r w:rsidRPr="008364C4">
        <w:rPr>
          <w:rFonts w:ascii="Times New Roman" w:hAnsi="Times New Roman"/>
          <w:sz w:val="28"/>
        </w:rPr>
        <w:t xml:space="preserve"> the Commission received 13 notifications and 12 req</w:t>
      </w:r>
      <w:r w:rsidR="008352D0">
        <w:rPr>
          <w:rFonts w:ascii="Times New Roman" w:hAnsi="Times New Roman"/>
          <w:sz w:val="28"/>
        </w:rPr>
        <w:t xml:space="preserve">uests for authorization for third countries personal data transfer. </w:t>
      </w:r>
      <w:r w:rsidR="008352D0" w:rsidRPr="00247514">
        <w:rPr>
          <w:rFonts w:ascii="Times New Roman" w:hAnsi="Times New Roman"/>
          <w:sz w:val="28"/>
        </w:rPr>
        <w:t>Usually the transfer of data was</w:t>
      </w:r>
      <w:r w:rsidRPr="00247514">
        <w:rPr>
          <w:rFonts w:ascii="Times New Roman" w:hAnsi="Times New Roman"/>
          <w:sz w:val="28"/>
        </w:rPr>
        <w:t xml:space="preserve"> to third countries.</w:t>
      </w:r>
      <w:r w:rsidRPr="008352D0">
        <w:rPr>
          <w:rFonts w:ascii="Times New Roman" w:hAnsi="Times New Roman"/>
          <w:color w:val="FF0000"/>
          <w:sz w:val="28"/>
        </w:rPr>
        <w:t xml:space="preserve"> </w:t>
      </w:r>
      <w:r w:rsidRPr="008364C4">
        <w:rPr>
          <w:rFonts w:ascii="Times New Roman" w:hAnsi="Times New Roman"/>
          <w:sz w:val="28"/>
        </w:rPr>
        <w:t xml:space="preserve">Authorization for transfer of personal data was requested for the following countries: Mexico, the Philippines, India, Brazil, China, Malaysia, Australia, Canada, Chile, Colombia, Guatemala, Japan, Kenya, Korea, New Zealand, Peru, USA, Singapore, Costa Rica, Hong Kong, Switzerland, Russia, Serbia, the Republic of South Africa, Taiwan, Thailand, Turkey, Ukraine and Vietnam. </w:t>
      </w:r>
      <w:proofErr w:type="gramStart"/>
      <w:r w:rsidRPr="008364C4">
        <w:rPr>
          <w:rFonts w:ascii="Times New Roman" w:hAnsi="Times New Roman"/>
          <w:sz w:val="28"/>
        </w:rPr>
        <w:t>This year again the reasons for the provision of data stated by data controllers include outsourcing, consolidation of activities for the purpose of human resource management, investigation of signals for corruption, etc.</w:t>
      </w:r>
      <w:proofErr w:type="gramEnd"/>
    </w:p>
    <w:p w:rsidR="00247514" w:rsidRPr="00774632"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For the first time in 2013, the Commission received a request for authoriz</w:t>
      </w:r>
      <w:r w:rsidR="008352D0">
        <w:rPr>
          <w:rFonts w:ascii="Times New Roman" w:hAnsi="Times New Roman"/>
          <w:sz w:val="28"/>
        </w:rPr>
        <w:t xml:space="preserve">ation of personal data </w:t>
      </w:r>
      <w:r w:rsidRPr="008364C4">
        <w:rPr>
          <w:rFonts w:ascii="Times New Roman" w:hAnsi="Times New Roman"/>
          <w:sz w:val="28"/>
        </w:rPr>
        <w:t xml:space="preserve">transfer based on the application of the so-called binding corporate rules. Binding corporate rules constitute a global code of </w:t>
      </w:r>
      <w:r w:rsidRPr="008364C4">
        <w:rPr>
          <w:rFonts w:ascii="Times New Roman" w:hAnsi="Times New Roman"/>
          <w:sz w:val="28"/>
        </w:rPr>
        <w:lastRenderedPageBreak/>
        <w:t>practice based on the European</w:t>
      </w:r>
      <w:r w:rsidR="008352D0">
        <w:rPr>
          <w:rFonts w:ascii="Times New Roman" w:hAnsi="Times New Roman"/>
          <w:sz w:val="28"/>
        </w:rPr>
        <w:t xml:space="preserve"> data protection</w:t>
      </w:r>
      <w:r w:rsidRPr="008364C4">
        <w:rPr>
          <w:rFonts w:ascii="Times New Roman" w:hAnsi="Times New Roman"/>
          <w:sz w:val="28"/>
        </w:rPr>
        <w:t xml:space="preserve"> standards drawn up by multinationals companies and voluntarily complied with by them aiming at providing adequate measures for the </w:t>
      </w:r>
      <w:r w:rsidR="008352D0">
        <w:rPr>
          <w:rFonts w:ascii="Times New Roman" w:hAnsi="Times New Roman"/>
          <w:sz w:val="28"/>
        </w:rPr>
        <w:t xml:space="preserve">data transfer </w:t>
      </w:r>
      <w:r w:rsidRPr="008364C4">
        <w:rPr>
          <w:rFonts w:ascii="Times New Roman" w:hAnsi="Times New Roman"/>
          <w:sz w:val="28"/>
        </w:rPr>
        <w:t xml:space="preserve">between the companies within the corporation. They have been created as an additional tool for data transfer in addition to the standard contractual clauses, and their regulation is </w:t>
      </w:r>
      <w:r w:rsidR="008352D0">
        <w:rPr>
          <w:rFonts w:ascii="Times New Roman" w:hAnsi="Times New Roman"/>
          <w:sz w:val="28"/>
        </w:rPr>
        <w:t xml:space="preserve">foreseen in </w:t>
      </w:r>
      <w:r w:rsidRPr="008364C4">
        <w:rPr>
          <w:rFonts w:ascii="Times New Roman" w:hAnsi="Times New Roman"/>
          <w:sz w:val="28"/>
        </w:rPr>
        <w:t xml:space="preserve">the Working Documents of the Article 29 Working Party. </w:t>
      </w:r>
      <w:r w:rsidR="00247514" w:rsidRPr="00774632">
        <w:rPr>
          <w:rFonts w:ascii="Times New Roman" w:hAnsi="Times New Roman"/>
          <w:sz w:val="28"/>
          <w:szCs w:val="28"/>
        </w:rPr>
        <w:t xml:space="preserve">With regard to the data transfer to companies outside the corporation, located in third counties, </w:t>
      </w:r>
      <w:r w:rsidR="00774632" w:rsidRPr="00774632">
        <w:rPr>
          <w:rFonts w:ascii="Times New Roman" w:hAnsi="Times New Roman"/>
          <w:sz w:val="28"/>
          <w:szCs w:val="28"/>
        </w:rPr>
        <w:t xml:space="preserve">the </w:t>
      </w:r>
      <w:proofErr w:type="spellStart"/>
      <w:r w:rsidR="00774632" w:rsidRPr="00774632">
        <w:rPr>
          <w:rFonts w:ascii="Times New Roman" w:hAnsi="Times New Roman"/>
          <w:sz w:val="28"/>
          <w:szCs w:val="28"/>
        </w:rPr>
        <w:t>standart</w:t>
      </w:r>
      <w:proofErr w:type="spellEnd"/>
      <w:r w:rsidR="00774632" w:rsidRPr="00774632">
        <w:rPr>
          <w:rFonts w:ascii="Times New Roman" w:hAnsi="Times New Roman"/>
          <w:sz w:val="28"/>
          <w:szCs w:val="28"/>
        </w:rPr>
        <w:t xml:space="preserve"> contractual clauses, adopted European Commission decisions continue to be applied.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These rules apply to all companies included in the corporation, regardless of their location (inside or outside EU/European Economic Area (EEA)), nationality of the persons whose data are processed, or any other criteria.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Article 29 Working Group believes that if these rules are mandatory (in legal and practical aspects) and bring in all the required </w:t>
      </w:r>
      <w:r w:rsidR="008352D0">
        <w:rPr>
          <w:rFonts w:ascii="Times New Roman" w:hAnsi="Times New Roman"/>
          <w:sz w:val="28"/>
        </w:rPr>
        <w:t xml:space="preserve">data protection </w:t>
      </w:r>
      <w:r w:rsidRPr="008364C4">
        <w:rPr>
          <w:rFonts w:ascii="Times New Roman" w:hAnsi="Times New Roman"/>
          <w:sz w:val="28"/>
        </w:rPr>
        <w:t>principles, there is no reason the national data protection authorities not to allow transfers between companies belonging to a multinational corporation in accordance with their national legislation.</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Since this legal instrument is not known in the Bulgarian legislation, in this particular case the Commission authorized the transfer of data pursuant to Art. 36b of LPPD, namely on the basis of the </w:t>
      </w:r>
      <w:r w:rsidR="00774632" w:rsidRPr="00774632">
        <w:rPr>
          <w:rFonts w:ascii="Times New Roman" w:hAnsi="Times New Roman"/>
          <w:sz w:val="28"/>
        </w:rPr>
        <w:t>evidences</w:t>
      </w:r>
      <w:r w:rsidRPr="00774632">
        <w:rPr>
          <w:rFonts w:ascii="Times New Roman" w:hAnsi="Times New Roman"/>
          <w:sz w:val="28"/>
        </w:rPr>
        <w:t xml:space="preserve"> certifying undertaken contractual obligations </w:t>
      </w:r>
      <w:r w:rsidRPr="008364C4">
        <w:rPr>
          <w:rFonts w:ascii="Times New Roman" w:hAnsi="Times New Roman"/>
          <w:sz w:val="28"/>
        </w:rPr>
        <w:t>that the data controller providing data and the data controller receiving data provide sufficient</w:t>
      </w:r>
      <w:r w:rsidR="00CB1520">
        <w:rPr>
          <w:rFonts w:ascii="Times New Roman" w:hAnsi="Times New Roman"/>
          <w:sz w:val="28"/>
        </w:rPr>
        <w:t xml:space="preserve"> data protection guarantees</w:t>
      </w:r>
      <w:r w:rsidRPr="008364C4">
        <w:rPr>
          <w:rFonts w:ascii="Times New Roman" w:hAnsi="Times New Roman"/>
          <w:sz w:val="28"/>
        </w:rPr>
        <w:t>.</w:t>
      </w:r>
      <w:r w:rsidRPr="008364C4">
        <w:tab/>
      </w:r>
    </w:p>
    <w:p w:rsidR="00507B5F" w:rsidRPr="008364C4" w:rsidRDefault="00507B5F" w:rsidP="003D726B">
      <w:pPr>
        <w:pStyle w:val="Heading1"/>
      </w:pPr>
      <w:r w:rsidRPr="008364C4">
        <w:br w:type="page"/>
      </w:r>
      <w:bookmarkStart w:id="16" w:name="_Toc380595213"/>
      <w:bookmarkStart w:id="17" w:name="_Toc380740749"/>
      <w:proofErr w:type="gramStart"/>
      <w:r w:rsidRPr="008364C4">
        <w:lastRenderedPageBreak/>
        <w:t>ІХ.</w:t>
      </w:r>
      <w:proofErr w:type="gramEnd"/>
      <w:r w:rsidRPr="008364C4">
        <w:t xml:space="preserve"> Training in the field of personal data protection</w:t>
      </w:r>
      <w:bookmarkEnd w:id="16"/>
      <w:bookmarkEnd w:id="17"/>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2013, the Commission continued its purposeful training activity, and there were three main focuses in the training plan:</w:t>
      </w:r>
    </w:p>
    <w:p w:rsidR="00507B5F" w:rsidRPr="008364C4" w:rsidRDefault="00507B5F" w:rsidP="00507B5F">
      <w:pPr>
        <w:numPr>
          <w:ilvl w:val="0"/>
          <w:numId w:val="20"/>
        </w:numPr>
        <w:tabs>
          <w:tab w:val="left" w:pos="993"/>
        </w:tabs>
        <w:spacing w:after="0" w:line="360" w:lineRule="auto"/>
        <w:ind w:left="0" w:firstLine="709"/>
        <w:jc w:val="both"/>
        <w:rPr>
          <w:rFonts w:ascii="Times New Roman" w:hAnsi="Times New Roman"/>
          <w:sz w:val="28"/>
          <w:szCs w:val="28"/>
        </w:rPr>
      </w:pPr>
      <w:r w:rsidRPr="008364C4">
        <w:rPr>
          <w:rFonts w:ascii="Times New Roman" w:hAnsi="Times New Roman"/>
          <w:sz w:val="28"/>
        </w:rPr>
        <w:t>Training of large data controllers;</w:t>
      </w:r>
    </w:p>
    <w:p w:rsidR="00507B5F" w:rsidRPr="008364C4" w:rsidRDefault="00507B5F" w:rsidP="00507B5F">
      <w:pPr>
        <w:numPr>
          <w:ilvl w:val="0"/>
          <w:numId w:val="20"/>
        </w:numPr>
        <w:tabs>
          <w:tab w:val="left" w:pos="993"/>
        </w:tabs>
        <w:spacing w:after="0" w:line="360" w:lineRule="auto"/>
        <w:ind w:left="0" w:firstLine="709"/>
        <w:jc w:val="both"/>
        <w:rPr>
          <w:rFonts w:ascii="Times New Roman" w:hAnsi="Times New Roman"/>
          <w:sz w:val="28"/>
          <w:szCs w:val="28"/>
        </w:rPr>
      </w:pPr>
      <w:r w:rsidRPr="008364C4">
        <w:rPr>
          <w:rFonts w:ascii="Times New Roman" w:hAnsi="Times New Roman"/>
          <w:sz w:val="28"/>
        </w:rPr>
        <w:t>Training of professional organizations;</w:t>
      </w:r>
    </w:p>
    <w:p w:rsidR="00507B5F" w:rsidRPr="008364C4" w:rsidRDefault="00507B5F" w:rsidP="00507B5F">
      <w:pPr>
        <w:numPr>
          <w:ilvl w:val="0"/>
          <w:numId w:val="20"/>
        </w:numPr>
        <w:tabs>
          <w:tab w:val="left" w:pos="993"/>
        </w:tabs>
        <w:spacing w:after="0" w:line="360" w:lineRule="auto"/>
        <w:ind w:left="0" w:firstLine="709"/>
        <w:jc w:val="both"/>
        <w:rPr>
          <w:rFonts w:ascii="Times New Roman" w:hAnsi="Times New Roman"/>
          <w:sz w:val="28"/>
          <w:szCs w:val="28"/>
        </w:rPr>
      </w:pPr>
      <w:r w:rsidRPr="008364C4">
        <w:rPr>
          <w:rFonts w:ascii="Times New Roman" w:hAnsi="Times New Roman"/>
          <w:sz w:val="28"/>
        </w:rPr>
        <w:t>Training conducted jointly with partner institutions.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this regard, during the reporting period 10 training workshops were conducted, including 3 training courses for professional organizations, 3 workshop</w:t>
      </w:r>
      <w:r w:rsidR="0030790D">
        <w:rPr>
          <w:rFonts w:ascii="Times New Roman" w:hAnsi="Times New Roman"/>
          <w:sz w:val="28"/>
        </w:rPr>
        <w:t>s</w:t>
      </w:r>
      <w:r w:rsidRPr="008364C4">
        <w:rPr>
          <w:rFonts w:ascii="Times New Roman" w:hAnsi="Times New Roman"/>
          <w:sz w:val="28"/>
        </w:rPr>
        <w:t xml:space="preserve"> with state institutions, 4 workshops jointly with training partners. The total number of persons trained is 372 data controllers and data processors. </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numPr>
          <w:ilvl w:val="0"/>
          <w:numId w:val="19"/>
        </w:numPr>
        <w:tabs>
          <w:tab w:val="left" w:pos="993"/>
        </w:tabs>
        <w:spacing w:after="0" w:line="360" w:lineRule="auto"/>
        <w:ind w:left="0" w:firstLine="709"/>
        <w:jc w:val="both"/>
        <w:rPr>
          <w:rFonts w:ascii="Times New Roman" w:hAnsi="Times New Roman"/>
          <w:b/>
          <w:sz w:val="28"/>
          <w:szCs w:val="28"/>
        </w:rPr>
      </w:pPr>
      <w:r w:rsidRPr="008364C4">
        <w:rPr>
          <w:rFonts w:ascii="Times New Roman" w:hAnsi="Times New Roman"/>
          <w:b/>
          <w:sz w:val="28"/>
        </w:rPr>
        <w:t xml:space="preserve">Training of professional organizations   </w:t>
      </w:r>
    </w:p>
    <w:p w:rsidR="00774632" w:rsidRPr="00774632"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One of the focuses in the training activities set by the Commission for 2013 is the training of professional organizations. It is a good practice identified during the exchange of experience with foreign partners of the Commission in the implementation of the Leonardo Da Vinci Mobility project and put into practice by CPDP. The training of professional organizations allows for better unification of standards and </w:t>
      </w:r>
      <w:r w:rsidR="0030790D">
        <w:rPr>
          <w:rFonts w:ascii="Times New Roman" w:hAnsi="Times New Roman"/>
          <w:sz w:val="28"/>
        </w:rPr>
        <w:t xml:space="preserve">data protection </w:t>
      </w:r>
      <w:r w:rsidRPr="008364C4">
        <w:rPr>
          <w:rFonts w:ascii="Times New Roman" w:hAnsi="Times New Roman"/>
          <w:sz w:val="28"/>
        </w:rPr>
        <w:t xml:space="preserve">practices of all members of the organization, as well as wider dissemination of learning outcomes. </w:t>
      </w:r>
      <w:r w:rsidR="00774632" w:rsidRPr="00774632">
        <w:rPr>
          <w:rFonts w:ascii="Times New Roman" w:hAnsi="Times New Roman"/>
          <w:sz w:val="28"/>
          <w:szCs w:val="28"/>
        </w:rPr>
        <w:t>The coordination and logistics of the representatives from the country are also facilitated by the conducting of professional organizations training.</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training was conducted for the Association of Banks in Bulgaria, Bulgarian Hotel and Restaurant Association, International Banking Institute and the Bulgarian branch of the European Law Students' Association (ELSA). </w:t>
      </w:r>
    </w:p>
    <w:p w:rsidR="00507B5F" w:rsidRPr="008364C4" w:rsidRDefault="00507B5F" w:rsidP="00507B5F">
      <w:pPr>
        <w:spacing w:after="0" w:line="360" w:lineRule="auto"/>
        <w:ind w:firstLine="709"/>
        <w:jc w:val="both"/>
        <w:rPr>
          <w:rFonts w:ascii="Times New Roman" w:hAnsi="Times New Roman"/>
          <w:b/>
          <w:sz w:val="28"/>
          <w:szCs w:val="28"/>
        </w:rPr>
      </w:pP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 xml:space="preserve">Association of Banks in Bulgaria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On 14 May 2013</w:t>
      </w:r>
      <w:r w:rsidR="0030790D">
        <w:rPr>
          <w:rFonts w:ascii="Times New Roman" w:hAnsi="Times New Roman"/>
          <w:sz w:val="28"/>
        </w:rPr>
        <w:t>,</w:t>
      </w:r>
      <w:r w:rsidRPr="008364C4">
        <w:rPr>
          <w:rFonts w:ascii="Times New Roman" w:hAnsi="Times New Roman"/>
          <w:sz w:val="28"/>
        </w:rPr>
        <w:t xml:space="preserve"> the Commission for Personal data Protection carried out training of the employees of 23 of the leading banking institutions in the country. The event was held jointly with the Association of Banks in Bulgaria.</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The event was met with great interest and attended by representatives of: Association of Banks in Bulgaria, Corporate Commercial Bank, </w:t>
      </w:r>
      <w:proofErr w:type="spellStart"/>
      <w:r w:rsidRPr="008364C4">
        <w:rPr>
          <w:rFonts w:ascii="Times New Roman" w:hAnsi="Times New Roman"/>
          <w:sz w:val="28"/>
        </w:rPr>
        <w:t>Crédit</w:t>
      </w:r>
      <w:proofErr w:type="spellEnd"/>
      <w:r w:rsidRPr="008364C4">
        <w:rPr>
          <w:rFonts w:ascii="Times New Roman" w:hAnsi="Times New Roman"/>
          <w:sz w:val="28"/>
        </w:rPr>
        <w:t xml:space="preserve"> </w:t>
      </w:r>
      <w:proofErr w:type="spellStart"/>
      <w:r w:rsidRPr="008364C4">
        <w:rPr>
          <w:rFonts w:ascii="Times New Roman" w:hAnsi="Times New Roman"/>
          <w:sz w:val="28"/>
        </w:rPr>
        <w:t>Agricole</w:t>
      </w:r>
      <w:proofErr w:type="spellEnd"/>
      <w:r w:rsidRPr="008364C4">
        <w:rPr>
          <w:rFonts w:ascii="Times New Roman" w:hAnsi="Times New Roman"/>
          <w:sz w:val="28"/>
        </w:rPr>
        <w:t xml:space="preserve"> Bulgaria, Municipal Bank, Bulgarian-American Credit Bank, </w:t>
      </w:r>
      <w:proofErr w:type="spellStart"/>
      <w:r w:rsidRPr="008364C4">
        <w:rPr>
          <w:rFonts w:ascii="Times New Roman" w:hAnsi="Times New Roman"/>
          <w:sz w:val="28"/>
        </w:rPr>
        <w:t>Eurobank</w:t>
      </w:r>
      <w:proofErr w:type="spellEnd"/>
      <w:r w:rsidRPr="008364C4">
        <w:rPr>
          <w:rFonts w:ascii="Times New Roman" w:hAnsi="Times New Roman"/>
          <w:sz w:val="28"/>
        </w:rPr>
        <w:t xml:space="preserve"> Bulgaria, Allianz Bank Bulgaria, DSK Bank, Central Corporative Bank, First Investment Bank, International Asset Bank, </w:t>
      </w:r>
      <w:proofErr w:type="spellStart"/>
      <w:r w:rsidRPr="008364C4">
        <w:rPr>
          <w:rFonts w:ascii="Times New Roman" w:hAnsi="Times New Roman"/>
          <w:sz w:val="28"/>
        </w:rPr>
        <w:t>Societe</w:t>
      </w:r>
      <w:proofErr w:type="spellEnd"/>
      <w:r w:rsidRPr="008364C4">
        <w:rPr>
          <w:rFonts w:ascii="Times New Roman" w:hAnsi="Times New Roman"/>
          <w:sz w:val="28"/>
        </w:rPr>
        <w:t xml:space="preserve"> </w:t>
      </w:r>
      <w:proofErr w:type="spellStart"/>
      <w:r w:rsidRPr="008364C4">
        <w:rPr>
          <w:rFonts w:ascii="Times New Roman" w:hAnsi="Times New Roman"/>
          <w:sz w:val="28"/>
        </w:rPr>
        <w:t>Generale</w:t>
      </w:r>
      <w:proofErr w:type="spellEnd"/>
      <w:r w:rsidRPr="008364C4">
        <w:rPr>
          <w:rFonts w:ascii="Times New Roman" w:hAnsi="Times New Roman"/>
          <w:sz w:val="28"/>
        </w:rPr>
        <w:t xml:space="preserve"> Express Bank, Citibank, </w:t>
      </w:r>
      <w:proofErr w:type="spellStart"/>
      <w:r w:rsidRPr="008364C4">
        <w:rPr>
          <w:rFonts w:ascii="Times New Roman" w:hAnsi="Times New Roman"/>
          <w:sz w:val="28"/>
        </w:rPr>
        <w:t>ProCredit</w:t>
      </w:r>
      <w:proofErr w:type="spellEnd"/>
      <w:r w:rsidRPr="008364C4">
        <w:rPr>
          <w:rFonts w:ascii="Times New Roman" w:hAnsi="Times New Roman"/>
          <w:sz w:val="28"/>
        </w:rPr>
        <w:t xml:space="preserve"> Bank Bulgaria, </w:t>
      </w:r>
      <w:proofErr w:type="spellStart"/>
      <w:r w:rsidRPr="008364C4">
        <w:rPr>
          <w:rFonts w:ascii="Times New Roman" w:hAnsi="Times New Roman"/>
          <w:sz w:val="28"/>
        </w:rPr>
        <w:t>Cibank</w:t>
      </w:r>
      <w:proofErr w:type="spellEnd"/>
      <w:r w:rsidRPr="008364C4">
        <w:rPr>
          <w:rFonts w:ascii="Times New Roman" w:hAnsi="Times New Roman"/>
          <w:sz w:val="28"/>
        </w:rPr>
        <w:t xml:space="preserve">, TBI Bank, MKB </w:t>
      </w:r>
      <w:proofErr w:type="spellStart"/>
      <w:r w:rsidRPr="008364C4">
        <w:rPr>
          <w:rFonts w:ascii="Times New Roman" w:hAnsi="Times New Roman"/>
          <w:sz w:val="28"/>
        </w:rPr>
        <w:t>Unionbank</w:t>
      </w:r>
      <w:proofErr w:type="spellEnd"/>
      <w:r w:rsidRPr="008364C4">
        <w:rPr>
          <w:rFonts w:ascii="Times New Roman" w:hAnsi="Times New Roman"/>
          <w:sz w:val="28"/>
        </w:rPr>
        <w:t xml:space="preserve">, D Commerce Bank, </w:t>
      </w:r>
      <w:proofErr w:type="spellStart"/>
      <w:r w:rsidRPr="008364C4">
        <w:rPr>
          <w:rFonts w:ascii="Times New Roman" w:hAnsi="Times New Roman"/>
          <w:sz w:val="28"/>
        </w:rPr>
        <w:t>Tokuda</w:t>
      </w:r>
      <w:proofErr w:type="spellEnd"/>
      <w:r w:rsidRPr="008364C4">
        <w:rPr>
          <w:rFonts w:ascii="Times New Roman" w:hAnsi="Times New Roman"/>
          <w:sz w:val="28"/>
        </w:rPr>
        <w:t xml:space="preserve"> Bank, </w:t>
      </w:r>
      <w:proofErr w:type="spellStart"/>
      <w:r w:rsidRPr="008364C4">
        <w:rPr>
          <w:rFonts w:ascii="Times New Roman" w:hAnsi="Times New Roman"/>
          <w:sz w:val="28"/>
        </w:rPr>
        <w:t>Raiffeisenbank</w:t>
      </w:r>
      <w:proofErr w:type="spellEnd"/>
      <w:r w:rsidRPr="008364C4">
        <w:rPr>
          <w:rFonts w:ascii="Times New Roman" w:hAnsi="Times New Roman"/>
          <w:sz w:val="28"/>
        </w:rPr>
        <w:t xml:space="preserve">, United Bulgarian Bank, </w:t>
      </w:r>
      <w:proofErr w:type="spellStart"/>
      <w:r w:rsidRPr="008364C4">
        <w:rPr>
          <w:rFonts w:ascii="Times New Roman" w:hAnsi="Times New Roman"/>
          <w:sz w:val="28"/>
        </w:rPr>
        <w:t>Unicredit</w:t>
      </w:r>
      <w:proofErr w:type="spellEnd"/>
      <w:r w:rsidRPr="008364C4">
        <w:rPr>
          <w:rFonts w:ascii="Times New Roman" w:hAnsi="Times New Roman"/>
          <w:sz w:val="28"/>
        </w:rPr>
        <w:t xml:space="preserve"> </w:t>
      </w:r>
      <w:proofErr w:type="spellStart"/>
      <w:r w:rsidRPr="008364C4">
        <w:rPr>
          <w:rFonts w:ascii="Times New Roman" w:hAnsi="Times New Roman"/>
          <w:sz w:val="28"/>
        </w:rPr>
        <w:t>Bulbank</w:t>
      </w:r>
      <w:proofErr w:type="spellEnd"/>
      <w:r w:rsidRPr="008364C4">
        <w:rPr>
          <w:rFonts w:ascii="Times New Roman" w:hAnsi="Times New Roman"/>
          <w:sz w:val="28"/>
        </w:rPr>
        <w:t>, Piraeus Bank.</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w:t>
      </w:r>
      <w:r w:rsidR="001B6BDA">
        <w:rPr>
          <w:rFonts w:ascii="Times New Roman" w:hAnsi="Times New Roman"/>
          <w:sz w:val="28"/>
        </w:rPr>
        <w:t xml:space="preserve"> topics of the training included</w:t>
      </w:r>
      <w:r w:rsidRPr="008364C4">
        <w:rPr>
          <w:rFonts w:ascii="Times New Roman" w:hAnsi="Times New Roman"/>
          <w:sz w:val="28"/>
        </w:rPr>
        <w:t xml:space="preserve"> discussions on the current</w:t>
      </w:r>
      <w:r w:rsidR="001B6BDA">
        <w:rPr>
          <w:rFonts w:ascii="Times New Roman" w:hAnsi="Times New Roman"/>
          <w:sz w:val="28"/>
        </w:rPr>
        <w:t xml:space="preserve"> personal data protection</w:t>
      </w:r>
      <w:r w:rsidRPr="008364C4">
        <w:rPr>
          <w:rFonts w:ascii="Times New Roman" w:hAnsi="Times New Roman"/>
          <w:sz w:val="28"/>
        </w:rPr>
        <w:t xml:space="preserve"> legislation and the imminent introduction of a common EU lega</w:t>
      </w:r>
      <w:r w:rsidR="001B6BDA">
        <w:rPr>
          <w:rFonts w:ascii="Times New Roman" w:hAnsi="Times New Roman"/>
          <w:sz w:val="28"/>
        </w:rPr>
        <w:t>l framework in that area with</w:t>
      </w:r>
      <w:r w:rsidRPr="008364C4">
        <w:rPr>
          <w:rFonts w:ascii="Times New Roman" w:hAnsi="Times New Roman"/>
          <w:sz w:val="28"/>
        </w:rPr>
        <w:t xml:space="preserve"> the Council Regulation on personal data</w:t>
      </w:r>
      <w:r w:rsidR="001B6BDA">
        <w:rPr>
          <w:rFonts w:ascii="Times New Roman" w:hAnsi="Times New Roman"/>
          <w:sz w:val="28"/>
        </w:rPr>
        <w:t xml:space="preserve"> protection. The discussions were</w:t>
      </w:r>
      <w:r w:rsidRPr="008364C4">
        <w:rPr>
          <w:rFonts w:ascii="Times New Roman" w:hAnsi="Times New Roman"/>
          <w:sz w:val="28"/>
        </w:rPr>
        <w:t xml:space="preserve"> related to the </w:t>
      </w:r>
      <w:r w:rsidR="001B6BDA">
        <w:rPr>
          <w:rFonts w:ascii="Times New Roman" w:hAnsi="Times New Roman"/>
          <w:sz w:val="28"/>
        </w:rPr>
        <w:t xml:space="preserve">data controllers’ </w:t>
      </w:r>
      <w:r w:rsidRPr="008364C4">
        <w:rPr>
          <w:rFonts w:ascii="Times New Roman" w:hAnsi="Times New Roman"/>
          <w:sz w:val="28"/>
        </w:rPr>
        <w:t>basic obligations for lawful</w:t>
      </w:r>
      <w:r w:rsidR="001B6BDA">
        <w:rPr>
          <w:rFonts w:ascii="Times New Roman" w:hAnsi="Times New Roman"/>
          <w:sz w:val="28"/>
        </w:rPr>
        <w:t xml:space="preserve"> processing of data and </w:t>
      </w:r>
      <w:r w:rsidRPr="008364C4">
        <w:rPr>
          <w:rFonts w:ascii="Times New Roman" w:hAnsi="Times New Roman"/>
          <w:sz w:val="28"/>
        </w:rPr>
        <w:t>issues relating to the new Ordinance 1 of CPDP dated 30 January 2013.</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lecturers of CPDP acquainted the trainees with case studies of the Commission </w:t>
      </w:r>
      <w:r w:rsidR="00774632">
        <w:rPr>
          <w:rFonts w:ascii="Times New Roman" w:hAnsi="Times New Roman"/>
          <w:sz w:val="28"/>
        </w:rPr>
        <w:t>concerning</w:t>
      </w:r>
      <w:r w:rsidRPr="00B648C9">
        <w:rPr>
          <w:rFonts w:ascii="Times New Roman" w:hAnsi="Times New Roman"/>
          <w:color w:val="FF0000"/>
          <w:sz w:val="28"/>
        </w:rPr>
        <w:t xml:space="preserve"> </w:t>
      </w:r>
      <w:r w:rsidRPr="008364C4">
        <w:rPr>
          <w:rFonts w:ascii="Times New Roman" w:hAnsi="Times New Roman"/>
          <w:sz w:val="28"/>
        </w:rPr>
        <w:t>the processing of personal data in the context of banking.</w:t>
      </w:r>
    </w:p>
    <w:p w:rsidR="00507B5F" w:rsidRPr="008364C4" w:rsidRDefault="00507B5F" w:rsidP="00507B5F">
      <w:pPr>
        <w:widowControl w:val="0"/>
        <w:spacing w:after="0" w:line="360" w:lineRule="auto"/>
        <w:ind w:firstLine="709"/>
        <w:jc w:val="both"/>
        <w:rPr>
          <w:rFonts w:ascii="Times New Roman" w:hAnsi="Times New Roman"/>
          <w:b/>
          <w:sz w:val="28"/>
          <w:szCs w:val="28"/>
        </w:rPr>
      </w:pPr>
      <w:r w:rsidRPr="008364C4">
        <w:rPr>
          <w:rFonts w:ascii="Times New Roman" w:hAnsi="Times New Roman"/>
          <w:b/>
          <w:sz w:val="28"/>
        </w:rPr>
        <w:t xml:space="preserve">Bulgarian Hotel and Restaurant Association </w:t>
      </w:r>
    </w:p>
    <w:p w:rsidR="00507B5F" w:rsidRPr="008364C4" w:rsidRDefault="00507B5F" w:rsidP="00507B5F">
      <w:pPr>
        <w:widowControl w:val="0"/>
        <w:spacing w:after="0" w:line="360" w:lineRule="auto"/>
        <w:ind w:firstLine="709"/>
        <w:jc w:val="both"/>
        <w:rPr>
          <w:rFonts w:ascii="Times New Roman" w:hAnsi="Times New Roman"/>
          <w:sz w:val="28"/>
          <w:szCs w:val="28"/>
        </w:rPr>
      </w:pPr>
      <w:r w:rsidRPr="008364C4">
        <w:rPr>
          <w:rFonts w:ascii="Times New Roman" w:hAnsi="Times New Roman"/>
          <w:sz w:val="28"/>
        </w:rPr>
        <w:t xml:space="preserve">On 21 May the officials of the Commission for Personal Data Protection carried out a training course for the Bulgarian Hotel and Restaurant Association. </w:t>
      </w:r>
    </w:p>
    <w:p w:rsidR="00507B5F" w:rsidRPr="00774632"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trainees showed a keen interest on the</w:t>
      </w:r>
      <w:r w:rsidR="00B648C9">
        <w:rPr>
          <w:rFonts w:ascii="Times New Roman" w:hAnsi="Times New Roman"/>
          <w:sz w:val="28"/>
        </w:rPr>
        <w:t xml:space="preserve"> personal data protection</w:t>
      </w:r>
      <w:r w:rsidRPr="008364C4">
        <w:rPr>
          <w:rFonts w:ascii="Times New Roman" w:hAnsi="Times New Roman"/>
          <w:sz w:val="28"/>
        </w:rPr>
        <w:t xml:space="preserve"> measures, the methods of data storage and destruction, the</w:t>
      </w:r>
      <w:r w:rsidR="00B648C9">
        <w:rPr>
          <w:rFonts w:ascii="Times New Roman" w:hAnsi="Times New Roman"/>
          <w:sz w:val="28"/>
        </w:rPr>
        <w:t xml:space="preserve"> data processing</w:t>
      </w:r>
      <w:r w:rsidRPr="008364C4">
        <w:rPr>
          <w:rFonts w:ascii="Times New Roman" w:hAnsi="Times New Roman"/>
          <w:sz w:val="28"/>
        </w:rPr>
        <w:t xml:space="preserve"> principles. They stated their gratitude for the understandable and clear presentation of the material and expressed hope for continued joint cooperation, </w:t>
      </w:r>
      <w:r w:rsidR="00774632" w:rsidRPr="00774632">
        <w:rPr>
          <w:rFonts w:ascii="Times New Roman" w:hAnsi="Times New Roman"/>
          <w:sz w:val="28"/>
        </w:rPr>
        <w:t xml:space="preserve">including via conducting trainings in the country. </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European L</w:t>
      </w:r>
      <w:r w:rsidR="00B648C9">
        <w:rPr>
          <w:rFonts w:ascii="Times New Roman" w:hAnsi="Times New Roman"/>
          <w:b/>
          <w:sz w:val="28"/>
        </w:rPr>
        <w:t>aw Students' Association (ELSA)</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On 26 April</w:t>
      </w:r>
      <w:r w:rsidR="00B648C9">
        <w:rPr>
          <w:rFonts w:ascii="Times New Roman" w:hAnsi="Times New Roman"/>
          <w:sz w:val="28"/>
        </w:rPr>
        <w:t xml:space="preserve"> </w:t>
      </w:r>
      <w:r w:rsidRPr="008364C4">
        <w:rPr>
          <w:rFonts w:ascii="Times New Roman" w:hAnsi="Times New Roman"/>
          <w:sz w:val="28"/>
        </w:rPr>
        <w:t>was organized</w:t>
      </w:r>
      <w:r w:rsidR="00B648C9">
        <w:rPr>
          <w:rFonts w:ascii="Times New Roman" w:hAnsi="Times New Roman"/>
          <w:sz w:val="28"/>
        </w:rPr>
        <w:t xml:space="preserve"> a</w:t>
      </w:r>
      <w:r w:rsidR="00B648C9" w:rsidRPr="00B648C9">
        <w:rPr>
          <w:rFonts w:ascii="Times New Roman" w:hAnsi="Times New Roman"/>
          <w:sz w:val="28"/>
        </w:rPr>
        <w:t xml:space="preserve"> </w:t>
      </w:r>
      <w:r w:rsidR="00B648C9">
        <w:rPr>
          <w:rFonts w:ascii="Times New Roman" w:hAnsi="Times New Roman"/>
          <w:sz w:val="28"/>
        </w:rPr>
        <w:t>training,</w:t>
      </w:r>
      <w:r w:rsidRPr="008364C4">
        <w:rPr>
          <w:rFonts w:ascii="Times New Roman" w:hAnsi="Times New Roman"/>
          <w:sz w:val="28"/>
        </w:rPr>
        <w:t xml:space="preserve"> jointly</w:t>
      </w:r>
      <w:r w:rsidR="00B648C9">
        <w:rPr>
          <w:rFonts w:ascii="Times New Roman" w:hAnsi="Times New Roman"/>
          <w:sz w:val="28"/>
        </w:rPr>
        <w:t>,</w:t>
      </w:r>
      <w:r w:rsidRPr="008364C4">
        <w:rPr>
          <w:rFonts w:ascii="Times New Roman" w:hAnsi="Times New Roman"/>
          <w:sz w:val="28"/>
        </w:rPr>
        <w:t xml:space="preserve"> with ELSA Bulgaria - European Law Students' Association. The event was attended by 66 law students from various Bulgarian universities who demonstrated a strong interest in </w:t>
      </w:r>
      <w:r w:rsidR="00B648C9">
        <w:rPr>
          <w:rFonts w:ascii="Times New Roman" w:hAnsi="Times New Roman"/>
          <w:sz w:val="28"/>
        </w:rPr>
        <w:t xml:space="preserve">personal data protection and privacy </w:t>
      </w:r>
      <w:r w:rsidRPr="008364C4">
        <w:rPr>
          <w:rFonts w:ascii="Times New Roman" w:hAnsi="Times New Roman"/>
          <w:sz w:val="28"/>
        </w:rPr>
        <w:t>issues. The trainees asked bot</w:t>
      </w:r>
      <w:r w:rsidR="00B648C9">
        <w:rPr>
          <w:rFonts w:ascii="Times New Roman" w:hAnsi="Times New Roman"/>
          <w:sz w:val="28"/>
        </w:rPr>
        <w:t xml:space="preserve">h theoretical questions on </w:t>
      </w:r>
      <w:r w:rsidR="00B648C9">
        <w:rPr>
          <w:rFonts w:ascii="Times New Roman" w:hAnsi="Times New Roman"/>
          <w:sz w:val="28"/>
        </w:rPr>
        <w:lastRenderedPageBreak/>
        <w:t xml:space="preserve">the legal framework </w:t>
      </w:r>
      <w:r w:rsidRPr="008364C4">
        <w:rPr>
          <w:rFonts w:ascii="Times New Roman" w:hAnsi="Times New Roman"/>
          <w:sz w:val="28"/>
        </w:rPr>
        <w:t xml:space="preserve"> </w:t>
      </w:r>
      <w:r w:rsidRPr="00774632">
        <w:rPr>
          <w:rFonts w:ascii="Times New Roman" w:hAnsi="Times New Roman"/>
          <w:sz w:val="28"/>
        </w:rPr>
        <w:t xml:space="preserve">and case studies and inquiries </w:t>
      </w:r>
      <w:r w:rsidR="00B22B93">
        <w:rPr>
          <w:rFonts w:ascii="Times New Roman" w:hAnsi="Times New Roman"/>
          <w:sz w:val="28"/>
        </w:rPr>
        <w:t>about</w:t>
      </w:r>
      <w:r w:rsidRPr="008364C4">
        <w:rPr>
          <w:rFonts w:ascii="Times New Roman" w:hAnsi="Times New Roman"/>
          <w:sz w:val="28"/>
        </w:rPr>
        <w:t xml:space="preserve"> the loan borrowers and their rights, the access to personal data collected by video surveillance, authorization of employees to collect personal data, the practice of banks</w:t>
      </w:r>
      <w:r w:rsidR="00B22B93">
        <w:rPr>
          <w:rFonts w:ascii="Times New Roman" w:hAnsi="Times New Roman"/>
          <w:sz w:val="28"/>
        </w:rPr>
        <w:t xml:space="preserve"> and mobile operators on personal data </w:t>
      </w:r>
      <w:r w:rsidRPr="008364C4">
        <w:rPr>
          <w:rFonts w:ascii="Times New Roman" w:hAnsi="Times New Roman"/>
          <w:sz w:val="28"/>
        </w:rPr>
        <w:t>collection</w:t>
      </w:r>
      <w:r w:rsidR="00B22B93">
        <w:rPr>
          <w:rFonts w:ascii="Times New Roman" w:hAnsi="Times New Roman"/>
          <w:sz w:val="28"/>
        </w:rPr>
        <w:t xml:space="preserve"> and processing</w:t>
      </w:r>
      <w:r w:rsidRPr="008364C4">
        <w:rPr>
          <w:rFonts w:ascii="Times New Roman" w:hAnsi="Times New Roman"/>
          <w:sz w:val="28"/>
        </w:rPr>
        <w:t xml:space="preserve">. </w:t>
      </w:r>
    </w:p>
    <w:p w:rsidR="00507B5F" w:rsidRPr="008364C4" w:rsidRDefault="00507B5F" w:rsidP="00507B5F">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 xml:space="preserve">ELSA Bulgaria expressed their appreciation for the training and the </w:t>
      </w:r>
      <w:r w:rsidR="00977AFC" w:rsidRPr="00977AFC">
        <w:rPr>
          <w:rFonts w:ascii="Times New Roman" w:hAnsi="Times New Roman"/>
          <w:sz w:val="28"/>
        </w:rPr>
        <w:t xml:space="preserve">efforts </w:t>
      </w:r>
      <w:r w:rsidRPr="00977AFC">
        <w:rPr>
          <w:rFonts w:ascii="Times New Roman" w:hAnsi="Times New Roman"/>
          <w:sz w:val="28"/>
        </w:rPr>
        <w:t xml:space="preserve">of speakers </w:t>
      </w:r>
      <w:r w:rsidRPr="008364C4">
        <w:rPr>
          <w:rFonts w:ascii="Times New Roman" w:hAnsi="Times New Roman"/>
          <w:sz w:val="28"/>
        </w:rPr>
        <w:t>and they declared their readiness to continue the fruitful cooperation with the Commission for Personal Data Protection. The Commission was awarded a certificate for outstanding service to the European Law Students' Association ELSA Bulgaria.</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widowControl w:val="0"/>
        <w:numPr>
          <w:ilvl w:val="0"/>
          <w:numId w:val="19"/>
        </w:numPr>
        <w:tabs>
          <w:tab w:val="left" w:pos="993"/>
        </w:tabs>
        <w:spacing w:after="0" w:line="360" w:lineRule="auto"/>
        <w:ind w:left="0" w:firstLine="709"/>
        <w:jc w:val="both"/>
        <w:rPr>
          <w:rFonts w:ascii="Times New Roman" w:hAnsi="Times New Roman"/>
          <w:b/>
          <w:sz w:val="28"/>
          <w:szCs w:val="28"/>
        </w:rPr>
      </w:pPr>
      <w:r w:rsidRPr="008364C4">
        <w:rPr>
          <w:rFonts w:ascii="Times New Roman" w:hAnsi="Times New Roman"/>
          <w:b/>
          <w:sz w:val="28"/>
        </w:rPr>
        <w:t>Training of state institutions that are large data controllers</w:t>
      </w:r>
    </w:p>
    <w:p w:rsidR="00507B5F" w:rsidRPr="008364C4" w:rsidRDefault="00507B5F" w:rsidP="00507B5F">
      <w:pPr>
        <w:widowControl w:val="0"/>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the Commission identified the need for training personal data controllers which maintain a substantial volume of </w:t>
      </w:r>
      <w:r w:rsidRPr="00977AFC">
        <w:rPr>
          <w:rFonts w:ascii="Times New Roman" w:hAnsi="Times New Roman"/>
          <w:sz w:val="28"/>
        </w:rPr>
        <w:t xml:space="preserve">data arrays. This </w:t>
      </w:r>
      <w:r w:rsidRPr="008364C4">
        <w:rPr>
          <w:rFonts w:ascii="Times New Roman" w:hAnsi="Times New Roman"/>
          <w:sz w:val="28"/>
        </w:rPr>
        <w:t>is conditioned by both the need to ensure the</w:t>
      </w:r>
      <w:r w:rsidR="00B22B93">
        <w:rPr>
          <w:rFonts w:ascii="Times New Roman" w:hAnsi="Times New Roman"/>
          <w:sz w:val="28"/>
        </w:rPr>
        <w:t xml:space="preserve"> necessary protection level of the processed personal data</w:t>
      </w:r>
      <w:r w:rsidRPr="008364C4">
        <w:rPr>
          <w:rFonts w:ascii="Times New Roman" w:hAnsi="Times New Roman"/>
          <w:sz w:val="28"/>
        </w:rPr>
        <w:t xml:space="preserve"> by the respective administrators and by changes in the legislation, in particular Ordinance 1, according to which the appropriate level of protection is directly related to the number of persons that may be affected by unlawful processing of their personal data.</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Regarding this category, in 2013 training was carried out to the following data controllers: Agency for Child Protection, Bulgarian National Bank and Directorate General "Civil Registration and Administrative Services". </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State Agency for Child Protection</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On 25 April a training course was organized for the officers of the State Agency for Child Protection. During the training, assistance was provided to the officers of the agency and instructions were given for drafting </w:t>
      </w:r>
      <w:r w:rsidR="00B22B93" w:rsidRPr="008364C4">
        <w:rPr>
          <w:rFonts w:ascii="Times New Roman" w:hAnsi="Times New Roman"/>
          <w:sz w:val="28"/>
        </w:rPr>
        <w:t>new internal instructions</w:t>
      </w:r>
      <w:r w:rsidRPr="008364C4">
        <w:rPr>
          <w:rFonts w:ascii="Times New Roman" w:hAnsi="Times New Roman"/>
          <w:sz w:val="28"/>
        </w:rPr>
        <w:t xml:space="preserve"> of the data controller which should comply with Ordinance 1 dated 31 January 2013. The tra</w:t>
      </w:r>
      <w:r w:rsidR="00B22B93">
        <w:rPr>
          <w:rFonts w:ascii="Times New Roman" w:hAnsi="Times New Roman"/>
          <w:sz w:val="28"/>
        </w:rPr>
        <w:t>inees asked questions about</w:t>
      </w:r>
      <w:r w:rsidRPr="008364C4">
        <w:rPr>
          <w:rFonts w:ascii="Times New Roman" w:hAnsi="Times New Roman"/>
          <w:sz w:val="28"/>
        </w:rPr>
        <w:t xml:space="preserve"> the rules for handling sensitive personal data, transfer of children's data to third countries and measures necessary for the protection of the </w:t>
      </w:r>
      <w:r w:rsidRPr="00977AFC">
        <w:rPr>
          <w:rFonts w:ascii="Times New Roman" w:hAnsi="Times New Roman"/>
          <w:sz w:val="28"/>
        </w:rPr>
        <w:t xml:space="preserve">information </w:t>
      </w:r>
      <w:r w:rsidR="00977AFC" w:rsidRPr="00977AFC">
        <w:rPr>
          <w:rFonts w:ascii="Times New Roman" w:hAnsi="Times New Roman"/>
          <w:sz w:val="28"/>
        </w:rPr>
        <w:t xml:space="preserve">funds. </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lastRenderedPageBreak/>
        <w:t>Bulgarian National Bank</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On 21 June Commission's experts conducted a training course for the data processors at the Bulgarian National Bank, which was attended by over 40 officers from 15 administrative units of the bank, who deal with maintaining data registers.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trainees were introduced with the main aspects </w:t>
      </w:r>
      <w:r w:rsidR="0027051C">
        <w:rPr>
          <w:rFonts w:ascii="Times New Roman" w:hAnsi="Times New Roman"/>
          <w:sz w:val="28"/>
        </w:rPr>
        <w:t xml:space="preserve">of the personal data </w:t>
      </w:r>
      <w:r w:rsidRPr="008364C4">
        <w:rPr>
          <w:rFonts w:ascii="Times New Roman" w:hAnsi="Times New Roman"/>
          <w:sz w:val="28"/>
        </w:rPr>
        <w:t xml:space="preserve">processing, focusing on a number of practical issues. For this purpose, the experts of CPDP conducted a practical exercise with representatives of the Bulgarian National Bank aimed at preparing an impact assessment on the registers maintained by the bank.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trainees highly appreciated the training, and the practical examples</w:t>
      </w:r>
      <w:r w:rsidR="0027051C">
        <w:rPr>
          <w:rFonts w:ascii="Times New Roman" w:hAnsi="Times New Roman"/>
          <w:sz w:val="28"/>
        </w:rPr>
        <w:t>,</w:t>
      </w:r>
      <w:r w:rsidRPr="008364C4">
        <w:rPr>
          <w:rFonts w:ascii="Times New Roman" w:hAnsi="Times New Roman"/>
          <w:sz w:val="28"/>
        </w:rPr>
        <w:t xml:space="preserve"> in particular</w:t>
      </w:r>
      <w:r w:rsidR="0027051C">
        <w:rPr>
          <w:rFonts w:ascii="Times New Roman" w:hAnsi="Times New Roman"/>
          <w:sz w:val="28"/>
        </w:rPr>
        <w:t>,</w:t>
      </w:r>
      <w:r w:rsidRPr="008364C4">
        <w:rPr>
          <w:rFonts w:ascii="Times New Roman" w:hAnsi="Times New Roman"/>
          <w:sz w:val="28"/>
        </w:rPr>
        <w:t xml:space="preserve"> received extremely positive evaluation. A recommendation was made for the future trainings to include more information on issues related to the impl</w:t>
      </w:r>
      <w:r w:rsidR="0027051C">
        <w:rPr>
          <w:rFonts w:ascii="Times New Roman" w:hAnsi="Times New Roman"/>
          <w:sz w:val="28"/>
        </w:rPr>
        <w:t>ementation of the new Ordinance</w:t>
      </w:r>
      <w:r w:rsidRPr="008364C4">
        <w:rPr>
          <w:rFonts w:ascii="Times New Roman" w:hAnsi="Times New Roman"/>
          <w:sz w:val="28"/>
        </w:rPr>
        <w:t xml:space="preserve"> 1 on the minimum level of technical and organizational measures and admissible type of personal data protection.</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Directorate General "Civil Registration and Administrative Services"</w:t>
      </w:r>
    </w:p>
    <w:p w:rsidR="00507B5F" w:rsidRPr="008364C4" w:rsidRDefault="00507B5F" w:rsidP="00507B5F">
      <w:pPr>
        <w:spacing w:after="0" w:line="360" w:lineRule="auto"/>
        <w:ind w:firstLine="709"/>
        <w:jc w:val="both"/>
        <w:rPr>
          <w:rFonts w:ascii="Times New Roman" w:hAnsi="Times New Roman"/>
          <w:bCs/>
          <w:sz w:val="28"/>
          <w:szCs w:val="28"/>
        </w:rPr>
      </w:pPr>
      <w:r w:rsidRPr="008364C4">
        <w:rPr>
          <w:rFonts w:ascii="Times New Roman" w:hAnsi="Times New Roman"/>
          <w:sz w:val="28"/>
        </w:rPr>
        <w:t xml:space="preserve">On 4 July in the building of CPDP was conducted another training course included in the annual training plan intended for data controllers and processors. It was attended by representatives of the Directorate General "Civil Registration and Administrative Services".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trainees raised questions </w:t>
      </w:r>
      <w:r w:rsidR="0027051C">
        <w:rPr>
          <w:rFonts w:ascii="Times New Roman" w:hAnsi="Times New Roman"/>
          <w:sz w:val="28"/>
        </w:rPr>
        <w:t xml:space="preserve">related with </w:t>
      </w:r>
      <w:r w:rsidRPr="008364C4">
        <w:rPr>
          <w:rFonts w:ascii="Times New Roman" w:hAnsi="Times New Roman"/>
          <w:sz w:val="28"/>
        </w:rPr>
        <w:t>the performance of their professional duties such as</w:t>
      </w:r>
      <w:r w:rsidR="0027051C">
        <w:rPr>
          <w:rFonts w:ascii="Times New Roman" w:hAnsi="Times New Roman"/>
          <w:sz w:val="28"/>
        </w:rPr>
        <w:t>:</w:t>
      </w:r>
      <w:r w:rsidRPr="008364C4">
        <w:rPr>
          <w:rFonts w:ascii="Times New Roman" w:hAnsi="Times New Roman"/>
          <w:sz w:val="28"/>
        </w:rPr>
        <w:t xml:space="preserve"> destruction of personal </w:t>
      </w:r>
      <w:r w:rsidRPr="00977AFC">
        <w:rPr>
          <w:rFonts w:ascii="Times New Roman" w:hAnsi="Times New Roman"/>
          <w:sz w:val="28"/>
        </w:rPr>
        <w:t>data arrays</w:t>
      </w:r>
      <w:r w:rsidRPr="008364C4">
        <w:rPr>
          <w:rFonts w:ascii="Times New Roman" w:hAnsi="Times New Roman"/>
          <w:sz w:val="28"/>
        </w:rPr>
        <w:t xml:space="preserve">, drafting internal rules, applying for different types of personal data registers, </w:t>
      </w:r>
      <w:r w:rsidR="0027051C">
        <w:rPr>
          <w:rFonts w:ascii="Times New Roman" w:hAnsi="Times New Roman"/>
          <w:sz w:val="28"/>
        </w:rPr>
        <w:t>third parties data transfer</w:t>
      </w:r>
      <w:r w:rsidRPr="008364C4">
        <w:rPr>
          <w:rFonts w:ascii="Times New Roman" w:hAnsi="Times New Roman"/>
          <w:sz w:val="28"/>
        </w:rPr>
        <w:t>. The trainees showed a particular interest in the topics related to the implementation of Ordinance 1 on the minimum level of technical and organizational measures for personal data protection and the trends f</w:t>
      </w:r>
      <w:r w:rsidR="0027051C">
        <w:rPr>
          <w:rFonts w:ascii="Times New Roman" w:hAnsi="Times New Roman"/>
          <w:sz w:val="28"/>
        </w:rPr>
        <w:t xml:space="preserve">or development in </w:t>
      </w:r>
      <w:r w:rsidRPr="008364C4">
        <w:rPr>
          <w:rFonts w:ascii="Times New Roman" w:hAnsi="Times New Roman"/>
          <w:sz w:val="28"/>
        </w:rPr>
        <w:t>data protection</w:t>
      </w:r>
      <w:r w:rsidR="0027051C">
        <w:rPr>
          <w:rFonts w:ascii="Times New Roman" w:hAnsi="Times New Roman"/>
          <w:sz w:val="28"/>
        </w:rPr>
        <w:t xml:space="preserve"> field</w:t>
      </w:r>
      <w:r w:rsidRPr="008364C4">
        <w:rPr>
          <w:rFonts w:ascii="Times New Roman" w:hAnsi="Times New Roman"/>
          <w:sz w:val="28"/>
        </w:rPr>
        <w:t>.</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widowControl w:val="0"/>
        <w:numPr>
          <w:ilvl w:val="0"/>
          <w:numId w:val="19"/>
        </w:numPr>
        <w:tabs>
          <w:tab w:val="left" w:pos="993"/>
        </w:tabs>
        <w:spacing w:after="0" w:line="360" w:lineRule="auto"/>
        <w:ind w:left="0" w:firstLine="709"/>
        <w:jc w:val="both"/>
        <w:rPr>
          <w:rFonts w:ascii="Times New Roman" w:hAnsi="Times New Roman"/>
          <w:b/>
          <w:sz w:val="28"/>
          <w:szCs w:val="28"/>
        </w:rPr>
      </w:pPr>
      <w:r w:rsidRPr="008364C4">
        <w:rPr>
          <w:rFonts w:ascii="Times New Roman" w:hAnsi="Times New Roman"/>
          <w:b/>
          <w:sz w:val="28"/>
        </w:rPr>
        <w:t>Training of data controllers conducted jointly with training partners</w:t>
      </w:r>
    </w:p>
    <w:p w:rsidR="00507B5F" w:rsidRPr="008364C4" w:rsidRDefault="00507B5F" w:rsidP="00507B5F">
      <w:pPr>
        <w:widowControl w:val="0"/>
        <w:spacing w:after="0" w:line="360" w:lineRule="auto"/>
        <w:ind w:firstLine="709"/>
        <w:jc w:val="both"/>
        <w:rPr>
          <w:rFonts w:ascii="Times New Roman" w:hAnsi="Times New Roman"/>
          <w:sz w:val="28"/>
          <w:szCs w:val="28"/>
        </w:rPr>
      </w:pPr>
      <w:r w:rsidRPr="008364C4">
        <w:rPr>
          <w:rFonts w:ascii="Times New Roman" w:hAnsi="Times New Roman"/>
          <w:sz w:val="28"/>
        </w:rPr>
        <w:t>In 2013</w:t>
      </w:r>
      <w:r w:rsidR="0027051C">
        <w:rPr>
          <w:rFonts w:ascii="Times New Roman" w:hAnsi="Times New Roman"/>
          <w:sz w:val="28"/>
        </w:rPr>
        <w:t>, the Commission relied</w:t>
      </w:r>
      <w:r w:rsidRPr="008364C4">
        <w:rPr>
          <w:rFonts w:ascii="Times New Roman" w:hAnsi="Times New Roman"/>
          <w:sz w:val="28"/>
        </w:rPr>
        <w:t xml:space="preserve"> on the implementation of best practices in its </w:t>
      </w:r>
      <w:r w:rsidRPr="008364C4">
        <w:rPr>
          <w:rFonts w:ascii="Times New Roman" w:hAnsi="Times New Roman"/>
          <w:sz w:val="28"/>
        </w:rPr>
        <w:lastRenderedPageBreak/>
        <w:t xml:space="preserve">training plan aiming to increase the level and effectiveness of the </w:t>
      </w:r>
      <w:r w:rsidR="0027051C">
        <w:rPr>
          <w:rFonts w:ascii="Times New Roman" w:hAnsi="Times New Roman"/>
          <w:sz w:val="28"/>
        </w:rPr>
        <w:t>conducted training</w:t>
      </w:r>
      <w:r w:rsidRPr="008364C4">
        <w:rPr>
          <w:rFonts w:ascii="Times New Roman" w:hAnsi="Times New Roman"/>
          <w:sz w:val="28"/>
        </w:rPr>
        <w:t xml:space="preserve">. These practices are identified and summarized in a catalogue of best practices thanks to a project under the Leonardo da Vinci Programme. One of them refers to conducting joint training with partners who are specialized in the field. This form of cooperation is particularly beneficial for the Commission as it </w:t>
      </w:r>
      <w:r w:rsidR="00977AFC" w:rsidRPr="00977AFC">
        <w:rPr>
          <w:rFonts w:ascii="Times New Roman" w:hAnsi="Times New Roman"/>
          <w:sz w:val="28"/>
        </w:rPr>
        <w:t>reduce</w:t>
      </w:r>
      <w:r w:rsidR="00977AFC">
        <w:rPr>
          <w:rFonts w:ascii="Times New Roman" w:hAnsi="Times New Roman"/>
          <w:sz w:val="28"/>
        </w:rPr>
        <w:t>s</w:t>
      </w:r>
      <w:r w:rsidRPr="00977AFC">
        <w:rPr>
          <w:rFonts w:ascii="Times New Roman" w:hAnsi="Times New Roman"/>
          <w:sz w:val="28"/>
        </w:rPr>
        <w:t xml:space="preserve"> </w:t>
      </w:r>
      <w:r w:rsidRPr="008364C4">
        <w:rPr>
          <w:rFonts w:ascii="Times New Roman" w:hAnsi="Times New Roman"/>
          <w:sz w:val="28"/>
        </w:rPr>
        <w:t xml:space="preserve">some of the difficulties in the learning process, namely the use of human resources for the coordination of training and of financial resource – for the provision of materials.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2013 the Commission established cooperation with two training organizations - the International Banking Institute and the Institute of Public Administration.</w:t>
      </w:r>
    </w:p>
    <w:p w:rsidR="00507B5F" w:rsidRPr="008364C4" w:rsidRDefault="00507B5F" w:rsidP="00507B5F">
      <w:pPr>
        <w:spacing w:after="0" w:line="360" w:lineRule="auto"/>
        <w:ind w:firstLine="709"/>
        <w:jc w:val="both"/>
        <w:rPr>
          <w:rFonts w:ascii="Times New Roman" w:hAnsi="Times New Roman"/>
          <w:sz w:val="28"/>
          <w:szCs w:val="28"/>
        </w:rPr>
      </w:pP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International Banking Institute</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On 25 June the Commission conducted advanced training for the employees of commercial banks jointly with the International Banking Institute. It was attended by 20 trainees from the following banks: </w:t>
      </w:r>
      <w:proofErr w:type="spellStart"/>
      <w:r w:rsidRPr="008364C4">
        <w:rPr>
          <w:rFonts w:ascii="Times New Roman" w:hAnsi="Times New Roman"/>
          <w:sz w:val="28"/>
        </w:rPr>
        <w:t>Raiffeisen</w:t>
      </w:r>
      <w:proofErr w:type="spellEnd"/>
      <w:r w:rsidRPr="008364C4">
        <w:rPr>
          <w:rFonts w:ascii="Times New Roman" w:hAnsi="Times New Roman"/>
          <w:sz w:val="28"/>
        </w:rPr>
        <w:t xml:space="preserve"> Bank, Piraeus Bank, First Investment Bank, International Asset Bank, </w:t>
      </w:r>
      <w:proofErr w:type="spellStart"/>
      <w:r w:rsidRPr="008364C4">
        <w:rPr>
          <w:rFonts w:ascii="Times New Roman" w:hAnsi="Times New Roman"/>
          <w:sz w:val="28"/>
        </w:rPr>
        <w:t>Crédit</w:t>
      </w:r>
      <w:proofErr w:type="spellEnd"/>
      <w:r w:rsidRPr="008364C4">
        <w:rPr>
          <w:rFonts w:ascii="Times New Roman" w:hAnsi="Times New Roman"/>
          <w:sz w:val="28"/>
        </w:rPr>
        <w:t xml:space="preserve"> </w:t>
      </w:r>
      <w:proofErr w:type="spellStart"/>
      <w:r w:rsidRPr="008364C4">
        <w:rPr>
          <w:rFonts w:ascii="Times New Roman" w:hAnsi="Times New Roman"/>
          <w:sz w:val="28"/>
        </w:rPr>
        <w:t>Agricole</w:t>
      </w:r>
      <w:proofErr w:type="spellEnd"/>
      <w:r w:rsidRPr="008364C4">
        <w:rPr>
          <w:rFonts w:ascii="Times New Roman" w:hAnsi="Times New Roman"/>
          <w:sz w:val="28"/>
        </w:rPr>
        <w:t xml:space="preserve"> Bank, Allianz Bank, Municipal Bank, DSK Bank, United Bulgarian Bank.</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training was specialized - on matters relating to the implementation of Ordinance 1 on the minimum technical and organizational measures for personal data protection, and advanced - it was attended by the bank employe</w:t>
      </w:r>
      <w:r w:rsidR="00AD5BDD">
        <w:rPr>
          <w:rFonts w:ascii="Times New Roman" w:hAnsi="Times New Roman"/>
          <w:sz w:val="28"/>
        </w:rPr>
        <w:t xml:space="preserve">es who attended the </w:t>
      </w:r>
      <w:r w:rsidRPr="008364C4">
        <w:rPr>
          <w:rFonts w:ascii="Times New Roman" w:hAnsi="Times New Roman"/>
          <w:sz w:val="28"/>
        </w:rPr>
        <w:t xml:space="preserve">personal data protection </w:t>
      </w:r>
      <w:r w:rsidR="00AD5BDD">
        <w:rPr>
          <w:rFonts w:ascii="Times New Roman" w:hAnsi="Times New Roman"/>
          <w:sz w:val="28"/>
        </w:rPr>
        <w:t xml:space="preserve">training </w:t>
      </w:r>
      <w:r w:rsidRPr="008364C4">
        <w:rPr>
          <w:rFonts w:ascii="Times New Roman" w:hAnsi="Times New Roman"/>
          <w:sz w:val="28"/>
        </w:rPr>
        <w:t xml:space="preserve">conducted on 14 May 2013, organized with the assistance of the Association of Banks in Bulgaria.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trainees highly assessed the training, stating that the presented case studies and examples and</w:t>
      </w:r>
      <w:r w:rsidR="00AD5BDD">
        <w:rPr>
          <w:rFonts w:ascii="Times New Roman" w:hAnsi="Times New Roman"/>
          <w:sz w:val="28"/>
        </w:rPr>
        <w:t xml:space="preserve"> the focus on topics specific for</w:t>
      </w:r>
      <w:r w:rsidRPr="008364C4">
        <w:rPr>
          <w:rFonts w:ascii="Times New Roman" w:hAnsi="Times New Roman"/>
          <w:sz w:val="28"/>
        </w:rPr>
        <w:t xml:space="preserve"> the banking sector have contributed significantly to increase their understanding and knowledge in the data protection</w:t>
      </w:r>
      <w:r w:rsidR="00AD5BDD">
        <w:rPr>
          <w:rFonts w:ascii="Times New Roman" w:hAnsi="Times New Roman"/>
          <w:sz w:val="28"/>
        </w:rPr>
        <w:t xml:space="preserve"> field</w:t>
      </w:r>
      <w:r w:rsidRPr="008364C4">
        <w:rPr>
          <w:rFonts w:ascii="Times New Roman" w:hAnsi="Times New Roman"/>
          <w:sz w:val="28"/>
        </w:rPr>
        <w:t>.</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Institute of Public Administration</w:t>
      </w:r>
    </w:p>
    <w:p w:rsidR="00507B5F" w:rsidRPr="008364C4" w:rsidRDefault="00507B5F" w:rsidP="00507B5F">
      <w:pPr>
        <w:spacing w:after="0" w:line="360" w:lineRule="auto"/>
        <w:ind w:firstLine="709"/>
        <w:jc w:val="both"/>
        <w:rPr>
          <w:rFonts w:ascii="Times New Roman" w:hAnsi="Times New Roman"/>
          <w:bCs/>
          <w:sz w:val="28"/>
          <w:szCs w:val="28"/>
        </w:rPr>
      </w:pPr>
      <w:r w:rsidRPr="008364C4">
        <w:rPr>
          <w:rFonts w:ascii="Times New Roman" w:hAnsi="Times New Roman"/>
          <w:sz w:val="28"/>
        </w:rPr>
        <w:lastRenderedPageBreak/>
        <w:t xml:space="preserve">At the invitation of the Institute of Public Administration three training courses were organized in 2013 jointly with the Institute of Public Administration, 1 for managers and 2 for experts. They were attended by representatives of the central </w:t>
      </w:r>
      <w:r w:rsidR="00AD5BDD">
        <w:rPr>
          <w:rFonts w:ascii="Times New Roman" w:hAnsi="Times New Roman"/>
          <w:sz w:val="28"/>
        </w:rPr>
        <w:t xml:space="preserve">and </w:t>
      </w:r>
      <w:r w:rsidRPr="008364C4">
        <w:rPr>
          <w:rFonts w:ascii="Times New Roman" w:hAnsi="Times New Roman"/>
          <w:sz w:val="28"/>
        </w:rPr>
        <w:t xml:space="preserve">local government of Bulgaria. For the first time </w:t>
      </w:r>
      <w:r w:rsidR="00AD5BDD">
        <w:rPr>
          <w:rFonts w:ascii="Times New Roman" w:hAnsi="Times New Roman"/>
          <w:sz w:val="28"/>
        </w:rPr>
        <w:t>this year the Institute included</w:t>
      </w:r>
      <w:r w:rsidRPr="008364C4">
        <w:rPr>
          <w:rFonts w:ascii="Times New Roman" w:hAnsi="Times New Roman"/>
          <w:sz w:val="28"/>
        </w:rPr>
        <w:t xml:space="preserve"> in its</w:t>
      </w:r>
      <w:r w:rsidR="00AD5BDD">
        <w:rPr>
          <w:rFonts w:ascii="Times New Roman" w:hAnsi="Times New Roman"/>
          <w:sz w:val="28"/>
        </w:rPr>
        <w:t xml:space="preserve"> training</w:t>
      </w:r>
      <w:r w:rsidRPr="008364C4">
        <w:rPr>
          <w:rFonts w:ascii="Times New Roman" w:hAnsi="Times New Roman"/>
          <w:sz w:val="28"/>
        </w:rPr>
        <w:t xml:space="preserve"> catalogue a training module on the EU policy on</w:t>
      </w:r>
      <w:r w:rsidR="00AD5BDD">
        <w:rPr>
          <w:rFonts w:ascii="Times New Roman" w:hAnsi="Times New Roman"/>
          <w:sz w:val="28"/>
        </w:rPr>
        <w:t xml:space="preserve"> personal data protection</w:t>
      </w:r>
      <w:r w:rsidRPr="008364C4">
        <w:rPr>
          <w:rFonts w:ascii="Times New Roman" w:hAnsi="Times New Roman"/>
          <w:sz w:val="28"/>
        </w:rPr>
        <w:t xml:space="preserve">, legal regulation and practice in Bulgaria. The training </w:t>
      </w:r>
      <w:r w:rsidR="00AD5BDD">
        <w:rPr>
          <w:rFonts w:ascii="Times New Roman" w:hAnsi="Times New Roman"/>
          <w:sz w:val="28"/>
        </w:rPr>
        <w:t xml:space="preserve">intended for civil servants was </w:t>
      </w:r>
      <w:r w:rsidRPr="008364C4">
        <w:rPr>
          <w:rFonts w:ascii="Times New Roman" w:hAnsi="Times New Roman"/>
          <w:sz w:val="28"/>
        </w:rPr>
        <w:t>hig</w:t>
      </w:r>
      <w:r w:rsidR="00AD5BDD">
        <w:rPr>
          <w:rFonts w:ascii="Times New Roman" w:hAnsi="Times New Roman"/>
          <w:sz w:val="28"/>
        </w:rPr>
        <w:t>hly appreciated</w:t>
      </w:r>
      <w:r w:rsidRPr="008364C4">
        <w:rPr>
          <w:rFonts w:ascii="Times New Roman" w:hAnsi="Times New Roman"/>
          <w:sz w:val="28"/>
        </w:rPr>
        <w:t xml:space="preserve">. </w:t>
      </w:r>
    </w:p>
    <w:p w:rsidR="00507B5F" w:rsidRPr="008364C4" w:rsidRDefault="00507B5F" w:rsidP="00507B5F">
      <w:pPr>
        <w:spacing w:after="0" w:line="360" w:lineRule="auto"/>
        <w:ind w:firstLine="709"/>
        <w:jc w:val="both"/>
        <w:rPr>
          <w:rFonts w:ascii="Times New Roman" w:hAnsi="Times New Roman"/>
          <w:b/>
          <w:sz w:val="28"/>
          <w:szCs w:val="28"/>
        </w:rPr>
      </w:pP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4. Statistics and trends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When analysing the feedback surveys </w:t>
      </w:r>
      <w:r w:rsidR="00AD5BDD">
        <w:rPr>
          <w:rFonts w:ascii="Times New Roman" w:hAnsi="Times New Roman"/>
          <w:sz w:val="28"/>
        </w:rPr>
        <w:t xml:space="preserve">for </w:t>
      </w:r>
      <w:r w:rsidRPr="008364C4">
        <w:rPr>
          <w:rFonts w:ascii="Times New Roman" w:hAnsi="Times New Roman"/>
          <w:sz w:val="28"/>
        </w:rPr>
        <w:t xml:space="preserve">the evaluation of the training course the following results may be summarized (Fig. 8) </w:t>
      </w:r>
    </w:p>
    <w:p w:rsidR="00507B5F" w:rsidRPr="008364C4" w:rsidRDefault="00937E09" w:rsidP="00507B5F">
      <w:pPr>
        <w:spacing w:after="0" w:line="360" w:lineRule="auto"/>
        <w:ind w:firstLine="426"/>
        <w:jc w:val="center"/>
        <w:rPr>
          <w:rFonts w:ascii="Times New Roman" w:hAnsi="Times New Roman"/>
          <w:b/>
          <w:sz w:val="28"/>
          <w:szCs w:val="28"/>
        </w:rPr>
      </w:pPr>
      <w:r>
        <w:rPr>
          <w:rFonts w:ascii="Times New Roman" w:hAnsi="Times New Roman"/>
          <w:noProof/>
          <w:sz w:val="28"/>
          <w:lang w:val="bg-BG" w:eastAsia="bg-BG" w:bidi="ar-SA"/>
        </w:rPr>
        <mc:AlternateContent>
          <mc:Choice Requires="wps">
            <w:drawing>
              <wp:anchor distT="0" distB="0" distL="114300" distR="114300" simplePos="0" relativeHeight="251675648" behindDoc="0" locked="0" layoutInCell="1" allowOverlap="1">
                <wp:simplePos x="0" y="0"/>
                <wp:positionH relativeFrom="column">
                  <wp:posOffset>4634865</wp:posOffset>
                </wp:positionH>
                <wp:positionV relativeFrom="paragraph">
                  <wp:posOffset>2169160</wp:posOffset>
                </wp:positionV>
                <wp:extent cx="1049020" cy="292735"/>
                <wp:effectExtent l="0" t="0" r="254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252C36" w:rsidRDefault="00740751" w:rsidP="00252C36">
                            <w:pPr>
                              <w:rPr>
                                <w:lang w:val="en-US"/>
                              </w:rPr>
                            </w:pPr>
                            <w:r>
                              <w:rPr>
                                <w:lang w:val="en-US"/>
                              </w:rPr>
                              <w:t>Satisfactory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7" type="#_x0000_t202" style="position:absolute;left:0;text-align:left;margin-left:364.95pt;margin-top:170.8pt;width:82.6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Z9hQ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" stroked="f">
                <v:textbox>
                  <w:txbxContent>
                    <w:p w:rsidR="00F21E3B" w:rsidRPr="00252C36" w:rsidRDefault="00F21E3B" w:rsidP="00252C36">
                      <w:pPr>
                        <w:rPr>
                          <w:lang w:val="en-US"/>
                        </w:rPr>
                      </w:pPr>
                      <w:r>
                        <w:rPr>
                          <w:lang w:val="en-US"/>
                        </w:rPr>
                        <w:t>Satisfactory</w:t>
                      </w:r>
                    </w:p>
                  </w:txbxContent>
                </v:textbox>
              </v:shape>
            </w:pict>
          </mc:Fallback>
        </mc:AlternateContent>
      </w:r>
      <w:r>
        <w:rPr>
          <w:rFonts w:ascii="Times New Roman" w:hAnsi="Times New Roman"/>
          <w:b/>
          <w:noProof/>
          <w:sz w:val="28"/>
          <w:szCs w:val="28"/>
          <w:lang w:val="bg-BG" w:eastAsia="bg-BG" w:bidi="ar-SA"/>
        </w:rPr>
        <mc:AlternateContent>
          <mc:Choice Requires="wps">
            <w:drawing>
              <wp:anchor distT="0" distB="0" distL="114300" distR="114300" simplePos="0" relativeHeight="251674624" behindDoc="0" locked="0" layoutInCell="1" allowOverlap="1">
                <wp:simplePos x="0" y="0"/>
                <wp:positionH relativeFrom="column">
                  <wp:posOffset>4634865</wp:posOffset>
                </wp:positionH>
                <wp:positionV relativeFrom="paragraph">
                  <wp:posOffset>1683385</wp:posOffset>
                </wp:positionV>
                <wp:extent cx="751205" cy="292735"/>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252C36" w:rsidRDefault="00740751" w:rsidP="00252C36">
                            <w:pPr>
                              <w:rPr>
                                <w:lang w:val="en-US"/>
                              </w:rPr>
                            </w:pPr>
                            <w:r>
                              <w:rPr>
                                <w:lang w:val="en-US"/>
                              </w:rPr>
                              <w:t>Good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left:0;text-align:left;margin-left:364.95pt;margin-top:132.55pt;width:59.1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7J4hA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" stroked="f">
                <v:textbox>
                  <w:txbxContent>
                    <w:p w:rsidR="00F21E3B" w:rsidRPr="00252C36" w:rsidRDefault="00F21E3B" w:rsidP="00252C36">
                      <w:pPr>
                        <w:rPr>
                          <w:lang w:val="en-US"/>
                        </w:rPr>
                      </w:pPr>
                      <w:r>
                        <w:rPr>
                          <w:lang w:val="en-US"/>
                        </w:rPr>
                        <w:t>Good</w:t>
                      </w:r>
                    </w:p>
                  </w:txbxContent>
                </v:textbox>
              </v:shape>
            </w:pict>
          </mc:Fallback>
        </mc:AlternateContent>
      </w:r>
      <w:r>
        <w:rPr>
          <w:rFonts w:ascii="Times New Roman" w:hAnsi="Times New Roman"/>
          <w:noProof/>
          <w:sz w:val="28"/>
          <w:lang w:val="bg-BG" w:eastAsia="bg-BG" w:bidi="ar-SA"/>
        </w:rPr>
        <mc:AlternateContent>
          <mc:Choice Requires="wps">
            <w:drawing>
              <wp:anchor distT="0" distB="0" distL="114300" distR="114300" simplePos="0" relativeHeight="251673600" behindDoc="0" locked="0" layoutInCell="1" allowOverlap="1">
                <wp:simplePos x="0" y="0"/>
                <wp:positionH relativeFrom="column">
                  <wp:posOffset>4634865</wp:posOffset>
                </wp:positionH>
                <wp:positionV relativeFrom="paragraph">
                  <wp:posOffset>1169035</wp:posOffset>
                </wp:positionV>
                <wp:extent cx="903605" cy="292735"/>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252C36" w:rsidRDefault="00740751" w:rsidP="00252C36">
                            <w:pPr>
                              <w:rPr>
                                <w:lang w:val="en-US"/>
                              </w:rPr>
                            </w:pPr>
                            <w:r>
                              <w:rPr>
                                <w:lang w:val="en-US"/>
                              </w:rPr>
                              <w:t>Very Good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left:0;text-align:left;margin-left:364.95pt;margin-top:92.05pt;width:71.15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" stroked="f">
                <v:textbox>
                  <w:txbxContent>
                    <w:p w:rsidR="00F21E3B" w:rsidRPr="00252C36" w:rsidRDefault="00F21E3B" w:rsidP="00252C36">
                      <w:pPr>
                        <w:rPr>
                          <w:lang w:val="en-US"/>
                        </w:rPr>
                      </w:pPr>
                      <w:r>
                        <w:rPr>
                          <w:lang w:val="en-US"/>
                        </w:rPr>
                        <w:t>Very Good</w:t>
                      </w:r>
                    </w:p>
                  </w:txbxContent>
                </v:textbox>
              </v:shape>
            </w:pict>
          </mc:Fallback>
        </mc:AlternateContent>
      </w:r>
      <w:r>
        <w:rPr>
          <w:rFonts w:ascii="Times New Roman" w:hAnsi="Times New Roman"/>
          <w:noProof/>
          <w:sz w:val="28"/>
          <w:lang w:val="bg-BG" w:eastAsia="bg-BG" w:bidi="ar-SA"/>
        </w:rPr>
        <mc:AlternateContent>
          <mc:Choice Requires="wps">
            <w:drawing>
              <wp:anchor distT="0" distB="0" distL="114300" distR="114300" simplePos="0" relativeHeight="251672576" behindDoc="0" locked="0" layoutInCell="1" allowOverlap="1">
                <wp:simplePos x="0" y="0"/>
                <wp:positionH relativeFrom="column">
                  <wp:posOffset>4634865</wp:posOffset>
                </wp:positionH>
                <wp:positionV relativeFrom="paragraph">
                  <wp:posOffset>616585</wp:posOffset>
                </wp:positionV>
                <wp:extent cx="751205" cy="29273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751" w:rsidRPr="00252C36" w:rsidRDefault="00740751" w:rsidP="00252C36">
                            <w:pPr>
                              <w:rPr>
                                <w:lang w:val="en-US"/>
                              </w:rPr>
                            </w:pPr>
                            <w:r>
                              <w:rPr>
                                <w:lang w:val="en-US"/>
                              </w:rPr>
                              <w:t>Excellent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left:0;text-align:left;margin-left:364.95pt;margin-top:48.55pt;width:59.1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35hQ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" stroked="f">
                <v:textbox>
                  <w:txbxContent>
                    <w:p w:rsidR="00F21E3B" w:rsidRPr="00252C36" w:rsidRDefault="00F21E3B" w:rsidP="00252C36">
                      <w:pPr>
                        <w:rPr>
                          <w:lang w:val="en-US"/>
                        </w:rPr>
                      </w:pPr>
                      <w:r>
                        <w:rPr>
                          <w:lang w:val="en-US"/>
                        </w:rPr>
                        <w:t>Excellent</w:t>
                      </w:r>
                    </w:p>
                  </w:txbxContent>
                </v:textbox>
              </v:shape>
            </w:pict>
          </mc:Fallback>
        </mc:AlternateContent>
      </w:r>
      <w:r w:rsidR="00EE2462" w:rsidRPr="008364C4">
        <w:rPr>
          <w:rFonts w:ascii="Times New Roman" w:hAnsi="Times New Roman"/>
          <w:noProof/>
          <w:sz w:val="28"/>
          <w:szCs w:val="28"/>
          <w:lang w:val="bg-BG" w:eastAsia="bg-BG" w:bidi="ar-SA"/>
        </w:rPr>
        <w:drawing>
          <wp:inline distT="0" distB="0" distL="0" distR="0">
            <wp:extent cx="5762625" cy="309562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E2462" w:rsidRPr="008364C4">
        <w:rPr>
          <w:rFonts w:ascii="Times New Roman" w:hAnsi="Times New Roman"/>
          <w:b/>
          <w:sz w:val="28"/>
        </w:rPr>
        <w:t>Fig. 8</w:t>
      </w:r>
    </w:p>
    <w:p w:rsidR="00507B5F" w:rsidRPr="008364C4" w:rsidRDefault="00507B5F" w:rsidP="00507B5F">
      <w:pPr>
        <w:spacing w:after="0" w:line="360" w:lineRule="auto"/>
        <w:ind w:firstLine="426"/>
        <w:jc w:val="center"/>
        <w:rPr>
          <w:rFonts w:ascii="Times New Roman" w:hAnsi="Times New Roman"/>
          <w:b/>
          <w:sz w:val="28"/>
          <w:szCs w:val="28"/>
        </w:rPr>
      </w:pPr>
    </w:p>
    <w:p w:rsidR="00507B5F" w:rsidRPr="008364C4" w:rsidRDefault="00AD5BDD" w:rsidP="00507B5F">
      <w:pPr>
        <w:spacing w:after="0" w:line="360" w:lineRule="auto"/>
        <w:ind w:firstLine="709"/>
        <w:jc w:val="both"/>
        <w:rPr>
          <w:rFonts w:ascii="Times New Roman" w:hAnsi="Times New Roman"/>
          <w:sz w:val="28"/>
          <w:szCs w:val="28"/>
        </w:rPr>
      </w:pPr>
      <w:r>
        <w:rPr>
          <w:rFonts w:ascii="Times New Roman" w:hAnsi="Times New Roman"/>
          <w:sz w:val="28"/>
        </w:rPr>
        <w:t xml:space="preserve">When comparing the </w:t>
      </w:r>
      <w:r w:rsidR="00507B5F" w:rsidRPr="008364C4">
        <w:rPr>
          <w:rFonts w:ascii="Times New Roman" w:hAnsi="Times New Roman"/>
          <w:sz w:val="28"/>
        </w:rPr>
        <w:t xml:space="preserve">results of the training with the results of the preceding years 2011 and 2012, it may be concluded that the Commission succeeded to significantly increase the level of efficiency of its training courses. This is </w:t>
      </w:r>
      <w:r>
        <w:rPr>
          <w:rFonts w:ascii="Times New Roman" w:hAnsi="Times New Roman"/>
          <w:sz w:val="28"/>
        </w:rPr>
        <w:t xml:space="preserve">a result of </w:t>
      </w:r>
      <w:r w:rsidR="00507B5F" w:rsidRPr="008364C4">
        <w:rPr>
          <w:rFonts w:ascii="Times New Roman" w:hAnsi="Times New Roman"/>
          <w:sz w:val="28"/>
        </w:rPr>
        <w:t xml:space="preserve">the adaptation of </w:t>
      </w:r>
      <w:r w:rsidR="00977AFC" w:rsidRPr="00977AFC">
        <w:rPr>
          <w:rFonts w:ascii="Times New Roman" w:hAnsi="Times New Roman"/>
          <w:sz w:val="28"/>
        </w:rPr>
        <w:t>training</w:t>
      </w:r>
      <w:r w:rsidR="00977AFC">
        <w:rPr>
          <w:rFonts w:ascii="Times New Roman" w:hAnsi="Times New Roman"/>
          <w:sz w:val="28"/>
        </w:rPr>
        <w:t xml:space="preserve"> </w:t>
      </w:r>
      <w:proofErr w:type="spellStart"/>
      <w:r w:rsidR="00977AFC">
        <w:rPr>
          <w:rFonts w:ascii="Times New Roman" w:hAnsi="Times New Roman"/>
          <w:sz w:val="28"/>
        </w:rPr>
        <w:t>programm</w:t>
      </w:r>
      <w:proofErr w:type="spellEnd"/>
      <w:r w:rsidR="00977AFC">
        <w:rPr>
          <w:rFonts w:ascii="Times New Roman" w:hAnsi="Times New Roman"/>
          <w:sz w:val="28"/>
        </w:rPr>
        <w:t xml:space="preserve"> </w:t>
      </w:r>
      <w:r>
        <w:rPr>
          <w:rFonts w:ascii="Times New Roman" w:hAnsi="Times New Roman"/>
          <w:sz w:val="28"/>
        </w:rPr>
        <w:t xml:space="preserve">in accordance with the </w:t>
      </w:r>
      <w:r w:rsidR="00507B5F" w:rsidRPr="008364C4">
        <w:rPr>
          <w:rFonts w:ascii="Times New Roman" w:hAnsi="Times New Roman"/>
          <w:sz w:val="28"/>
        </w:rPr>
        <w:t xml:space="preserve">accumulated recommendations in previous years. The topics of the lectures in 2013 are optimized and updated to include the latest trends in the </w:t>
      </w:r>
      <w:r>
        <w:rPr>
          <w:rFonts w:ascii="Times New Roman" w:hAnsi="Times New Roman"/>
          <w:sz w:val="28"/>
        </w:rPr>
        <w:t xml:space="preserve">data protection </w:t>
      </w:r>
      <w:r w:rsidR="00507B5F" w:rsidRPr="008364C4">
        <w:rPr>
          <w:rFonts w:ascii="Times New Roman" w:hAnsi="Times New Roman"/>
          <w:sz w:val="28"/>
        </w:rPr>
        <w:t xml:space="preserve">filed. More </w:t>
      </w:r>
      <w:r w:rsidR="00507B5F" w:rsidRPr="008364C4">
        <w:rPr>
          <w:rFonts w:ascii="Times New Roman" w:hAnsi="Times New Roman"/>
          <w:sz w:val="28"/>
        </w:rPr>
        <w:lastRenderedPageBreak/>
        <w:t>examples were included and case studies and role plays were developed. Specialized trainings were designed and conducted, namely:</w:t>
      </w:r>
      <w:r>
        <w:rPr>
          <w:rFonts w:ascii="Times New Roman" w:hAnsi="Times New Roman"/>
          <w:sz w:val="28"/>
        </w:rPr>
        <w:t xml:space="preserve"> for</w:t>
      </w:r>
      <w:r w:rsidR="00507B5F" w:rsidRPr="008364C4">
        <w:rPr>
          <w:rFonts w:ascii="Times New Roman" w:hAnsi="Times New Roman"/>
          <w:sz w:val="28"/>
        </w:rPr>
        <w:t xml:space="preserve"> the implementation of the new Ordinance 1.</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This was highly appreciated by the participants in the training - the percentage of trainees evaluated the training as "Excellent" has almost doubled. At the same time the number of trainees who have assessed the training as "Good" decreased almost four times.  28% of the trainees who have completed the feedback questionnaires answer the question "What do you most like about the training?" by indicating "The practical examples and case studies", other 16.4% - "Th</w:t>
      </w:r>
      <w:r w:rsidR="00AD5BDD">
        <w:rPr>
          <w:rFonts w:ascii="Times New Roman" w:hAnsi="Times New Roman"/>
          <w:sz w:val="28"/>
        </w:rPr>
        <w:t>e accessible presentation on the</w:t>
      </w:r>
      <w:r w:rsidRPr="008364C4">
        <w:rPr>
          <w:rFonts w:ascii="Times New Roman" w:hAnsi="Times New Roman"/>
          <w:sz w:val="28"/>
        </w:rPr>
        <w:t xml:space="preserve"> matter" and "The practical orientation of the training".</w:t>
      </w:r>
    </w:p>
    <w:p w:rsidR="00507B5F" w:rsidRPr="008364C4" w:rsidRDefault="00507B5F" w:rsidP="00507B5F">
      <w:pPr>
        <w:spacing w:after="0" w:line="360" w:lineRule="auto"/>
        <w:ind w:firstLine="709"/>
        <w:jc w:val="both"/>
        <w:rPr>
          <w:rFonts w:ascii="Times New Roman" w:hAnsi="Times New Roman"/>
          <w:b/>
          <w:sz w:val="28"/>
          <w:szCs w:val="28"/>
        </w:rPr>
      </w:pP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5. Implementation of projects with national and international funding</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Commission for Personal Data Protection is the only supervisory authority on personal data protection in Bulgaria. Due to limited funding from the national budget, CPDP strives to improve its operation and raise the quality of services by attracting European funding. This pursuit of the institution is in line with the national policy followed by Bulgaria regarding the use of the opportunities provided by EU funds.</w:t>
      </w:r>
    </w:p>
    <w:p w:rsidR="00507B5F" w:rsidRPr="008364C4" w:rsidRDefault="00507B5F" w:rsidP="00507B5F">
      <w:pPr>
        <w:spacing w:after="0" w:line="360" w:lineRule="auto"/>
        <w:ind w:firstLine="709"/>
        <w:jc w:val="both"/>
        <w:rPr>
          <w:rFonts w:ascii="Times New Roman" w:hAnsi="Times New Roman"/>
          <w:color w:val="FF0000"/>
          <w:sz w:val="28"/>
          <w:szCs w:val="28"/>
        </w:rPr>
      </w:pPr>
      <w:r w:rsidRPr="008364C4">
        <w:rPr>
          <w:rFonts w:ascii="Times New Roman" w:hAnsi="Times New Roman"/>
          <w:sz w:val="28"/>
        </w:rPr>
        <w:t xml:space="preserve">Regarding the development and management of projects, year 2013 was the most successful year in the history of the Commission. This year marked the successful completion of a project launched in the previous year and the conclusion of contracts for funding of another 3 projects, amounting to BGN 335,961. The total number of projects managed by the Commission's experts in 2013 is 5 under two different European programmes with a total value of contracts amounting to BGN 384,413. </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5.1. Leonardo da Vinci Programme</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Leonardo da</w:t>
      </w:r>
      <w:r w:rsidR="00E42AAB">
        <w:rPr>
          <w:rFonts w:ascii="Times New Roman" w:hAnsi="Times New Roman"/>
          <w:sz w:val="28"/>
        </w:rPr>
        <w:t xml:space="preserve"> Vinci Programme is a programme</w:t>
      </w:r>
      <w:r w:rsidRPr="008364C4">
        <w:rPr>
          <w:rFonts w:ascii="Times New Roman" w:hAnsi="Times New Roman"/>
          <w:sz w:val="28"/>
        </w:rPr>
        <w:t xml:space="preserve"> that supports and carries out the policy on professional education and training of the EU member states by </w:t>
      </w:r>
      <w:r w:rsidRPr="008364C4">
        <w:rPr>
          <w:rFonts w:ascii="Times New Roman" w:hAnsi="Times New Roman"/>
          <w:sz w:val="28"/>
        </w:rPr>
        <w:lastRenderedPageBreak/>
        <w:t xml:space="preserve">complying with the content and organization of the relevant national policy. The programme is aimed at enhancing the quality of vocational education and training, encouraging innovation, and disseminating good professional practices and systems in Europe through transnational cooperation and gained experience. Two projects of the Commission were approved within the frame of 2012. </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 xml:space="preserve">"Exchange of experience in the conduct of training in personal data protection field" Project, "Leonardo da Vinci" Programme, Activity: "Mobility"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Commission's project started in August 2012. The amount contracted w</w:t>
      </w:r>
      <w:r w:rsidR="00E42AAB">
        <w:rPr>
          <w:rFonts w:ascii="Times New Roman" w:hAnsi="Times New Roman"/>
          <w:sz w:val="28"/>
        </w:rPr>
        <w:t xml:space="preserve">ith the Managing Authority was </w:t>
      </w:r>
      <w:r w:rsidRPr="008364C4">
        <w:rPr>
          <w:rFonts w:ascii="Times New Roman" w:hAnsi="Times New Roman"/>
          <w:sz w:val="28"/>
        </w:rPr>
        <w:t>EUR 13,720. The deadline for the implementation of the project was by the end of July 2013. The main part of the implementation of the project proposal, namely: the exchange of experience with partners from the Polish and German supervisory authorities wa</w:t>
      </w:r>
      <w:r w:rsidR="00E42AAB">
        <w:rPr>
          <w:rFonts w:ascii="Times New Roman" w:hAnsi="Times New Roman"/>
          <w:sz w:val="28"/>
        </w:rPr>
        <w:t xml:space="preserve">s carried out in November 2012. </w:t>
      </w:r>
      <w:r w:rsidRPr="008364C4">
        <w:rPr>
          <w:rFonts w:ascii="Times New Roman" w:hAnsi="Times New Roman"/>
          <w:sz w:val="28"/>
        </w:rPr>
        <w:t>In 2013</w:t>
      </w:r>
      <w:r w:rsidR="00E42AAB">
        <w:rPr>
          <w:rFonts w:ascii="Times New Roman" w:hAnsi="Times New Roman"/>
          <w:sz w:val="28"/>
        </w:rPr>
        <w:t>,</w:t>
      </w:r>
      <w:r w:rsidRPr="008364C4">
        <w:rPr>
          <w:rFonts w:ascii="Times New Roman" w:hAnsi="Times New Roman"/>
          <w:sz w:val="28"/>
        </w:rPr>
        <w:t xml:space="preserve"> the participants in the project proceeded with analysing the exchanged experiences and with drafting a Catalogue of Best Practices in Training, which may be used in the work of the Commission. This catalogue was drafted and in June 2013 the Commission carried out an event to announce the outcomes of the project to all employees of the Commission. The announcement of the outcomes included a workshop where the employees were introduced with the training activities of the partner organizations under the project, the best pract</w:t>
      </w:r>
      <w:r w:rsidR="00E42AAB">
        <w:rPr>
          <w:rFonts w:ascii="Times New Roman" w:hAnsi="Times New Roman"/>
          <w:sz w:val="28"/>
        </w:rPr>
        <w:t xml:space="preserve">ices identified were presented and </w:t>
      </w:r>
      <w:r w:rsidRPr="008364C4">
        <w:rPr>
          <w:rFonts w:ascii="Times New Roman" w:hAnsi="Times New Roman"/>
          <w:sz w:val="28"/>
        </w:rPr>
        <w:t xml:space="preserve">a discussion was carried out with questions and answers.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an official letter in October 2013</w:t>
      </w:r>
      <w:r w:rsidR="00E42AAB">
        <w:rPr>
          <w:rFonts w:ascii="Times New Roman" w:hAnsi="Times New Roman"/>
          <w:sz w:val="28"/>
        </w:rPr>
        <w:t>,</w:t>
      </w:r>
      <w:r w:rsidRPr="008364C4">
        <w:rPr>
          <w:rFonts w:ascii="Times New Roman" w:hAnsi="Times New Roman"/>
          <w:sz w:val="28"/>
        </w:rPr>
        <w:t xml:space="preserve"> the Managing Authority of the programme informed the Commission that recognizes all expenses incurred by the Commission in full, and thus the project proposal was officially closed.</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"Raising awareness of the persons working on the EU labour market on personal data protection issues" Project - "Leonardo da Vinci" Programme, Activity: "Partnerships"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The project started in September 2012. The total amount of funding allocated to CPDP is EUR 11,000 and the deadline for the completion of the project is July 2014. Partners of CPDP under this project are the Bureau of the Inspector General for Personal Data Protection </w:t>
      </w:r>
      <w:r w:rsidR="00440446">
        <w:rPr>
          <w:rFonts w:ascii="Times New Roman" w:hAnsi="Times New Roman"/>
          <w:sz w:val="28"/>
        </w:rPr>
        <w:t xml:space="preserve">in the Republic of Poland, the </w:t>
      </w:r>
      <w:r w:rsidRPr="008364C4">
        <w:rPr>
          <w:rFonts w:ascii="Times New Roman" w:hAnsi="Times New Roman"/>
          <w:sz w:val="28"/>
        </w:rPr>
        <w:t xml:space="preserve">Office for Personal Data Protection in the Czech Republic and the Agency for Personal Data Protection in the Republic of Croatia. The project implementation covers 6 working meetings in the partner countries under the project, which should lead to the development of a Handbook for personal data protection for persons on the labour market. The Handbook is intended to be used by the individuals looking for work or working in the European Union and aims to increase their understanding of issues related to the protection of their personal data. The publication includes the legal framework and practical </w:t>
      </w:r>
      <w:r w:rsidR="00E42AAB">
        <w:rPr>
          <w:rFonts w:ascii="Times New Roman" w:hAnsi="Times New Roman"/>
          <w:sz w:val="28"/>
        </w:rPr>
        <w:t xml:space="preserve">data protection </w:t>
      </w:r>
      <w:r w:rsidRPr="008364C4">
        <w:rPr>
          <w:rFonts w:ascii="Times New Roman" w:hAnsi="Times New Roman"/>
          <w:sz w:val="28"/>
        </w:rPr>
        <w:t xml:space="preserve">issues, but also provides advice to individuals.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Three meetings were held under the project in 2013 - in Split (Croatia), Sofia (Bulgaria) and Prague (Czech Republic). The attendants of these meetings specified the format and type of the handbook, its content is almost finalized and English version of the publication is completed. The final version of the handbook is to be released in the summer of 2014. </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 xml:space="preserve">5.2. Projects under the Operational Programme "Administrative Capacity"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"Administrative Capacity" is one of the seven operational programs for the programming period 2007-2013. It is directed to the state administration and aims to improve its operation in order to implement effective policies, to provide quality services to citizens and businesses, and to create conditions for sustainable economic growth and employment, as well as to enhance professionalism, transparency and accountability in the </w:t>
      </w:r>
      <w:r w:rsidR="00977AFC" w:rsidRPr="00977AFC">
        <w:rPr>
          <w:rFonts w:ascii="Times New Roman" w:hAnsi="Times New Roman"/>
          <w:sz w:val="28"/>
        </w:rPr>
        <w:t>judicial system</w:t>
      </w:r>
      <w:r w:rsidRPr="00977AFC">
        <w:rPr>
          <w:rFonts w:ascii="Times New Roman" w:hAnsi="Times New Roman"/>
          <w:sz w:val="28"/>
        </w:rPr>
        <w:t xml:space="preserve">. </w:t>
      </w:r>
      <w:r w:rsidRPr="008364C4">
        <w:rPr>
          <w:rFonts w:ascii="Times New Roman" w:hAnsi="Times New Roman"/>
          <w:sz w:val="28"/>
        </w:rPr>
        <w:t>In 2013 the Managing Authority of the programme approved 3 project proposals of the Commission.</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lastRenderedPageBreak/>
        <w:t>Project entitled "Improving the management, organization and functions of the Commission for Personal Data Protection by conducting a functional analysis"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funding contract for the project was signed on 6 February 2013 and amounts to BGN 213,829.91. The project aims to improve the management, organization and functioning of the Commission for Personal Data Protection. The main activity of the project is to carry out a functional analysis of the Commission in order to identify opportunities to improve its performance and optimize the structure and business processes within the organization.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the project team was formed and 3 procedures were conducted for the selection of contractors of the project activities. The implementation of the functional analysis started in the autumn of 2013, which was outsourced to a contractor selected </w:t>
      </w:r>
      <w:r w:rsidR="00F9127B">
        <w:rPr>
          <w:rFonts w:ascii="Times New Roman" w:hAnsi="Times New Roman"/>
          <w:sz w:val="28"/>
        </w:rPr>
        <w:t xml:space="preserve">via </w:t>
      </w:r>
      <w:r w:rsidRPr="008364C4">
        <w:rPr>
          <w:rFonts w:ascii="Times New Roman" w:hAnsi="Times New Roman"/>
          <w:sz w:val="28"/>
        </w:rPr>
        <w:t xml:space="preserve">an open procedure under the Law for Public Procurement.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project is to be completed by June 2014.</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Project entitled "Promoting the professional development of the employees of CPDP by applying a system of training in accordance with their professional duties"</w:t>
      </w:r>
    </w:p>
    <w:p w:rsidR="00507B5F" w:rsidRPr="008364C4" w:rsidRDefault="00507B5F" w:rsidP="00507B5F">
      <w:pPr>
        <w:spacing w:after="0" w:line="360" w:lineRule="auto"/>
        <w:ind w:firstLine="709"/>
        <w:jc w:val="both"/>
        <w:rPr>
          <w:rFonts w:ascii="Times New Roman" w:hAnsi="Times New Roman"/>
          <w:bCs/>
          <w:iCs/>
          <w:sz w:val="28"/>
          <w:szCs w:val="28"/>
        </w:rPr>
      </w:pPr>
      <w:r w:rsidRPr="008364C4">
        <w:rPr>
          <w:rFonts w:ascii="Times New Roman" w:hAnsi="Times New Roman"/>
          <w:sz w:val="28"/>
        </w:rPr>
        <w:t>The contract for this project was signed on 4 July 2013 and amounts to BGN 34,647. The project aims to improve the professional competence of the employees of the Commission for Personal Data Protection for more effect</w:t>
      </w:r>
      <w:r w:rsidR="00F9127B">
        <w:rPr>
          <w:rFonts w:ascii="Times New Roman" w:hAnsi="Times New Roman"/>
          <w:sz w:val="28"/>
        </w:rPr>
        <w:t>ive and efficient performance</w:t>
      </w:r>
      <w:r w:rsidRPr="008364C4">
        <w:rPr>
          <w:rFonts w:ascii="Times New Roman" w:hAnsi="Times New Roman"/>
          <w:sz w:val="28"/>
        </w:rPr>
        <w:t xml:space="preserve"> of their duties. Within the project, the Commission staff will undergo a series of training courses chosen by </w:t>
      </w:r>
      <w:r w:rsidR="00440446">
        <w:rPr>
          <w:rFonts w:ascii="Times New Roman" w:hAnsi="Times New Roman"/>
          <w:sz w:val="28"/>
        </w:rPr>
        <w:t>the employees</w:t>
      </w:r>
      <w:r w:rsidRPr="008364C4">
        <w:rPr>
          <w:rFonts w:ascii="Times New Roman" w:hAnsi="Times New Roman"/>
          <w:sz w:val="28"/>
        </w:rPr>
        <w:t>, aimed at enhancing their professional competence. In 2013, over 20 employees of the Commission participated in over 10 training courses under the project.</w:t>
      </w:r>
    </w:p>
    <w:p w:rsidR="00507B5F" w:rsidRPr="008364C4" w:rsidRDefault="00507B5F" w:rsidP="00507B5F">
      <w:pPr>
        <w:spacing w:after="0" w:line="360" w:lineRule="auto"/>
        <w:ind w:firstLine="709"/>
        <w:jc w:val="both"/>
        <w:rPr>
          <w:rFonts w:ascii="Times New Roman" w:hAnsi="Times New Roman"/>
          <w:bCs/>
          <w:iCs/>
          <w:sz w:val="28"/>
          <w:szCs w:val="28"/>
        </w:rPr>
      </w:pPr>
      <w:r w:rsidRPr="008364C4">
        <w:rPr>
          <w:rFonts w:ascii="Times New Roman" w:hAnsi="Times New Roman"/>
          <w:sz w:val="28"/>
        </w:rPr>
        <w:t>The training of the employees of CPDP will also continue in 2014. The project is scheduled to be completed by 4 July 2014.</w:t>
      </w:r>
    </w:p>
    <w:p w:rsidR="00507B5F" w:rsidRPr="008364C4" w:rsidRDefault="00507B5F" w:rsidP="00507B5F">
      <w:pPr>
        <w:spacing w:after="0" w:line="360" w:lineRule="auto"/>
        <w:ind w:firstLine="709"/>
        <w:jc w:val="both"/>
        <w:rPr>
          <w:rFonts w:ascii="Times New Roman" w:hAnsi="Times New Roman"/>
          <w:b/>
          <w:sz w:val="28"/>
          <w:szCs w:val="28"/>
        </w:rPr>
      </w:pPr>
      <w:r w:rsidRPr="008364C4">
        <w:rPr>
          <w:rFonts w:ascii="Times New Roman" w:hAnsi="Times New Roman"/>
          <w:b/>
          <w:sz w:val="28"/>
        </w:rPr>
        <w:t>Project entitled "Strengthening the administrative capacity of the Commission for Personal Data Protection for working with databases, information systems and team work"</w:t>
      </w:r>
    </w:p>
    <w:p w:rsidR="00507B5F" w:rsidRPr="008364C4" w:rsidRDefault="00507B5F" w:rsidP="00507B5F">
      <w:pPr>
        <w:spacing w:after="0" w:line="360" w:lineRule="auto"/>
        <w:ind w:firstLine="709"/>
        <w:jc w:val="both"/>
        <w:rPr>
          <w:rFonts w:ascii="Times New Roman" w:hAnsi="Times New Roman"/>
          <w:bCs/>
          <w:iCs/>
          <w:sz w:val="28"/>
          <w:szCs w:val="28"/>
        </w:rPr>
      </w:pPr>
      <w:r w:rsidRPr="008364C4">
        <w:rPr>
          <w:rFonts w:ascii="Times New Roman" w:hAnsi="Times New Roman"/>
          <w:sz w:val="28"/>
        </w:rPr>
        <w:lastRenderedPageBreak/>
        <w:t>The contract for this project was signed on 4 July 2013 and amounts to BGN 34,647. The project also aims to improve the professional competence of the employees of the Commission for Personal Data Protection (CPDP) for more effective and efficient performance of their duties, but unlike the previous one, this project is aimed specifically at employees of the Informational Funds and Systems Di</w:t>
      </w:r>
      <w:r w:rsidR="00F9127B">
        <w:rPr>
          <w:rFonts w:ascii="Times New Roman" w:hAnsi="Times New Roman"/>
          <w:sz w:val="28"/>
        </w:rPr>
        <w:t xml:space="preserve">rectorate. Under the project </w:t>
      </w:r>
      <w:r w:rsidRPr="008364C4">
        <w:rPr>
          <w:rFonts w:ascii="Times New Roman" w:hAnsi="Times New Roman"/>
          <w:sz w:val="28"/>
        </w:rPr>
        <w:t xml:space="preserve">the Directorate's employees will participate in various training courses to improve their team work, increase their skills to work with Windows 2008 web-based systems and Oracle. </w:t>
      </w:r>
    </w:p>
    <w:p w:rsidR="00507B5F" w:rsidRPr="008364C4" w:rsidRDefault="00507B5F" w:rsidP="00507B5F">
      <w:pPr>
        <w:spacing w:after="0" w:line="360" w:lineRule="auto"/>
        <w:ind w:firstLine="709"/>
        <w:jc w:val="both"/>
        <w:rPr>
          <w:rFonts w:ascii="Times New Roman" w:hAnsi="Times New Roman"/>
          <w:bCs/>
          <w:iCs/>
          <w:sz w:val="28"/>
          <w:szCs w:val="28"/>
        </w:rPr>
      </w:pPr>
      <w:r w:rsidRPr="008364C4">
        <w:rPr>
          <w:rFonts w:ascii="Times New Roman" w:hAnsi="Times New Roman"/>
          <w:sz w:val="28"/>
        </w:rPr>
        <w:t>The procedure for the outsourcing the project activities was initiated in 2013. The project is scheduled to be completed by July 2014.</w:t>
      </w:r>
    </w:p>
    <w:p w:rsidR="00507B5F" w:rsidRPr="008364C4" w:rsidRDefault="00507B5F" w:rsidP="00507B5F">
      <w:pPr>
        <w:widowControl w:val="0"/>
        <w:spacing w:after="0" w:line="360" w:lineRule="auto"/>
        <w:ind w:firstLine="709"/>
        <w:jc w:val="both"/>
        <w:rPr>
          <w:rFonts w:ascii="Times New Roman" w:hAnsi="Times New Roman"/>
          <w:b/>
          <w:bCs/>
          <w:iCs/>
          <w:sz w:val="28"/>
          <w:szCs w:val="28"/>
        </w:rPr>
      </w:pPr>
      <w:r w:rsidRPr="008364C4">
        <w:rPr>
          <w:rFonts w:ascii="Times New Roman" w:hAnsi="Times New Roman"/>
          <w:b/>
          <w:sz w:val="28"/>
        </w:rPr>
        <w:t>Project entitled "Improving and expanding electronic services to businesses and individuals by the Commission for Personal Data Protection, and integrating them with a single point of access to e-services"</w:t>
      </w:r>
    </w:p>
    <w:p w:rsidR="00507B5F" w:rsidRPr="008364C4" w:rsidRDefault="00507B5F" w:rsidP="00507B5F">
      <w:pPr>
        <w:widowControl w:val="0"/>
        <w:spacing w:after="0" w:line="360" w:lineRule="auto"/>
        <w:ind w:firstLine="709"/>
        <w:jc w:val="both"/>
        <w:rPr>
          <w:rFonts w:ascii="Times New Roman" w:hAnsi="Times New Roman"/>
          <w:sz w:val="28"/>
          <w:szCs w:val="28"/>
        </w:rPr>
      </w:pPr>
      <w:r w:rsidRPr="008364C4">
        <w:rPr>
          <w:rFonts w:ascii="Times New Roman" w:hAnsi="Times New Roman"/>
          <w:sz w:val="28"/>
        </w:rPr>
        <w:t>At the end of 2013 the Commission was awarded the implementation of a project entitled "Improving and expanding electronic services to businesses and individuals by the Commission for Personal Data Protection, and integrating them with a single point of access to e-services"</w:t>
      </w:r>
      <w:r w:rsidR="00F9127B">
        <w:rPr>
          <w:rFonts w:ascii="Times New Roman" w:hAnsi="Times New Roman"/>
          <w:sz w:val="28"/>
        </w:rPr>
        <w:t>.</w:t>
      </w:r>
      <w:r w:rsidRPr="008364C4">
        <w:rPr>
          <w:rFonts w:ascii="Times New Roman" w:hAnsi="Times New Roman"/>
          <w:sz w:val="28"/>
        </w:rPr>
        <w:t xml:space="preserve"> The project implementation is scheduled to start in 2014, and t</w:t>
      </w:r>
      <w:r w:rsidR="00F9127B">
        <w:rPr>
          <w:rFonts w:ascii="Times New Roman" w:hAnsi="Times New Roman"/>
          <w:sz w:val="28"/>
        </w:rPr>
        <w:t>he outcome of its application</w:t>
      </w:r>
      <w:r w:rsidRPr="008364C4">
        <w:rPr>
          <w:rFonts w:ascii="Times New Roman" w:hAnsi="Times New Roman"/>
          <w:sz w:val="28"/>
        </w:rPr>
        <w:t xml:space="preserve"> is expected to improve the quality of services provided by the Bulgarian </w:t>
      </w:r>
      <w:r w:rsidR="00F9127B">
        <w:rPr>
          <w:rFonts w:ascii="Times New Roman" w:hAnsi="Times New Roman"/>
          <w:sz w:val="28"/>
        </w:rPr>
        <w:t xml:space="preserve">data protection </w:t>
      </w:r>
      <w:r w:rsidRPr="008364C4">
        <w:rPr>
          <w:rFonts w:ascii="Times New Roman" w:hAnsi="Times New Roman"/>
          <w:sz w:val="28"/>
        </w:rPr>
        <w:t>supervisory authority and enhancing the efficiency of its work. The project is worth BGN 391,089.38.</w:t>
      </w:r>
    </w:p>
    <w:p w:rsidR="00507B5F" w:rsidRPr="008364C4" w:rsidRDefault="00507B5F" w:rsidP="003D726B">
      <w:pPr>
        <w:pStyle w:val="Heading1"/>
      </w:pPr>
      <w:r w:rsidRPr="008364C4">
        <w:br w:type="page"/>
      </w:r>
      <w:bookmarkStart w:id="18" w:name="_Toc380595214"/>
      <w:bookmarkStart w:id="19" w:name="_Toc380740750"/>
      <w:r w:rsidRPr="008364C4">
        <w:lastRenderedPageBreak/>
        <w:t>X. Personal data protection reform</w:t>
      </w:r>
      <w:bookmarkEnd w:id="18"/>
      <w:bookmarkEnd w:id="19"/>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large-scale legislative </w:t>
      </w:r>
      <w:r w:rsidR="00977AFC" w:rsidRPr="00977AFC">
        <w:rPr>
          <w:rFonts w:ascii="Times New Roman" w:hAnsi="Times New Roman"/>
          <w:sz w:val="28"/>
        </w:rPr>
        <w:t>package</w:t>
      </w:r>
      <w:r w:rsidR="00D40FC8">
        <w:rPr>
          <w:rFonts w:ascii="Times New Roman" w:hAnsi="Times New Roman"/>
          <w:sz w:val="28"/>
        </w:rPr>
        <w:t>,</w:t>
      </w:r>
      <w:r w:rsidRPr="008364C4">
        <w:rPr>
          <w:rFonts w:ascii="Times New Roman" w:hAnsi="Times New Roman"/>
          <w:sz w:val="28"/>
        </w:rPr>
        <w:t xml:space="preserve"> proposed by the European Commission in early 2012 was subject to extensive debates in the European Parliament and the Council which also maintained their intensity in 2013. There are high expectations to the reform package that includes a general Regulation</w:t>
      </w:r>
      <w:r w:rsidRPr="008364C4">
        <w:rPr>
          <w:rFonts w:ascii="Times New Roman" w:hAnsi="Times New Roman"/>
          <w:sz w:val="28"/>
          <w:vertAlign w:val="superscript"/>
        </w:rPr>
        <w:footnoteReference w:id="1"/>
      </w:r>
      <w:r w:rsidRPr="008364C4">
        <w:rPr>
          <w:rFonts w:ascii="Times New Roman" w:hAnsi="Times New Roman"/>
          <w:sz w:val="28"/>
        </w:rPr>
        <w:t xml:space="preserve"> on data protection and a separate Directive</w:t>
      </w:r>
      <w:r w:rsidRPr="008364C4">
        <w:rPr>
          <w:rFonts w:ascii="Times New Roman" w:hAnsi="Times New Roman"/>
          <w:sz w:val="28"/>
          <w:vertAlign w:val="superscript"/>
        </w:rPr>
        <w:footnoteReference w:id="2"/>
      </w:r>
      <w:r w:rsidR="00447DDC">
        <w:rPr>
          <w:rFonts w:ascii="Times New Roman" w:hAnsi="Times New Roman"/>
          <w:sz w:val="28"/>
        </w:rPr>
        <w:t xml:space="preserve"> in the </w:t>
      </w:r>
      <w:r w:rsidRPr="008364C4">
        <w:rPr>
          <w:rFonts w:ascii="Times New Roman" w:hAnsi="Times New Roman"/>
          <w:sz w:val="28"/>
        </w:rPr>
        <w:t>police and justice</w:t>
      </w:r>
      <w:r w:rsidR="00447DDC">
        <w:rPr>
          <w:rFonts w:ascii="Times New Roman" w:hAnsi="Times New Roman"/>
          <w:sz w:val="28"/>
        </w:rPr>
        <w:t xml:space="preserve"> field</w:t>
      </w:r>
      <w:r w:rsidRPr="008364C4">
        <w:rPr>
          <w:rFonts w:ascii="Times New Roman" w:hAnsi="Times New Roman"/>
          <w:sz w:val="28"/>
        </w:rPr>
        <w:t xml:space="preserve">.  These expectations </w:t>
      </w:r>
      <w:r w:rsidR="00D40FC8" w:rsidRPr="00D40FC8">
        <w:rPr>
          <w:rFonts w:ascii="Times New Roman" w:hAnsi="Times New Roman"/>
          <w:sz w:val="28"/>
        </w:rPr>
        <w:t xml:space="preserve">to fill the </w:t>
      </w:r>
      <w:r w:rsidRPr="008364C4">
        <w:rPr>
          <w:rFonts w:ascii="Times New Roman" w:hAnsi="Times New Roman"/>
          <w:sz w:val="28"/>
        </w:rPr>
        <w:t xml:space="preserve">gaps in the existing EU legislation relating to data protection in the Internet, and to send a strong signal to the international community that Europe wants and is capable to overcome the national differences and administrative obstacles and to impose unified directly applicable </w:t>
      </w:r>
      <w:r w:rsidR="00447DDC">
        <w:rPr>
          <w:rFonts w:ascii="Times New Roman" w:hAnsi="Times New Roman"/>
          <w:sz w:val="28"/>
        </w:rPr>
        <w:t xml:space="preserve">protection standards, </w:t>
      </w:r>
      <w:r w:rsidRPr="008364C4">
        <w:rPr>
          <w:rFonts w:ascii="Times New Roman" w:hAnsi="Times New Roman"/>
          <w:sz w:val="28"/>
        </w:rPr>
        <w:t xml:space="preserve">which subsequently will cause a domino effect worldwide. The European legislation can play a crucial role in </w:t>
      </w:r>
      <w:r w:rsidR="00253FC1">
        <w:rPr>
          <w:rFonts w:ascii="Times New Roman" w:hAnsi="Times New Roman"/>
          <w:sz w:val="28"/>
        </w:rPr>
        <w:t>the future determination of</w:t>
      </w:r>
      <w:r w:rsidRPr="008364C4">
        <w:rPr>
          <w:rFonts w:ascii="Times New Roman" w:hAnsi="Times New Roman"/>
          <w:sz w:val="28"/>
        </w:rPr>
        <w:t xml:space="preserve"> the international </w:t>
      </w:r>
      <w:r w:rsidR="00253FC1">
        <w:rPr>
          <w:rFonts w:ascii="Times New Roman" w:hAnsi="Times New Roman"/>
          <w:sz w:val="28"/>
        </w:rPr>
        <w:t xml:space="preserve">data protection </w:t>
      </w:r>
      <w:r w:rsidRPr="008364C4">
        <w:rPr>
          <w:rFonts w:ascii="Times New Roman" w:hAnsi="Times New Roman"/>
          <w:sz w:val="28"/>
        </w:rPr>
        <w:t>rules, which when linking the largest possible number of participating countries will impose a coordinated and effective regulation on the movement of the primary</w:t>
      </w:r>
      <w:r w:rsidRPr="00D40FC8">
        <w:rPr>
          <w:rFonts w:ascii="Times New Roman" w:hAnsi="Times New Roman"/>
          <w:sz w:val="28"/>
        </w:rPr>
        <w:t xml:space="preserve"> commodity </w:t>
      </w:r>
      <w:r w:rsidRPr="008364C4">
        <w:rPr>
          <w:rFonts w:ascii="Times New Roman" w:hAnsi="Times New Roman"/>
          <w:sz w:val="28"/>
        </w:rPr>
        <w:t xml:space="preserve">of the digital economy - the information. </w:t>
      </w:r>
    </w:p>
    <w:p w:rsidR="00507B5F" w:rsidRPr="008364C4" w:rsidRDefault="00507B5F" w:rsidP="00507B5F">
      <w:pPr>
        <w:widowControl w:val="0"/>
        <w:spacing w:after="0" w:line="360" w:lineRule="auto"/>
        <w:ind w:firstLine="709"/>
        <w:jc w:val="both"/>
        <w:rPr>
          <w:rFonts w:ascii="Times New Roman" w:hAnsi="Times New Roman"/>
          <w:sz w:val="28"/>
          <w:szCs w:val="28"/>
        </w:rPr>
      </w:pPr>
      <w:r w:rsidRPr="008364C4">
        <w:rPr>
          <w:rFonts w:ascii="Times New Roman" w:hAnsi="Times New Roman"/>
          <w:sz w:val="28"/>
        </w:rPr>
        <w:t>This European legislative reform</w:t>
      </w:r>
      <w:r w:rsidRPr="005E6949">
        <w:rPr>
          <w:rFonts w:ascii="Times New Roman" w:hAnsi="Times New Roman"/>
          <w:color w:val="FF0000"/>
          <w:sz w:val="28"/>
        </w:rPr>
        <w:t xml:space="preserve"> </w:t>
      </w:r>
      <w:r w:rsidR="00D40FC8">
        <w:rPr>
          <w:rFonts w:ascii="Times New Roman" w:hAnsi="Times New Roman"/>
          <w:sz w:val="28"/>
        </w:rPr>
        <w:t>includes changes</w:t>
      </w:r>
      <w:r w:rsidRPr="008364C4">
        <w:rPr>
          <w:rFonts w:ascii="Times New Roman" w:hAnsi="Times New Roman"/>
          <w:sz w:val="28"/>
        </w:rPr>
        <w:t xml:space="preserve"> both in the current Directive 95/46/EC</w:t>
      </w:r>
      <w:r w:rsidRPr="008364C4">
        <w:rPr>
          <w:rFonts w:ascii="Times New Roman" w:hAnsi="Times New Roman"/>
          <w:sz w:val="28"/>
          <w:vertAlign w:val="superscript"/>
        </w:rPr>
        <w:footnoteReference w:id="3"/>
      </w:r>
      <w:r w:rsidRPr="008364C4">
        <w:rPr>
          <w:rFonts w:ascii="Times New Roman" w:hAnsi="Times New Roman"/>
          <w:sz w:val="28"/>
        </w:rPr>
        <w:t xml:space="preserve"> of the European Union and in the Convention 108</w:t>
      </w:r>
      <w:r w:rsidRPr="008364C4">
        <w:rPr>
          <w:rFonts w:ascii="Times New Roman" w:hAnsi="Times New Roman"/>
          <w:sz w:val="28"/>
          <w:vertAlign w:val="superscript"/>
        </w:rPr>
        <w:footnoteReference w:id="4"/>
      </w:r>
      <w:r w:rsidRPr="008364C4">
        <w:rPr>
          <w:rFonts w:ascii="Times New Roman" w:hAnsi="Times New Roman"/>
          <w:sz w:val="28"/>
        </w:rPr>
        <w:t xml:space="preserve"> of the Council of Europe, which, in turn, has the potential to become the first international</w:t>
      </w:r>
      <w:r w:rsidR="005E6949">
        <w:rPr>
          <w:rFonts w:ascii="Times New Roman" w:hAnsi="Times New Roman"/>
          <w:sz w:val="28"/>
        </w:rPr>
        <w:t xml:space="preserve"> data protection</w:t>
      </w:r>
      <w:r w:rsidRPr="008364C4">
        <w:rPr>
          <w:rFonts w:ascii="Times New Roman" w:hAnsi="Times New Roman"/>
          <w:sz w:val="28"/>
        </w:rPr>
        <w:t xml:space="preserve"> instrument </w:t>
      </w:r>
      <w:r w:rsidR="00D40FC8">
        <w:rPr>
          <w:rFonts w:ascii="Times New Roman" w:hAnsi="Times New Roman"/>
          <w:sz w:val="28"/>
        </w:rPr>
        <w:t xml:space="preserve">interned to </w:t>
      </w:r>
      <w:proofErr w:type="spellStart"/>
      <w:r w:rsidR="00D40FC8">
        <w:rPr>
          <w:rFonts w:ascii="Times New Roman" w:hAnsi="Times New Roman"/>
          <w:sz w:val="28"/>
        </w:rPr>
        <w:t>invole</w:t>
      </w:r>
      <w:proofErr w:type="spellEnd"/>
      <w:r w:rsidR="00D40FC8">
        <w:rPr>
          <w:rFonts w:ascii="Times New Roman" w:hAnsi="Times New Roman"/>
          <w:sz w:val="28"/>
        </w:rPr>
        <w:t xml:space="preserve"> </w:t>
      </w:r>
      <w:r w:rsidRPr="008364C4">
        <w:rPr>
          <w:rFonts w:ascii="Times New Roman" w:hAnsi="Times New Roman"/>
          <w:sz w:val="28"/>
        </w:rPr>
        <w:t xml:space="preserve">third countries in the modernization process.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The Consultative Committee on Modernisation of Convention 108, set up to supplement and amend the current text of the Convention completed its work in 2013. The newly proposed provisions are to be voted by the dedicated Ad hoc Committee, where the leading Bulgarian institution is the Commission for Personal Data Protection. The position of the Commission for Personal Data Protection in the preceding consultations and in the current voting process is to ac</w:t>
      </w:r>
      <w:r w:rsidR="005E6949">
        <w:rPr>
          <w:rFonts w:ascii="Times New Roman" w:hAnsi="Times New Roman"/>
          <w:sz w:val="28"/>
        </w:rPr>
        <w:t>hieve a high protection level</w:t>
      </w:r>
      <w:r w:rsidRPr="008364C4">
        <w:rPr>
          <w:rFonts w:ascii="Times New Roman" w:hAnsi="Times New Roman"/>
          <w:sz w:val="28"/>
        </w:rPr>
        <w:t xml:space="preserve"> and maximum consistency and compatibility of the legislative reforms at the Council of Europe and the European Union</w:t>
      </w:r>
      <w:r w:rsidR="005E6949">
        <w:rPr>
          <w:rFonts w:ascii="Times New Roman" w:hAnsi="Times New Roman"/>
          <w:sz w:val="28"/>
        </w:rPr>
        <w:t xml:space="preserve"> level</w:t>
      </w:r>
      <w:r w:rsidRPr="008364C4">
        <w:rPr>
          <w:rFonts w:ascii="Times New Roman" w:hAnsi="Times New Roman"/>
          <w:sz w:val="28"/>
        </w:rPr>
        <w:t xml:space="preserve">. At the same time, the neutral character of Convention 108 should be preserved without creating a detailed legal framework, which </w:t>
      </w:r>
      <w:r w:rsidR="00D40FC8">
        <w:rPr>
          <w:rFonts w:ascii="Times New Roman" w:hAnsi="Times New Roman"/>
          <w:sz w:val="28"/>
        </w:rPr>
        <w:t xml:space="preserve">is the purpose of this </w:t>
      </w:r>
      <w:r w:rsidRPr="008364C4">
        <w:rPr>
          <w:rFonts w:ascii="Times New Roman" w:hAnsi="Times New Roman"/>
          <w:sz w:val="28"/>
        </w:rPr>
        <w:t>international instrument. An important issue that requires further discussion are the requirements for the</w:t>
      </w:r>
      <w:r w:rsidR="005E6949">
        <w:rPr>
          <w:rFonts w:ascii="Times New Roman" w:hAnsi="Times New Roman"/>
          <w:sz w:val="28"/>
        </w:rPr>
        <w:t xml:space="preserve"> third countries data transfer</w:t>
      </w:r>
      <w:r w:rsidRPr="008364C4">
        <w:rPr>
          <w:rFonts w:ascii="Times New Roman" w:hAnsi="Times New Roman"/>
          <w:sz w:val="28"/>
        </w:rPr>
        <w:t xml:space="preserv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proposal for a General </w:t>
      </w:r>
      <w:r w:rsidR="005E6949">
        <w:rPr>
          <w:rFonts w:ascii="Times New Roman" w:hAnsi="Times New Roman"/>
          <w:sz w:val="28"/>
        </w:rPr>
        <w:t xml:space="preserve">Data Protection </w:t>
      </w:r>
      <w:r w:rsidRPr="008364C4">
        <w:rPr>
          <w:rFonts w:ascii="Times New Roman" w:hAnsi="Times New Roman"/>
          <w:sz w:val="28"/>
        </w:rPr>
        <w:t xml:space="preserve">Regulation in the European Union continues to be a serious legislative challenge. The draft regulation is considered </w:t>
      </w:r>
      <w:r w:rsidR="00D40FC8" w:rsidRPr="00D40FC8">
        <w:rPr>
          <w:rFonts w:ascii="Times New Roman" w:hAnsi="Times New Roman"/>
          <w:sz w:val="28"/>
        </w:rPr>
        <w:t>both</w:t>
      </w:r>
      <w:r w:rsidR="00D40FC8">
        <w:rPr>
          <w:rFonts w:ascii="Times New Roman" w:hAnsi="Times New Roman"/>
          <w:color w:val="FF0000"/>
          <w:sz w:val="28"/>
        </w:rPr>
        <w:t xml:space="preserve"> </w:t>
      </w:r>
      <w:r w:rsidRPr="008364C4">
        <w:rPr>
          <w:rFonts w:ascii="Times New Roman" w:hAnsi="Times New Roman"/>
          <w:sz w:val="28"/>
        </w:rPr>
        <w:t>in the European Parliament (EP) and the Council. In 2013, the relevant EP Committee of "Civil Liberties, Justice and Home Affairs" (LIBE) presented its report /link to LIBE/, which includes a significant number of revisions to the original proposal of the European Commission. The Member States are also actively working on the text proposed by the European Commission, and in 2013 the draft regulation underwent a number of amendments – currently only in the draft form.</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There are several principal issues that can be taken from the general discussion plan. First, the central point in the debate remains the finding of a balance between the different national practices – administrat</w:t>
      </w:r>
      <w:r w:rsidR="00A80F68">
        <w:rPr>
          <w:rFonts w:ascii="Times New Roman" w:hAnsi="Times New Roman"/>
          <w:sz w:val="28"/>
        </w:rPr>
        <w:t xml:space="preserve">ive and judicial, the </w:t>
      </w:r>
      <w:r w:rsidRPr="008364C4">
        <w:rPr>
          <w:rFonts w:ascii="Times New Roman" w:hAnsi="Times New Roman"/>
          <w:sz w:val="28"/>
        </w:rPr>
        <w:t>individuals</w:t>
      </w:r>
      <w:r w:rsidR="00A80F68">
        <w:rPr>
          <w:rFonts w:ascii="Times New Roman" w:hAnsi="Times New Roman"/>
          <w:sz w:val="28"/>
        </w:rPr>
        <w:t>’ rights</w:t>
      </w:r>
      <w:r w:rsidRPr="008364C4">
        <w:rPr>
          <w:rFonts w:ascii="Times New Roman" w:hAnsi="Times New Roman"/>
          <w:sz w:val="28"/>
        </w:rPr>
        <w:t xml:space="preserve"> and </w:t>
      </w:r>
      <w:r w:rsidR="00A80F68">
        <w:rPr>
          <w:rFonts w:ascii="Times New Roman" w:hAnsi="Times New Roman"/>
          <w:sz w:val="28"/>
        </w:rPr>
        <w:t>business needs</w:t>
      </w:r>
      <w:r w:rsidRPr="008364C4">
        <w:rPr>
          <w:rFonts w:ascii="Times New Roman" w:hAnsi="Times New Roman"/>
          <w:sz w:val="28"/>
        </w:rPr>
        <w:t>. It should be highlighted that there is a need for higher flexibility in the public sector through the introduction of exceptions in certain provisions of the proposed Regulation in order to ensure the consistency of the state policy in many areas.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The debate covers the practical application of the </w:t>
      </w:r>
      <w:r w:rsidR="00A80F68">
        <w:rPr>
          <w:rFonts w:ascii="Times New Roman" w:hAnsi="Times New Roman"/>
          <w:sz w:val="28"/>
        </w:rPr>
        <w:t xml:space="preserve">data protection </w:t>
      </w:r>
      <w:r w:rsidRPr="008364C4">
        <w:rPr>
          <w:rFonts w:ascii="Times New Roman" w:hAnsi="Times New Roman"/>
          <w:sz w:val="28"/>
        </w:rPr>
        <w:t xml:space="preserve">rules in the Internet and the need for a more complete description of modern communication technology, respectively opportunities to respond to them. Last but not least, a key aspect that has an effect on a number of mechanisms of the </w:t>
      </w:r>
      <w:r w:rsidR="00A80F68">
        <w:rPr>
          <w:rFonts w:ascii="Times New Roman" w:hAnsi="Times New Roman"/>
          <w:sz w:val="28"/>
        </w:rPr>
        <w:t xml:space="preserve">Regulation </w:t>
      </w:r>
      <w:r w:rsidRPr="008364C4">
        <w:rPr>
          <w:rFonts w:ascii="Times New Roman" w:hAnsi="Times New Roman"/>
          <w:sz w:val="28"/>
        </w:rPr>
        <w:t xml:space="preserve">proposal is the so-called principle of "one stop shop" of data controllers, respectively the determination of the competent </w:t>
      </w:r>
      <w:r w:rsidR="00A80F68">
        <w:rPr>
          <w:rFonts w:ascii="Times New Roman" w:hAnsi="Times New Roman"/>
          <w:sz w:val="28"/>
        </w:rPr>
        <w:t xml:space="preserve">data protection </w:t>
      </w:r>
      <w:r w:rsidRPr="008364C4">
        <w:rPr>
          <w:rFonts w:ascii="Times New Roman" w:hAnsi="Times New Roman"/>
          <w:sz w:val="28"/>
        </w:rPr>
        <w:t xml:space="preserve">supervisory authority and the role of the future European </w:t>
      </w:r>
      <w:r w:rsidR="00A80F68">
        <w:rPr>
          <w:rFonts w:ascii="Times New Roman" w:hAnsi="Times New Roman"/>
          <w:sz w:val="28"/>
        </w:rPr>
        <w:t>Data Protection Board.</w:t>
      </w:r>
      <w:r w:rsidRPr="008364C4">
        <w:rPr>
          <w:rFonts w:ascii="Times New Roman" w:hAnsi="Times New Roman"/>
          <w:sz w:val="28"/>
        </w:rPr>
        <w:t xml:space="preserv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Bulgarian position</w:t>
      </w:r>
      <w:r w:rsidR="00A80F68">
        <w:rPr>
          <w:rFonts w:ascii="Times New Roman" w:hAnsi="Times New Roman"/>
          <w:sz w:val="28"/>
        </w:rPr>
        <w:t>s</w:t>
      </w:r>
      <w:r w:rsidRPr="008364C4">
        <w:rPr>
          <w:rFonts w:ascii="Times New Roman" w:hAnsi="Times New Roman"/>
          <w:sz w:val="28"/>
        </w:rPr>
        <w:t xml:space="preserve"> on these and other aspects of the draft Regulation </w:t>
      </w:r>
      <w:r w:rsidR="00A80F68">
        <w:rPr>
          <w:rFonts w:ascii="Times New Roman" w:hAnsi="Times New Roman"/>
          <w:sz w:val="28"/>
        </w:rPr>
        <w:t>are</w:t>
      </w:r>
      <w:r w:rsidRPr="008364C4">
        <w:rPr>
          <w:rFonts w:ascii="Times New Roman" w:hAnsi="Times New Roman"/>
          <w:sz w:val="28"/>
        </w:rPr>
        <w:t xml:space="preserve"> prepared by the Commission for Personal Data Protection. On a technical level, the discussion of the </w:t>
      </w:r>
      <w:r w:rsidR="00A80F68">
        <w:rPr>
          <w:rFonts w:ascii="Times New Roman" w:hAnsi="Times New Roman"/>
          <w:sz w:val="28"/>
        </w:rPr>
        <w:t xml:space="preserve">draft </w:t>
      </w:r>
      <w:r w:rsidRPr="008364C4">
        <w:rPr>
          <w:rFonts w:ascii="Times New Roman" w:hAnsi="Times New Roman"/>
          <w:sz w:val="28"/>
        </w:rPr>
        <w:t>is carried out in the Working Group on Information Exchange and Data Protection (DAPIX) to the Council, where the Bulgarian participants are the representatives of the Commission for Personal Data Protection. Due to the fact that at political level the main guidelines, on the principles and mechanisms set in the</w:t>
      </w:r>
      <w:r w:rsidR="00A80F68">
        <w:rPr>
          <w:rFonts w:ascii="Times New Roman" w:hAnsi="Times New Roman"/>
          <w:sz w:val="28"/>
        </w:rPr>
        <w:t xml:space="preserve"> Regulation</w:t>
      </w:r>
      <w:r w:rsidRPr="008364C4">
        <w:rPr>
          <w:rFonts w:ascii="Times New Roman" w:hAnsi="Times New Roman"/>
          <w:sz w:val="28"/>
        </w:rPr>
        <w:t xml:space="preserve"> proposal, are adopted by the Ministers of Justice in the Justice and Home Affairs Council, in the format of Ministers of Justice, the official position of Bulgaria is coordinated with the Ministry Justice, as far as this legislative dossier is always subject to consideration by the Justice and Home Affairs Council.  </w:t>
      </w:r>
    </w:p>
    <w:p w:rsidR="00507B5F" w:rsidRPr="00D40FC8"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general position of Bulgaria is that the </w:t>
      </w:r>
      <w:r w:rsidR="00344ADC">
        <w:rPr>
          <w:rFonts w:ascii="Times New Roman" w:hAnsi="Times New Roman"/>
          <w:sz w:val="28"/>
        </w:rPr>
        <w:t xml:space="preserve">in </w:t>
      </w:r>
      <w:r w:rsidRPr="008364C4">
        <w:rPr>
          <w:rFonts w:ascii="Times New Roman" w:hAnsi="Times New Roman"/>
          <w:sz w:val="28"/>
        </w:rPr>
        <w:t xml:space="preserve">future </w:t>
      </w:r>
      <w:r w:rsidR="00D40FC8" w:rsidRPr="00D40FC8">
        <w:rPr>
          <w:rFonts w:ascii="Times New Roman" w:hAnsi="Times New Roman"/>
          <w:sz w:val="28"/>
        </w:rPr>
        <w:t>Regulation</w:t>
      </w:r>
      <w:r w:rsidRPr="00D40FC8">
        <w:rPr>
          <w:rFonts w:ascii="Times New Roman" w:hAnsi="Times New Roman"/>
          <w:sz w:val="28"/>
        </w:rPr>
        <w:t xml:space="preserve"> </w:t>
      </w:r>
      <w:r w:rsidRPr="008364C4">
        <w:rPr>
          <w:rFonts w:ascii="Times New Roman" w:hAnsi="Times New Roman"/>
          <w:sz w:val="28"/>
        </w:rPr>
        <w:t xml:space="preserve">must be maintained high standards for the protection of individuals. The </w:t>
      </w:r>
      <w:r w:rsidRPr="00D40FC8">
        <w:rPr>
          <w:rFonts w:ascii="Times New Roman" w:hAnsi="Times New Roman"/>
          <w:sz w:val="28"/>
        </w:rPr>
        <w:t>"</w:t>
      </w:r>
      <w:r w:rsidR="00D40FC8" w:rsidRPr="00D40FC8">
        <w:rPr>
          <w:rFonts w:ascii="Times New Roman" w:hAnsi="Times New Roman"/>
          <w:sz w:val="28"/>
        </w:rPr>
        <w:t>s</w:t>
      </w:r>
      <w:r w:rsidRPr="00D40FC8">
        <w:rPr>
          <w:rFonts w:ascii="Times New Roman" w:hAnsi="Times New Roman"/>
          <w:sz w:val="28"/>
        </w:rPr>
        <w:t xml:space="preserve">ize" </w:t>
      </w:r>
      <w:r w:rsidRPr="008364C4">
        <w:rPr>
          <w:rFonts w:ascii="Times New Roman" w:hAnsi="Times New Roman"/>
          <w:sz w:val="28"/>
        </w:rPr>
        <w:t>of personal data</w:t>
      </w:r>
      <w:r w:rsidR="00D40FC8">
        <w:rPr>
          <w:rFonts w:ascii="Times New Roman" w:hAnsi="Times New Roman"/>
          <w:sz w:val="28"/>
        </w:rPr>
        <w:t xml:space="preserve"> controllers</w:t>
      </w:r>
      <w:r w:rsidRPr="008364C4">
        <w:rPr>
          <w:rFonts w:ascii="Times New Roman" w:hAnsi="Times New Roman"/>
          <w:sz w:val="28"/>
        </w:rPr>
        <w:t xml:space="preserve"> should</w:t>
      </w:r>
      <w:r w:rsidR="00D40FC8">
        <w:rPr>
          <w:rFonts w:ascii="Times New Roman" w:hAnsi="Times New Roman"/>
          <w:sz w:val="28"/>
        </w:rPr>
        <w:t xml:space="preserve"> be taken into account</w:t>
      </w:r>
      <w:r w:rsidRPr="008364C4">
        <w:rPr>
          <w:rFonts w:ascii="Times New Roman" w:hAnsi="Times New Roman"/>
          <w:sz w:val="28"/>
        </w:rPr>
        <w:t xml:space="preserve"> using various </w:t>
      </w:r>
      <w:r w:rsidRPr="00D40FC8">
        <w:rPr>
          <w:rFonts w:ascii="Times New Roman" w:hAnsi="Times New Roman"/>
          <w:sz w:val="28"/>
        </w:rPr>
        <w:t>incentives</w:t>
      </w:r>
      <w:r w:rsidRPr="008364C4">
        <w:rPr>
          <w:rFonts w:ascii="Times New Roman" w:hAnsi="Times New Roman"/>
          <w:sz w:val="28"/>
        </w:rPr>
        <w:t xml:space="preserve"> and exemptions, but not at the expense of the exercise of the fundamental</w:t>
      </w:r>
      <w:r w:rsidR="00344ADC">
        <w:rPr>
          <w:rFonts w:ascii="Times New Roman" w:hAnsi="Times New Roman"/>
          <w:sz w:val="28"/>
        </w:rPr>
        <w:t xml:space="preserve"> protection</w:t>
      </w:r>
      <w:r w:rsidRPr="008364C4">
        <w:rPr>
          <w:rFonts w:ascii="Times New Roman" w:hAnsi="Times New Roman"/>
          <w:sz w:val="28"/>
        </w:rPr>
        <w:t xml:space="preserve"> right. The independence and powers of the national supervisory authorities should be preserved and strengthened, including within the framework of the </w:t>
      </w:r>
      <w:r w:rsidR="00484D01">
        <w:rPr>
          <w:rFonts w:ascii="Times New Roman" w:hAnsi="Times New Roman"/>
          <w:sz w:val="28"/>
        </w:rPr>
        <w:t xml:space="preserve">coordination </w:t>
      </w:r>
      <w:r w:rsidRPr="008364C4">
        <w:rPr>
          <w:rFonts w:ascii="Times New Roman" w:hAnsi="Times New Roman"/>
          <w:sz w:val="28"/>
        </w:rPr>
        <w:t>mechanism between the supervisory authorities and the determination of the leading auth</w:t>
      </w:r>
      <w:r w:rsidR="00484D01">
        <w:rPr>
          <w:rFonts w:ascii="Times New Roman" w:hAnsi="Times New Roman"/>
          <w:sz w:val="28"/>
        </w:rPr>
        <w:t>ority. Provisions should be included</w:t>
      </w:r>
      <w:r w:rsidRPr="008364C4">
        <w:rPr>
          <w:rFonts w:ascii="Times New Roman" w:hAnsi="Times New Roman"/>
          <w:sz w:val="28"/>
        </w:rPr>
        <w:t xml:space="preserve"> for the </w:t>
      </w:r>
      <w:r w:rsidR="00484D01">
        <w:rPr>
          <w:rFonts w:ascii="Times New Roman" w:hAnsi="Times New Roman"/>
          <w:sz w:val="28"/>
        </w:rPr>
        <w:t xml:space="preserve">maximum </w:t>
      </w:r>
      <w:r w:rsidRPr="008364C4">
        <w:rPr>
          <w:rFonts w:ascii="Times New Roman" w:hAnsi="Times New Roman"/>
          <w:sz w:val="28"/>
        </w:rPr>
        <w:t xml:space="preserve">preservation </w:t>
      </w:r>
      <w:r w:rsidR="00484D01">
        <w:rPr>
          <w:rFonts w:ascii="Times New Roman" w:hAnsi="Times New Roman"/>
          <w:sz w:val="28"/>
        </w:rPr>
        <w:t xml:space="preserve">of </w:t>
      </w:r>
      <w:r w:rsidRPr="008364C4">
        <w:rPr>
          <w:rFonts w:ascii="Times New Roman" w:hAnsi="Times New Roman"/>
          <w:sz w:val="28"/>
        </w:rPr>
        <w:t xml:space="preserve">the intended amount of the </w:t>
      </w:r>
      <w:r w:rsidR="00484D01">
        <w:rPr>
          <w:rFonts w:ascii="Times New Roman" w:hAnsi="Times New Roman"/>
          <w:sz w:val="28"/>
        </w:rPr>
        <w:t>penalties which should have</w:t>
      </w:r>
      <w:r w:rsidRPr="008364C4">
        <w:rPr>
          <w:rFonts w:ascii="Times New Roman" w:hAnsi="Times New Roman"/>
          <w:sz w:val="28"/>
        </w:rPr>
        <w:t xml:space="preserve"> a deterrent effect by extending the other provided preventive measures - recommendations and </w:t>
      </w:r>
      <w:r w:rsidRPr="00D40FC8">
        <w:rPr>
          <w:rFonts w:ascii="Times New Roman" w:hAnsi="Times New Roman"/>
          <w:sz w:val="28"/>
        </w:rPr>
        <w:t>written warnings.</w:t>
      </w:r>
    </w:p>
    <w:p w:rsidR="00507B5F" w:rsidRPr="008364C4" w:rsidRDefault="00507B5F" w:rsidP="003D726B">
      <w:pPr>
        <w:pStyle w:val="Heading1"/>
      </w:pPr>
      <w:r w:rsidRPr="008364C4">
        <w:br w:type="page"/>
      </w:r>
      <w:bookmarkStart w:id="20" w:name="_Toc380595215"/>
      <w:bookmarkStart w:id="21" w:name="_Toc380740751"/>
      <w:proofErr w:type="gramStart"/>
      <w:r w:rsidRPr="008364C4">
        <w:lastRenderedPageBreak/>
        <w:t>ХI.</w:t>
      </w:r>
      <w:proofErr w:type="gramEnd"/>
      <w:r w:rsidRPr="008364C4">
        <w:t xml:space="preserve"> National and international cooperation</w:t>
      </w:r>
      <w:bookmarkEnd w:id="20"/>
      <w:bookmarkEnd w:id="21"/>
      <w:r w:rsidRPr="008364C4">
        <w:t xml:space="preserv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At the national level, in 2013</w:t>
      </w:r>
      <w:r w:rsidR="00484D01">
        <w:rPr>
          <w:rFonts w:ascii="Times New Roman" w:hAnsi="Times New Roman"/>
          <w:sz w:val="28"/>
        </w:rPr>
        <w:t>,</w:t>
      </w:r>
      <w:r w:rsidRPr="008364C4">
        <w:rPr>
          <w:rFonts w:ascii="Times New Roman" w:hAnsi="Times New Roman"/>
          <w:sz w:val="28"/>
        </w:rPr>
        <w:t xml:space="preserve"> the Commission for Personal Data Protection carried out coordinated actions with a number of government agencies on </w:t>
      </w:r>
      <w:r w:rsidR="00484D01">
        <w:rPr>
          <w:rFonts w:ascii="Times New Roman" w:hAnsi="Times New Roman"/>
          <w:sz w:val="28"/>
        </w:rPr>
        <w:t xml:space="preserve">international </w:t>
      </w:r>
      <w:r w:rsidRPr="008364C4">
        <w:rPr>
          <w:rFonts w:ascii="Times New Roman" w:hAnsi="Times New Roman"/>
          <w:sz w:val="28"/>
        </w:rPr>
        <w:t xml:space="preserve">issues.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Extremely active is the interaction of CPDP with the Ministry of Justice. Due to the current nature of the European </w:t>
      </w:r>
      <w:r w:rsidR="00484D01">
        <w:rPr>
          <w:rFonts w:ascii="Times New Roman" w:hAnsi="Times New Roman"/>
          <w:sz w:val="28"/>
        </w:rPr>
        <w:t xml:space="preserve">data protection </w:t>
      </w:r>
      <w:r w:rsidRPr="008364C4">
        <w:rPr>
          <w:rFonts w:ascii="Times New Roman" w:hAnsi="Times New Roman"/>
          <w:sz w:val="28"/>
        </w:rPr>
        <w:t xml:space="preserve">reform, this legislative dossier is on the agenda of the Justice and Home Affairs Council in the format of Ministers of Justice. The position of Bulgaria developed by the Commission for Personal Data Protection as the competent body in this filed, is approved by the Council on European Affairs and the Council of Ministers and is submitted to the Minister of Justice. Very good contacts are established between the two institutions at expert and political level, which ensure the necessary timeliness and quality of the Bulgarian positions.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Interaction in vari</w:t>
      </w:r>
      <w:r w:rsidR="00484D01">
        <w:rPr>
          <w:rFonts w:ascii="Times New Roman" w:hAnsi="Times New Roman"/>
          <w:sz w:val="28"/>
        </w:rPr>
        <w:t>ous directions is exercised</w:t>
      </w:r>
      <w:r w:rsidRPr="008364C4">
        <w:rPr>
          <w:rFonts w:ascii="Times New Roman" w:hAnsi="Times New Roman"/>
          <w:sz w:val="28"/>
        </w:rPr>
        <w:t xml:space="preserve"> with the Ministry of the Interior. This year, the Commission for Personal Data Protection </w:t>
      </w:r>
      <w:r w:rsidR="00B032B1" w:rsidRPr="00B032B1">
        <w:rPr>
          <w:rFonts w:ascii="Times New Roman" w:hAnsi="Times New Roman"/>
          <w:sz w:val="28"/>
        </w:rPr>
        <w:t>noted the</w:t>
      </w:r>
      <w:r w:rsidRPr="00B032B1">
        <w:rPr>
          <w:rFonts w:ascii="Times New Roman" w:hAnsi="Times New Roman"/>
          <w:sz w:val="28"/>
        </w:rPr>
        <w:t xml:space="preserve"> </w:t>
      </w:r>
      <w:r w:rsidR="00566B45">
        <w:rPr>
          <w:rFonts w:ascii="Times New Roman" w:hAnsi="Times New Roman"/>
          <w:sz w:val="28"/>
        </w:rPr>
        <w:t xml:space="preserve">rise of </w:t>
      </w:r>
      <w:r w:rsidRPr="008364C4">
        <w:rPr>
          <w:rFonts w:ascii="Times New Roman" w:hAnsi="Times New Roman"/>
          <w:sz w:val="28"/>
        </w:rPr>
        <w:t>the inquiries concerning the processing of personal data in the second generation Schengen Information System (SIS II). The inquiries are generally related to the refusal of deletion of personal data in SIS II and requests for advice on the exercise of rights towards SIS II. While considering the inquiries, the Commission for Personal Data Protection requires the inspection of the respective cases by the SIRENE National Bureau. We are pleased to note out the timely operation of the Bulgarian SIRENE Bureau for pro</w:t>
      </w:r>
      <w:r w:rsidR="00484D01">
        <w:rPr>
          <w:rFonts w:ascii="Times New Roman" w:hAnsi="Times New Roman"/>
          <w:sz w:val="28"/>
        </w:rPr>
        <w:t>vision of information on the received</w:t>
      </w:r>
      <w:r w:rsidRPr="008364C4">
        <w:rPr>
          <w:rFonts w:ascii="Times New Roman" w:hAnsi="Times New Roman"/>
          <w:sz w:val="28"/>
        </w:rPr>
        <w:t xml:space="preserve"> signals.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response to an inquiry of the Schengen Joint Supervisory Authority, the Ministry of Interior provided a report reflecting the executed transition from SIS I to SIS II and the compl</w:t>
      </w:r>
      <w:r w:rsidR="00484D01">
        <w:rPr>
          <w:rFonts w:ascii="Times New Roman" w:hAnsi="Times New Roman"/>
          <w:sz w:val="28"/>
        </w:rPr>
        <w:t xml:space="preserve">iance with the </w:t>
      </w:r>
      <w:r w:rsidRPr="008364C4">
        <w:rPr>
          <w:rFonts w:ascii="Times New Roman" w:hAnsi="Times New Roman"/>
          <w:sz w:val="28"/>
        </w:rPr>
        <w:t>data processing</w:t>
      </w:r>
      <w:r w:rsidR="00484D01">
        <w:rPr>
          <w:rFonts w:ascii="Times New Roman" w:hAnsi="Times New Roman"/>
          <w:sz w:val="28"/>
        </w:rPr>
        <w:t xml:space="preserve"> requirements</w:t>
      </w:r>
      <w:r w:rsidRPr="008364C4">
        <w:rPr>
          <w:rFonts w:ascii="Times New Roman" w:hAnsi="Times New Roman"/>
          <w:sz w:val="28"/>
        </w:rPr>
        <w:t xml:space="preserve"> in SIS II.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cooperation ta</w:t>
      </w:r>
      <w:r w:rsidR="00484D01">
        <w:rPr>
          <w:rFonts w:ascii="Times New Roman" w:hAnsi="Times New Roman"/>
          <w:sz w:val="28"/>
        </w:rPr>
        <w:t>kes place on a regular basis also</w:t>
      </w:r>
      <w:r w:rsidRPr="008364C4">
        <w:rPr>
          <w:rFonts w:ascii="Times New Roman" w:hAnsi="Times New Roman"/>
          <w:sz w:val="28"/>
        </w:rPr>
        <w:t xml:space="preserve"> under the operation of Article 23 Working Group (home affairs). It should be noted the contribution of the Commission for Personal Data Protection in the analysis of objectives and legislation listed in No. 2013/0218 (COD) "Proposal for a Regulation of the </w:t>
      </w:r>
      <w:r w:rsidRPr="008364C4">
        <w:rPr>
          <w:rFonts w:ascii="Times New Roman" w:hAnsi="Times New Roman"/>
          <w:sz w:val="28"/>
        </w:rPr>
        <w:lastRenderedPageBreak/>
        <w:t xml:space="preserve">European Parliament and of the Council adapting to Article 290 of TFEU a number of legal acts providing for the use of the regulatory procedure with scrutiny". The overall assessment of the Commission was that the automatic adaptation of the regulatory procedure with scrutiny to Art. 290 of TFEU </w:t>
      </w:r>
      <w:proofErr w:type="gramStart"/>
      <w:r w:rsidRPr="008364C4">
        <w:rPr>
          <w:rFonts w:ascii="Times New Roman" w:hAnsi="Times New Roman"/>
          <w:sz w:val="28"/>
        </w:rPr>
        <w:t>is</w:t>
      </w:r>
      <w:proofErr w:type="gramEnd"/>
      <w:r w:rsidRPr="008364C4">
        <w:rPr>
          <w:rFonts w:ascii="Times New Roman" w:hAnsi="Times New Roman"/>
          <w:sz w:val="28"/>
        </w:rPr>
        <w:t xml:space="preserve"> not appropriate.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Commission periodically performs an exchange of views with the State Agency "Archives" in relation to the concerns of the Agency about the negative effect of the implementation of the future </w:t>
      </w:r>
      <w:r w:rsidR="00484D01">
        <w:rPr>
          <w:rFonts w:ascii="Times New Roman" w:hAnsi="Times New Roman"/>
          <w:sz w:val="28"/>
        </w:rPr>
        <w:t xml:space="preserve">Data Protection </w:t>
      </w:r>
      <w:r w:rsidRPr="008364C4">
        <w:rPr>
          <w:rFonts w:ascii="Times New Roman" w:hAnsi="Times New Roman"/>
          <w:sz w:val="28"/>
        </w:rPr>
        <w:t>Regulation on the archives. The considerations of the Agency are adopted by CPDP and expressed in the appropriate formats at EU level.</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Given the general view of the Member States that the proposal for </w:t>
      </w:r>
      <w:r w:rsidR="00484D01">
        <w:rPr>
          <w:rFonts w:ascii="Times New Roman" w:hAnsi="Times New Roman"/>
          <w:sz w:val="28"/>
        </w:rPr>
        <w:t xml:space="preserve">Data Protection </w:t>
      </w:r>
      <w:r w:rsidRPr="008364C4">
        <w:rPr>
          <w:rFonts w:ascii="Times New Roman" w:hAnsi="Times New Roman"/>
          <w:sz w:val="28"/>
        </w:rPr>
        <w:t xml:space="preserve">Regulation would have adverse effects on the process of processing and storing data for historical and research purposes, an approach has been adopted at European level for the introduction of appropriate exemptions from the application of the Regulation in this area.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2013, the Commission for Personal Data Protection continued its active participation in the process of preparation, revision, co-ordination and implementation of European data protection and privacy legislation, as well as, in the information and experience exchange bilaterally and at European and global level on existing and newly emerged issues.</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Furthermore, CPDP provided advice and answers to a number of individual inquiries and investigations of Bulgarian and foreign individuals and organizations in connection with the</w:t>
      </w:r>
      <w:r w:rsidR="00484D01">
        <w:rPr>
          <w:rFonts w:ascii="Times New Roman" w:hAnsi="Times New Roman"/>
          <w:sz w:val="28"/>
        </w:rPr>
        <w:t xml:space="preserve"> application</w:t>
      </w:r>
      <w:r w:rsidRPr="008364C4">
        <w:rPr>
          <w:rFonts w:ascii="Times New Roman" w:hAnsi="Times New Roman"/>
          <w:sz w:val="28"/>
        </w:rPr>
        <w:t xml:space="preserve"> of </w:t>
      </w:r>
      <w:r w:rsidR="00484D01">
        <w:rPr>
          <w:rFonts w:ascii="Times New Roman" w:hAnsi="Times New Roman"/>
          <w:sz w:val="28"/>
        </w:rPr>
        <w:t xml:space="preserve">the </w:t>
      </w:r>
      <w:r w:rsidRPr="008364C4">
        <w:rPr>
          <w:rFonts w:ascii="Times New Roman" w:hAnsi="Times New Roman"/>
          <w:sz w:val="28"/>
        </w:rPr>
        <w:t>Bulgarian and European</w:t>
      </w:r>
      <w:r w:rsidR="00484D01">
        <w:rPr>
          <w:rFonts w:ascii="Times New Roman" w:hAnsi="Times New Roman"/>
          <w:sz w:val="28"/>
        </w:rPr>
        <w:t xml:space="preserve"> personal data protection </w:t>
      </w:r>
      <w:r w:rsidRPr="008364C4">
        <w:rPr>
          <w:rFonts w:ascii="Times New Roman" w:hAnsi="Times New Roman"/>
          <w:sz w:val="28"/>
        </w:rPr>
        <w:t>legislation, and in particular</w:t>
      </w:r>
      <w:r w:rsidR="00484D01">
        <w:rPr>
          <w:rFonts w:ascii="Times New Roman" w:hAnsi="Times New Roman"/>
          <w:sz w:val="28"/>
        </w:rPr>
        <w:t>, on</w:t>
      </w:r>
      <w:r w:rsidRPr="008364C4">
        <w:rPr>
          <w:rFonts w:ascii="Times New Roman" w:hAnsi="Times New Roman"/>
          <w:sz w:val="28"/>
        </w:rPr>
        <w:t xml:space="preserve"> the use of video surveillance, raising the awareness of citizens about the protection of </w:t>
      </w:r>
      <w:r w:rsidR="00484D01">
        <w:rPr>
          <w:rFonts w:ascii="Times New Roman" w:hAnsi="Times New Roman"/>
          <w:sz w:val="28"/>
        </w:rPr>
        <w:t xml:space="preserve">children </w:t>
      </w:r>
      <w:r w:rsidRPr="008364C4">
        <w:rPr>
          <w:rFonts w:ascii="Times New Roman" w:hAnsi="Times New Roman"/>
          <w:sz w:val="28"/>
        </w:rPr>
        <w:t xml:space="preserve">personal data, strengthening the cooperation between data and privacy protection authorities, data processing in the banking sector, etc.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Active cooperation at national level is also carried out </w:t>
      </w:r>
      <w:r w:rsidR="00D461E9">
        <w:rPr>
          <w:rFonts w:ascii="Times New Roman" w:hAnsi="Times New Roman"/>
          <w:sz w:val="28"/>
        </w:rPr>
        <w:t xml:space="preserve">in connection with </w:t>
      </w:r>
      <w:r w:rsidRPr="008364C4">
        <w:rPr>
          <w:rFonts w:ascii="Times New Roman" w:hAnsi="Times New Roman"/>
          <w:sz w:val="28"/>
        </w:rPr>
        <w:t>the introduction of Regulation 611</w:t>
      </w:r>
      <w:r w:rsidRPr="008364C4">
        <w:rPr>
          <w:rFonts w:ascii="Times New Roman" w:hAnsi="Times New Roman"/>
          <w:sz w:val="28"/>
          <w:vertAlign w:val="superscript"/>
        </w:rPr>
        <w:footnoteReference w:id="5"/>
      </w:r>
      <w:r w:rsidRPr="008364C4">
        <w:rPr>
          <w:rFonts w:ascii="Times New Roman" w:hAnsi="Times New Roman"/>
          <w:sz w:val="28"/>
        </w:rPr>
        <w:t xml:space="preserve"> of the European Commission, effecti</w:t>
      </w:r>
      <w:r w:rsidR="00D461E9">
        <w:rPr>
          <w:rFonts w:ascii="Times New Roman" w:hAnsi="Times New Roman"/>
          <w:sz w:val="28"/>
        </w:rPr>
        <w:t>ve as from 25 August 2013 and</w:t>
      </w:r>
      <w:r w:rsidRPr="008364C4">
        <w:rPr>
          <w:rFonts w:ascii="Times New Roman" w:hAnsi="Times New Roman"/>
          <w:sz w:val="28"/>
        </w:rPr>
        <w:t xml:space="preserve"> the need to provide secure communication channels for announcing </w:t>
      </w:r>
      <w:r w:rsidR="00D461E9">
        <w:rPr>
          <w:rFonts w:ascii="Times New Roman" w:hAnsi="Times New Roman"/>
          <w:sz w:val="28"/>
        </w:rPr>
        <w:t>data breaches</w:t>
      </w:r>
      <w:r w:rsidRPr="008364C4">
        <w:rPr>
          <w:rFonts w:ascii="Times New Roman" w:hAnsi="Times New Roman"/>
          <w:sz w:val="28"/>
        </w:rPr>
        <w:t xml:space="preserve">. In this context, at the initiative of CPDP a number of meetings with representatives of the State Agency "National Security" were carried out. As a result of the meetings, the parties agreed on a comprehensive technological solution which was presented at a meeting organized by the European Commission on 18 September on the implementation of the Regulation. The </w:t>
      </w:r>
      <w:r w:rsidR="00566B45">
        <w:rPr>
          <w:rFonts w:ascii="Times New Roman" w:hAnsi="Times New Roman"/>
          <w:sz w:val="28"/>
        </w:rPr>
        <w:t>current technological solution</w:t>
      </w:r>
      <w:r w:rsidRPr="008364C4">
        <w:rPr>
          <w:rFonts w:ascii="Times New Roman" w:hAnsi="Times New Roman"/>
          <w:sz w:val="28"/>
        </w:rPr>
        <w:t xml:space="preserve">, involves the creation of a protected website for secure communications with providers of electronic and communications networks and/or services. The meeting organized by DG "Internal Affairs" was attended by Prof. Veselin Tselkov, member of CPDP.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Commission for Personal Data Protection is a partner and co-beneficiary, and the State Agency "National Security" - the leading structure of the project "Establishment of a national unit for collection and processing of PNR data in the Republic of Bulgaria" funded by the European Commission. The project activities start in early 2014.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 representative of the Commission for Personal Data Protection participated in a meeting organized by DG "Internal Affairs" of the European Commission, which aimed to find a common EU approach to the transfer of passenger name records (PNR) data at the request of third countries. At present, the transfer of this data type is implemented on the basis of bilateral agreements. With the increasing number of third countries which introduce PNR systems, it is necessary to look for new solutions to this issue, given the cumbersome and lengthy procedure of negotiating bilateral agreements. The general view of the Member States is that a unified legal instrument should be developed which should be legally binding on its adherent parties.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In pursuance of the decision of the Article 29 Working Group under Directive 95/46/EC, the Commission for Personal Data Protection posted on its website a set of documents relating to the right of individuals to access their personal data relating to the Terrorist Finance Tracking Programme (TFTP). The documents are prepared under the TFTP Agreement and described in detail the </w:t>
      </w:r>
      <w:r w:rsidR="00614BAB">
        <w:rPr>
          <w:rFonts w:ascii="Times New Roman" w:hAnsi="Times New Roman"/>
          <w:sz w:val="28"/>
        </w:rPr>
        <w:t>access procedure</w:t>
      </w:r>
      <w:r w:rsidRPr="008364C4">
        <w:rPr>
          <w:rFonts w:ascii="Times New Roman" w:hAnsi="Times New Roman"/>
          <w:sz w:val="28"/>
        </w:rPr>
        <w:t xml:space="preserve">. </w:t>
      </w:r>
    </w:p>
    <w:p w:rsidR="00507B5F" w:rsidRPr="00566B45"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Other</w:t>
      </w:r>
      <w:r w:rsidR="00614BAB">
        <w:rPr>
          <w:rFonts w:ascii="Times New Roman" w:hAnsi="Times New Roman"/>
          <w:sz w:val="28"/>
        </w:rPr>
        <w:t xml:space="preserve"> priorities of the Article 29 WP in</w:t>
      </w:r>
      <w:r w:rsidRPr="008364C4">
        <w:rPr>
          <w:rFonts w:ascii="Times New Roman" w:hAnsi="Times New Roman"/>
          <w:sz w:val="28"/>
        </w:rPr>
        <w:t xml:space="preserve"> which various documents have been prepared and submitted for voting by the Member-States include: data protection </w:t>
      </w:r>
      <w:r w:rsidR="00566B45" w:rsidRPr="00566B45">
        <w:rPr>
          <w:rFonts w:ascii="Times New Roman" w:hAnsi="Times New Roman"/>
          <w:sz w:val="28"/>
        </w:rPr>
        <w:t xml:space="preserve">by undertaken </w:t>
      </w:r>
      <w:r w:rsidRPr="00566B45">
        <w:rPr>
          <w:rFonts w:ascii="Times New Roman" w:hAnsi="Times New Roman"/>
          <w:sz w:val="28"/>
        </w:rPr>
        <w:t>police action</w:t>
      </w:r>
      <w:r w:rsidR="00566B45" w:rsidRPr="00566B45">
        <w:rPr>
          <w:rFonts w:ascii="Times New Roman" w:hAnsi="Times New Roman"/>
          <w:sz w:val="28"/>
        </w:rPr>
        <w:t>s</w:t>
      </w:r>
      <w:r w:rsidRPr="00566B45">
        <w:rPr>
          <w:rFonts w:ascii="Times New Roman" w:hAnsi="Times New Roman"/>
          <w:sz w:val="28"/>
        </w:rPr>
        <w:t xml:space="preserve"> and criminal justice; software </w:t>
      </w:r>
      <w:r w:rsidRPr="008364C4">
        <w:rPr>
          <w:rFonts w:ascii="Times New Roman" w:hAnsi="Times New Roman"/>
          <w:sz w:val="28"/>
        </w:rPr>
        <w:t xml:space="preserve">applications for smart devices, principle of </w:t>
      </w:r>
      <w:proofErr w:type="spellStart"/>
      <w:r w:rsidR="00566B45">
        <w:rPr>
          <w:rFonts w:ascii="Times New Roman" w:hAnsi="Times New Roman"/>
          <w:sz w:val="28"/>
        </w:rPr>
        <w:t>puropose</w:t>
      </w:r>
      <w:proofErr w:type="spellEnd"/>
      <w:r w:rsidR="00566B45">
        <w:rPr>
          <w:rFonts w:ascii="Times New Roman" w:hAnsi="Times New Roman"/>
          <w:sz w:val="28"/>
        </w:rPr>
        <w:t xml:space="preserve"> limitation of</w:t>
      </w:r>
      <w:r w:rsidRPr="008364C4">
        <w:rPr>
          <w:rFonts w:ascii="Times New Roman" w:hAnsi="Times New Roman"/>
          <w:sz w:val="28"/>
        </w:rPr>
        <w:t xml:space="preserve"> personal data processing; drafting and implementation of binding corporate rules for data processors; protection of personal data and smart </w:t>
      </w:r>
      <w:r w:rsidR="00566B45" w:rsidRPr="00566B45">
        <w:rPr>
          <w:rFonts w:ascii="Times New Roman" w:hAnsi="Times New Roman"/>
          <w:sz w:val="28"/>
        </w:rPr>
        <w:t xml:space="preserve">metering </w:t>
      </w:r>
      <w:r w:rsidRPr="00566B45">
        <w:rPr>
          <w:rFonts w:ascii="Times New Roman" w:hAnsi="Times New Roman"/>
          <w:sz w:val="28"/>
        </w:rPr>
        <w:t>systems</w:t>
      </w:r>
      <w:r w:rsidRPr="008364C4">
        <w:rPr>
          <w:rFonts w:ascii="Times New Roman" w:hAnsi="Times New Roman"/>
          <w:sz w:val="28"/>
        </w:rPr>
        <w:t xml:space="preserve">; collection and processing </w:t>
      </w:r>
      <w:r w:rsidRPr="00566B45">
        <w:rPr>
          <w:rFonts w:ascii="Times New Roman" w:hAnsi="Times New Roman"/>
          <w:sz w:val="28"/>
        </w:rPr>
        <w:t>of personal data by electronic devices installed at the border points</w:t>
      </w:r>
      <w:r w:rsidR="00566B45">
        <w:rPr>
          <w:rFonts w:ascii="Times New Roman" w:hAnsi="Times New Roman"/>
          <w:sz w:val="28"/>
        </w:rPr>
        <w:t xml:space="preserve"> (smart borders); use of public sector information</w:t>
      </w:r>
      <w:r w:rsidRPr="00614BAB">
        <w:rPr>
          <w:rFonts w:ascii="Times New Roman" w:hAnsi="Times New Roman"/>
          <w:color w:val="FF0000"/>
          <w:sz w:val="28"/>
        </w:rPr>
        <w:t xml:space="preserve"> </w:t>
      </w:r>
      <w:r w:rsidRPr="00566B45">
        <w:rPr>
          <w:rFonts w:ascii="Times New Roman" w:hAnsi="Times New Roman"/>
          <w:sz w:val="28"/>
        </w:rPr>
        <w:t xml:space="preserve">and consent when installing cookies.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Other important issues discussed wit</w:t>
      </w:r>
      <w:r w:rsidR="00614BAB">
        <w:rPr>
          <w:rFonts w:ascii="Times New Roman" w:hAnsi="Times New Roman"/>
          <w:sz w:val="28"/>
        </w:rPr>
        <w:t>hin the Article 29 Working Party</w:t>
      </w:r>
      <w:r w:rsidRPr="008364C4">
        <w:rPr>
          <w:rFonts w:ascii="Times New Roman" w:hAnsi="Times New Roman"/>
          <w:sz w:val="28"/>
        </w:rPr>
        <w:t xml:space="preserve"> in 2013 are: achievement of highe</w:t>
      </w:r>
      <w:r w:rsidR="00566B45">
        <w:rPr>
          <w:rFonts w:ascii="Times New Roman" w:hAnsi="Times New Roman"/>
          <w:sz w:val="28"/>
        </w:rPr>
        <w:t>r flexibility about the</w:t>
      </w:r>
      <w:r w:rsidRPr="008364C4">
        <w:rPr>
          <w:rFonts w:ascii="Times New Roman" w:hAnsi="Times New Roman"/>
          <w:sz w:val="28"/>
        </w:rPr>
        <w:t xml:space="preserve"> </w:t>
      </w:r>
      <w:r w:rsidRPr="00566B45">
        <w:rPr>
          <w:rFonts w:ascii="Times New Roman" w:hAnsi="Times New Roman"/>
          <w:sz w:val="28"/>
        </w:rPr>
        <w:t>data protection in the public sector,</w:t>
      </w:r>
      <w:r w:rsidRPr="008364C4">
        <w:rPr>
          <w:rFonts w:ascii="Times New Roman" w:hAnsi="Times New Roman"/>
          <w:sz w:val="28"/>
        </w:rPr>
        <w:t xml:space="preserve"> using </w:t>
      </w:r>
      <w:proofErr w:type="spellStart"/>
      <w:r w:rsidRPr="008364C4">
        <w:rPr>
          <w:rFonts w:ascii="Times New Roman" w:hAnsi="Times New Roman"/>
          <w:sz w:val="28"/>
        </w:rPr>
        <w:t>pseudonymised</w:t>
      </w:r>
      <w:proofErr w:type="spellEnd"/>
      <w:r w:rsidRPr="008364C4">
        <w:rPr>
          <w:rFonts w:ascii="Times New Roman" w:hAnsi="Times New Roman"/>
          <w:sz w:val="28"/>
        </w:rPr>
        <w:t xml:space="preserve"> data, expressing consent, the new mechanisms proposed for coordination and cooperation, international transfers and assessing the impact on the </w:t>
      </w:r>
      <w:r w:rsidR="00614BAB">
        <w:rPr>
          <w:rFonts w:ascii="Times New Roman" w:hAnsi="Times New Roman"/>
          <w:sz w:val="28"/>
        </w:rPr>
        <w:t>personal data protection</w:t>
      </w:r>
      <w:r w:rsidRPr="008364C4">
        <w:rPr>
          <w:rFonts w:ascii="Times New Roman" w:hAnsi="Times New Roman"/>
          <w:sz w:val="28"/>
        </w:rPr>
        <w:t xml:space="preserve">, the </w:t>
      </w:r>
      <w:r w:rsidRPr="00566B45">
        <w:rPr>
          <w:rFonts w:ascii="Times New Roman" w:hAnsi="Times New Roman"/>
          <w:sz w:val="28"/>
        </w:rPr>
        <w:t>transfer of PNR</w:t>
      </w:r>
      <w:r w:rsidR="00566B45" w:rsidRPr="00566B45">
        <w:rPr>
          <w:rFonts w:ascii="Times New Roman" w:hAnsi="Times New Roman"/>
          <w:sz w:val="28"/>
        </w:rPr>
        <w:t xml:space="preserve"> data</w:t>
      </w:r>
      <w:r w:rsidRPr="00566B45">
        <w:rPr>
          <w:rFonts w:ascii="Times New Roman" w:hAnsi="Times New Roman"/>
          <w:sz w:val="28"/>
        </w:rPr>
        <w:t xml:space="preserve">, </w:t>
      </w:r>
      <w:r w:rsidRPr="008364C4">
        <w:rPr>
          <w:rFonts w:ascii="Times New Roman" w:hAnsi="Times New Roman"/>
          <w:sz w:val="28"/>
        </w:rPr>
        <w:t xml:space="preserve">etc.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During this reporting period CPDP continued to participate in the Joint Supervisory Authorities of Europol, Schengen and Customs. The main directions of their activities in 2013 related to: checks of various specialized systems used in the framework of police and judicial cooperation and the fight against terrorism; state of national units – the introduction of new devices and systems; review and analysis of the current legislation and future amendments thereto; preparation and distribution of information materials in connection with their work; creating a single point of access to the systems.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It should be noted that in 2013 the Joint Supervisory Authority of Schengen cease</w:t>
      </w:r>
      <w:r w:rsidR="00614BAB">
        <w:rPr>
          <w:rFonts w:ascii="Times New Roman" w:hAnsi="Times New Roman"/>
          <w:sz w:val="28"/>
        </w:rPr>
        <w:t>d</w:t>
      </w:r>
      <w:r w:rsidRPr="008364C4">
        <w:rPr>
          <w:rFonts w:ascii="Times New Roman" w:hAnsi="Times New Roman"/>
          <w:sz w:val="28"/>
        </w:rPr>
        <w:t xml:space="preserve"> its activity, and a new structure was set up in its place that will exercise </w:t>
      </w:r>
      <w:r w:rsidRPr="008364C4">
        <w:rPr>
          <w:rFonts w:ascii="Times New Roman" w:hAnsi="Times New Roman"/>
          <w:sz w:val="28"/>
        </w:rPr>
        <w:lastRenderedPageBreak/>
        <w:t xml:space="preserve">control on SIS and in which Bulgaria is a full member even though the process of accession to the Schengen at national level has not yet </w:t>
      </w:r>
      <w:r w:rsidR="00614BAB">
        <w:rPr>
          <w:rFonts w:ascii="Times New Roman" w:hAnsi="Times New Roman"/>
          <w:sz w:val="28"/>
        </w:rPr>
        <w:t xml:space="preserve">been </w:t>
      </w:r>
      <w:r w:rsidRPr="008364C4">
        <w:rPr>
          <w:rFonts w:ascii="Times New Roman" w:hAnsi="Times New Roman"/>
          <w:sz w:val="28"/>
        </w:rPr>
        <w:t xml:space="preserve">completed. </w:t>
      </w:r>
    </w:p>
    <w:p w:rsidR="00507B5F" w:rsidRPr="008364C4" w:rsidRDefault="00614BAB" w:rsidP="00507B5F">
      <w:pPr>
        <w:spacing w:after="0" w:line="360" w:lineRule="auto"/>
        <w:ind w:firstLine="709"/>
        <w:jc w:val="both"/>
        <w:rPr>
          <w:rFonts w:ascii="Times New Roman" w:hAnsi="Times New Roman"/>
          <w:sz w:val="28"/>
          <w:szCs w:val="28"/>
        </w:rPr>
      </w:pPr>
      <w:r>
        <w:rPr>
          <w:rFonts w:ascii="Times New Roman" w:hAnsi="Times New Roman"/>
          <w:sz w:val="28"/>
        </w:rPr>
        <w:t xml:space="preserve">The </w:t>
      </w:r>
      <w:r w:rsidR="00507B5F" w:rsidRPr="008364C4">
        <w:rPr>
          <w:rFonts w:ascii="Times New Roman" w:hAnsi="Times New Roman"/>
          <w:sz w:val="28"/>
        </w:rPr>
        <w:t xml:space="preserve">Commission for Personal Data Protection takes active part in the work of the specialized Supervision Coordination Groups of the special information systems – Schengen, Customs, Visa and </w:t>
      </w:r>
      <w:proofErr w:type="spellStart"/>
      <w:r w:rsidR="00507B5F" w:rsidRPr="008364C4">
        <w:rPr>
          <w:rFonts w:ascii="Times New Roman" w:hAnsi="Times New Roman"/>
          <w:sz w:val="28"/>
        </w:rPr>
        <w:t>Eurodac</w:t>
      </w:r>
      <w:proofErr w:type="spellEnd"/>
      <w:r w:rsidR="00507B5F" w:rsidRPr="008364C4">
        <w:rPr>
          <w:rFonts w:ascii="Times New Roman" w:hAnsi="Times New Roman"/>
          <w:sz w:val="28"/>
        </w:rPr>
        <w:t xml:space="preserve">, </w:t>
      </w:r>
      <w:r>
        <w:rPr>
          <w:rFonts w:ascii="Times New Roman" w:hAnsi="Times New Roman"/>
          <w:sz w:val="28"/>
        </w:rPr>
        <w:t>created at the European Data Protection Supervisor</w:t>
      </w:r>
      <w:r w:rsidR="00507B5F" w:rsidRPr="008364C4">
        <w:rPr>
          <w:rFonts w:ascii="Times New Roman" w:hAnsi="Times New Roman"/>
          <w:sz w:val="28"/>
        </w:rPr>
        <w:t>, and in the context of the information exchange, discussions conducted and requests for opinions sent, the following issues have been discussed: information management in large-scale information systems and ensuring their security, quality of the data that is submitted into them; access of law enforcement authorities at national and European level – taking into account that access and work with the systems; inspections carried out, including joint inspections by the supervisory</w:t>
      </w:r>
      <w:r>
        <w:rPr>
          <w:rFonts w:ascii="Times New Roman" w:hAnsi="Times New Roman"/>
          <w:sz w:val="28"/>
        </w:rPr>
        <w:t xml:space="preserve"> data protection</w:t>
      </w:r>
      <w:r w:rsidR="00507B5F" w:rsidRPr="008364C4">
        <w:rPr>
          <w:rFonts w:ascii="Times New Roman" w:hAnsi="Times New Roman"/>
          <w:sz w:val="28"/>
        </w:rPr>
        <w:t xml:space="preserve"> authorities; recent de</w:t>
      </w:r>
      <w:r>
        <w:rPr>
          <w:rFonts w:ascii="Times New Roman" w:hAnsi="Times New Roman"/>
          <w:sz w:val="28"/>
        </w:rPr>
        <w:t>velopments in systems following</w:t>
      </w:r>
      <w:r w:rsidR="00507B5F" w:rsidRPr="008364C4">
        <w:rPr>
          <w:rFonts w:ascii="Times New Roman" w:hAnsi="Times New Roman"/>
          <w:sz w:val="28"/>
        </w:rPr>
        <w:t xml:space="preserve"> the </w:t>
      </w:r>
      <w:proofErr w:type="spellStart"/>
      <w:r w:rsidR="00507B5F" w:rsidRPr="008364C4">
        <w:rPr>
          <w:rFonts w:ascii="Times New Roman" w:hAnsi="Times New Roman"/>
          <w:sz w:val="28"/>
        </w:rPr>
        <w:t>ongoing</w:t>
      </w:r>
      <w:proofErr w:type="spellEnd"/>
      <w:r w:rsidR="00507B5F" w:rsidRPr="008364C4">
        <w:rPr>
          <w:rFonts w:ascii="Times New Roman" w:hAnsi="Times New Roman"/>
          <w:sz w:val="28"/>
        </w:rPr>
        <w:t xml:space="preserve"> changes worldwide.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In 2013, the Management Body of the Commission for Personal Data Protection participated in numerous international forums, outlining key</w:t>
      </w:r>
      <w:r w:rsidR="00614BAB">
        <w:rPr>
          <w:rFonts w:ascii="Times New Roman" w:hAnsi="Times New Roman"/>
          <w:sz w:val="28"/>
        </w:rPr>
        <w:t xml:space="preserve"> data protection</w:t>
      </w:r>
      <w:r w:rsidRPr="008364C4">
        <w:rPr>
          <w:rFonts w:ascii="Times New Roman" w:hAnsi="Times New Roman"/>
          <w:sz w:val="28"/>
        </w:rPr>
        <w:t xml:space="preserve"> trends.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March, the Chairperson of the Commission, </w:t>
      </w:r>
      <w:proofErr w:type="spellStart"/>
      <w:r w:rsidRPr="008364C4">
        <w:rPr>
          <w:rFonts w:ascii="Times New Roman" w:hAnsi="Times New Roman"/>
          <w:sz w:val="28"/>
        </w:rPr>
        <w:t>Ms.</w:t>
      </w:r>
      <w:proofErr w:type="spellEnd"/>
      <w:r w:rsidRPr="008364C4">
        <w:rPr>
          <w:rFonts w:ascii="Times New Roman" w:hAnsi="Times New Roman"/>
          <w:sz w:val="28"/>
        </w:rPr>
        <w:t xml:space="preserve"> Veneta Shopova took part in an academic conference, the subject of which was the principle of providing informed consent via the Internet.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Main priorities of the European data protection authorities in the preparation for </w:t>
      </w:r>
      <w:r w:rsidRPr="00566B45">
        <w:rPr>
          <w:rFonts w:ascii="Times New Roman" w:hAnsi="Times New Roman"/>
          <w:sz w:val="28"/>
        </w:rPr>
        <w:t xml:space="preserve">the International Conference on Privacy </w:t>
      </w:r>
      <w:r w:rsidRPr="008364C4">
        <w:rPr>
          <w:rFonts w:ascii="Times New Roman" w:hAnsi="Times New Roman"/>
          <w:sz w:val="28"/>
        </w:rPr>
        <w:t xml:space="preserve">were discussed during the so-called Spring Conference. This year's conference was held on 16 and 17 May in Lisbon and it was attended by </w:t>
      </w:r>
      <w:proofErr w:type="spellStart"/>
      <w:r w:rsidRPr="008364C4">
        <w:rPr>
          <w:rFonts w:ascii="Times New Roman" w:hAnsi="Times New Roman"/>
          <w:sz w:val="28"/>
        </w:rPr>
        <w:t>Ms.</w:t>
      </w:r>
      <w:proofErr w:type="spellEnd"/>
      <w:r w:rsidRPr="008364C4">
        <w:rPr>
          <w:rFonts w:ascii="Times New Roman" w:hAnsi="Times New Roman"/>
          <w:sz w:val="28"/>
        </w:rPr>
        <w:t xml:space="preserve"> Veneta Shopova and </w:t>
      </w:r>
      <w:proofErr w:type="spellStart"/>
      <w:r w:rsidRPr="008364C4">
        <w:rPr>
          <w:rFonts w:ascii="Times New Roman" w:hAnsi="Times New Roman"/>
          <w:sz w:val="28"/>
        </w:rPr>
        <w:t>Mr.</w:t>
      </w:r>
      <w:proofErr w:type="spellEnd"/>
      <w:r w:rsidRPr="008364C4">
        <w:rPr>
          <w:rFonts w:ascii="Times New Roman" w:hAnsi="Times New Roman"/>
          <w:sz w:val="28"/>
        </w:rPr>
        <w:t xml:space="preserve"> Valentin Enev, a member of CPDP.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Representatives of the Commission for Personal Data Protection in the International Conference of Data Protection and Privacy Commissioners (Warsaw, 23 to 26 September) were </w:t>
      </w:r>
      <w:proofErr w:type="spellStart"/>
      <w:r w:rsidRPr="008364C4">
        <w:rPr>
          <w:rFonts w:ascii="Times New Roman" w:hAnsi="Times New Roman"/>
          <w:sz w:val="28"/>
        </w:rPr>
        <w:t>Ms.</w:t>
      </w:r>
      <w:proofErr w:type="spellEnd"/>
      <w:r w:rsidRPr="008364C4">
        <w:rPr>
          <w:rFonts w:ascii="Times New Roman" w:hAnsi="Times New Roman"/>
          <w:sz w:val="28"/>
        </w:rPr>
        <w:t xml:space="preserve"> Mari</w:t>
      </w:r>
      <w:r w:rsidR="00614BAB">
        <w:rPr>
          <w:rFonts w:ascii="Times New Roman" w:hAnsi="Times New Roman"/>
          <w:sz w:val="28"/>
        </w:rPr>
        <w:t>y</w:t>
      </w:r>
      <w:r w:rsidRPr="008364C4">
        <w:rPr>
          <w:rFonts w:ascii="Times New Roman" w:hAnsi="Times New Roman"/>
          <w:sz w:val="28"/>
        </w:rPr>
        <w:t xml:space="preserve">a Mateva and </w:t>
      </w:r>
      <w:proofErr w:type="spellStart"/>
      <w:r w:rsidRPr="008364C4">
        <w:rPr>
          <w:rFonts w:ascii="Times New Roman" w:hAnsi="Times New Roman"/>
          <w:sz w:val="28"/>
        </w:rPr>
        <w:t>Mr.</w:t>
      </w:r>
      <w:proofErr w:type="spellEnd"/>
      <w:r w:rsidRPr="008364C4">
        <w:rPr>
          <w:rFonts w:ascii="Times New Roman" w:hAnsi="Times New Roman"/>
          <w:sz w:val="28"/>
        </w:rPr>
        <w:t xml:space="preserve"> Veselin Tselkov, members of CPDP.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On the two annual meetings of the International Working Group on Data Protection in Telecommunications (15 to 16 April in Prague and 2 to 3 September in Berlin), and on the IV International Conference on Data Protection, organized in November by the Russian Federation (6 to 7 November, Moscow), the Commission for Personal Data Protection presented the new rules introduced in Ordinance 1 on the minimum measures and the admissible level of protection.</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Representatives of the Commission participated in the workshop</w:t>
      </w:r>
      <w:r w:rsidR="00614BAB">
        <w:rPr>
          <w:rFonts w:ascii="Times New Roman" w:hAnsi="Times New Roman"/>
          <w:sz w:val="28"/>
        </w:rPr>
        <w:t>s,</w:t>
      </w:r>
      <w:r w:rsidRPr="008364C4">
        <w:rPr>
          <w:rFonts w:ascii="Times New Roman" w:hAnsi="Times New Roman"/>
          <w:sz w:val="28"/>
        </w:rPr>
        <w:t xml:space="preserve"> addressing the problems to "accountability", which was held in Warsaw and Toronto. The representative of CPDP in this project is Prof. Veselin Tselkov, member of CPDP.  </w:t>
      </w:r>
    </w:p>
    <w:p w:rsidR="00507B5F" w:rsidRPr="008364C4" w:rsidRDefault="00614BAB" w:rsidP="00507B5F">
      <w:pPr>
        <w:spacing w:after="0" w:line="360" w:lineRule="auto"/>
        <w:ind w:firstLine="709"/>
        <w:jc w:val="both"/>
        <w:rPr>
          <w:rFonts w:ascii="Times New Roman" w:hAnsi="Times New Roman"/>
          <w:sz w:val="28"/>
          <w:szCs w:val="28"/>
        </w:rPr>
      </w:pPr>
      <w:r>
        <w:rPr>
          <w:rFonts w:ascii="Times New Roman" w:hAnsi="Times New Roman"/>
          <w:sz w:val="28"/>
        </w:rPr>
        <w:t>Following</w:t>
      </w:r>
      <w:r w:rsidR="00507B5F" w:rsidRPr="008364C4">
        <w:rPr>
          <w:rFonts w:ascii="Times New Roman" w:hAnsi="Times New Roman"/>
          <w:sz w:val="28"/>
        </w:rPr>
        <w:t xml:space="preserve"> the priorities to strengthen the cooperation at regional level, in May</w:t>
      </w:r>
      <w:r>
        <w:rPr>
          <w:rFonts w:ascii="Times New Roman" w:hAnsi="Times New Roman"/>
          <w:sz w:val="28"/>
        </w:rPr>
        <w:t>,</w:t>
      </w:r>
      <w:r w:rsidR="00507B5F" w:rsidRPr="008364C4">
        <w:rPr>
          <w:rFonts w:ascii="Times New Roman" w:hAnsi="Times New Roman"/>
          <w:sz w:val="28"/>
        </w:rPr>
        <w:t xml:space="preserve"> the Commission for Personal Data Protection hosted a meeting with a delegation of the National Data Protection Authority of Kosovo, held in pursuance of the Memorandum of Cooperation signed in 2012.    </w:t>
      </w:r>
    </w:p>
    <w:p w:rsidR="00507B5F" w:rsidRPr="008364C4" w:rsidRDefault="00507B5F" w:rsidP="00507B5F">
      <w:pPr>
        <w:spacing w:after="0" w:line="360" w:lineRule="auto"/>
        <w:ind w:firstLine="709"/>
        <w:jc w:val="both"/>
        <w:rPr>
          <w:rFonts w:ascii="Times New Roman" w:hAnsi="Times New Roman"/>
          <w:sz w:val="28"/>
          <w:szCs w:val="28"/>
        </w:rPr>
      </w:pPr>
      <w:r w:rsidRPr="008364C4">
        <w:rPr>
          <w:rFonts w:ascii="Times New Roman" w:hAnsi="Times New Roman"/>
          <w:sz w:val="28"/>
        </w:rPr>
        <w:t>The management body of CPDP participated i</w:t>
      </w:r>
      <w:r w:rsidR="00115825">
        <w:rPr>
          <w:rFonts w:ascii="Times New Roman" w:hAnsi="Times New Roman"/>
          <w:sz w:val="28"/>
        </w:rPr>
        <w:t>n the annual Conference of the Central and Eastern European Data Protection A</w:t>
      </w:r>
      <w:r w:rsidRPr="008364C4">
        <w:rPr>
          <w:rFonts w:ascii="Times New Roman" w:hAnsi="Times New Roman"/>
          <w:sz w:val="28"/>
        </w:rPr>
        <w:t>uthorities, which this year was held in Belgrade from 10 to 12 April.</w:t>
      </w:r>
    </w:p>
    <w:p w:rsidR="00E90B9A" w:rsidRPr="008364C4" w:rsidRDefault="00507B5F" w:rsidP="003D726B">
      <w:pPr>
        <w:pStyle w:val="Heading1"/>
      </w:pPr>
      <w:r w:rsidRPr="008364C4">
        <w:br w:type="page"/>
      </w:r>
      <w:bookmarkStart w:id="22" w:name="_Toc380595216"/>
      <w:bookmarkStart w:id="23" w:name="_Toc380740752"/>
      <w:proofErr w:type="gramStart"/>
      <w:r w:rsidRPr="008364C4">
        <w:lastRenderedPageBreak/>
        <w:t>ХII.</w:t>
      </w:r>
      <w:proofErr w:type="gramEnd"/>
      <w:r w:rsidRPr="008364C4">
        <w:t xml:space="preserve"> </w:t>
      </w:r>
      <w:proofErr w:type="gramStart"/>
      <w:r w:rsidRPr="008364C4">
        <w:t>Institutional interaction and cooperation with higher education institutions and NGOs.</w:t>
      </w:r>
      <w:proofErr w:type="gramEnd"/>
      <w:r w:rsidRPr="008364C4">
        <w:t xml:space="preserve"> </w:t>
      </w:r>
      <w:proofErr w:type="gramStart"/>
      <w:r w:rsidRPr="008364C4">
        <w:t>Public relations and publicity and transparency policy Partnership with media representatives and information activity.</w:t>
      </w:r>
      <w:bookmarkEnd w:id="22"/>
      <w:bookmarkEnd w:id="23"/>
      <w:proofErr w:type="gramEnd"/>
    </w:p>
    <w:p w:rsidR="0090341D" w:rsidRPr="008364C4" w:rsidRDefault="0090341D" w:rsidP="00B112A9">
      <w:pPr>
        <w:spacing w:after="0" w:line="360" w:lineRule="auto"/>
        <w:ind w:firstLine="709"/>
        <w:jc w:val="both"/>
        <w:rPr>
          <w:rFonts w:ascii="Times New Roman" w:hAnsi="Times New Roman"/>
          <w:b/>
          <w:sz w:val="28"/>
          <w:szCs w:val="28"/>
        </w:rPr>
      </w:pP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the Commission for Personal Data Protection continued to develop effective cooperation with both international and national institutions, and representatives of higher education institutions and non-governmental organizations in the country.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CPDP, represented by its Chairperson  - </w:t>
      </w:r>
      <w:proofErr w:type="spellStart"/>
      <w:r w:rsidRPr="008364C4">
        <w:rPr>
          <w:rFonts w:ascii="Times New Roman" w:hAnsi="Times New Roman"/>
          <w:sz w:val="28"/>
        </w:rPr>
        <w:t>Ms.</w:t>
      </w:r>
      <w:proofErr w:type="spellEnd"/>
      <w:r w:rsidRPr="008364C4">
        <w:rPr>
          <w:rFonts w:ascii="Times New Roman" w:hAnsi="Times New Roman"/>
          <w:sz w:val="28"/>
        </w:rPr>
        <w:t xml:space="preserve"> Veneta Shopova, took part in the discussion organized by the Council for Electronic Media on the subject matter of "Protecting Individual Privacy in the Business of Media Service Providers", which was held on 21 February 2013 in </w:t>
      </w:r>
      <w:proofErr w:type="spellStart"/>
      <w:r w:rsidRPr="008364C4">
        <w:rPr>
          <w:rFonts w:ascii="Times New Roman" w:hAnsi="Times New Roman"/>
          <w:sz w:val="28"/>
        </w:rPr>
        <w:t>Matty</w:t>
      </w:r>
      <w:proofErr w:type="spellEnd"/>
      <w:r w:rsidRPr="008364C4">
        <w:rPr>
          <w:rFonts w:ascii="Times New Roman" w:hAnsi="Times New Roman"/>
          <w:sz w:val="28"/>
        </w:rPr>
        <w:t xml:space="preserve"> Hall, National Palace of Culture.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her speech </w:t>
      </w:r>
      <w:proofErr w:type="spellStart"/>
      <w:r w:rsidRPr="008364C4">
        <w:rPr>
          <w:rFonts w:ascii="Times New Roman" w:hAnsi="Times New Roman"/>
          <w:sz w:val="28"/>
        </w:rPr>
        <w:t>Ms.</w:t>
      </w:r>
      <w:proofErr w:type="spellEnd"/>
      <w:r w:rsidRPr="008364C4">
        <w:rPr>
          <w:rFonts w:ascii="Times New Roman" w:hAnsi="Times New Roman"/>
          <w:sz w:val="28"/>
        </w:rPr>
        <w:t xml:space="preserve"> Shopova emphasized the demand and the establishment of the desired balance between the right to privacy and the constitutionally protected right to freedom of speech and the public interest. She discussed a number of case studies of the Commission for Personal Data Protection. At the discussion the Chairperson of CPDP explained that the complaints of individuals against media are significantly less in number than the other complaints that are received and reviewed by the Commission.</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event was attended by relevant specialists from different fields - psychologists, social researchers, media experts, human rights defenders, civil associations, electronic and other media. The discussion initiated by the Bulgarian media regulator addressed the following issues: when the two constitutional rights intersect; where </w:t>
      </w:r>
      <w:r w:rsidR="00566B45">
        <w:rPr>
          <w:rFonts w:ascii="Times New Roman" w:hAnsi="Times New Roman"/>
          <w:sz w:val="28"/>
        </w:rPr>
        <w:t xml:space="preserve">is </w:t>
      </w:r>
      <w:r w:rsidRPr="008364C4">
        <w:rPr>
          <w:rFonts w:ascii="Times New Roman" w:hAnsi="Times New Roman"/>
          <w:sz w:val="28"/>
        </w:rPr>
        <w:t xml:space="preserve">the boundary between the </w:t>
      </w:r>
      <w:r w:rsidR="00566B45">
        <w:rPr>
          <w:rFonts w:ascii="Times New Roman" w:hAnsi="Times New Roman"/>
          <w:sz w:val="28"/>
        </w:rPr>
        <w:t>in depth disclosure of data</w:t>
      </w:r>
      <w:r w:rsidRPr="00DD35A2">
        <w:rPr>
          <w:rFonts w:ascii="Times New Roman" w:hAnsi="Times New Roman"/>
          <w:color w:val="FF0000"/>
          <w:sz w:val="28"/>
        </w:rPr>
        <w:t xml:space="preserve"> </w:t>
      </w:r>
      <w:r w:rsidRPr="008364C4">
        <w:rPr>
          <w:rFonts w:ascii="Times New Roman" w:hAnsi="Times New Roman"/>
          <w:sz w:val="28"/>
        </w:rPr>
        <w:t xml:space="preserve">and the editorial responsibility for </w:t>
      </w:r>
      <w:r w:rsidR="00566B45">
        <w:rPr>
          <w:rFonts w:ascii="Times New Roman" w:hAnsi="Times New Roman"/>
          <w:sz w:val="28"/>
        </w:rPr>
        <w:t>respecting the privacy</w:t>
      </w:r>
      <w:r w:rsidRPr="008364C4">
        <w:rPr>
          <w:rFonts w:ascii="Times New Roman" w:hAnsi="Times New Roman"/>
          <w:sz w:val="28"/>
        </w:rPr>
        <w:t xml:space="preserve">; when </w:t>
      </w:r>
      <w:r w:rsidR="00566B45" w:rsidRPr="00566B45">
        <w:rPr>
          <w:rFonts w:ascii="Times New Roman" w:hAnsi="Times New Roman"/>
          <w:sz w:val="28"/>
        </w:rPr>
        <w:t xml:space="preserve">the intrusion in the privacy </w:t>
      </w:r>
      <w:r w:rsidRPr="008364C4">
        <w:rPr>
          <w:rFonts w:ascii="Times New Roman" w:hAnsi="Times New Roman"/>
          <w:sz w:val="28"/>
        </w:rPr>
        <w:t>is justified and how much is the weight of the public interest; how to show children and mentally ill and whether the consent of their relatives actually ensures protection of their interests.</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CPDP was a co-organizer of the conference "Protection of Personal Data in the Context of Information Security" together with the National Military University "</w:t>
      </w:r>
      <w:proofErr w:type="spellStart"/>
      <w:r w:rsidRPr="008364C4">
        <w:rPr>
          <w:rFonts w:ascii="Times New Roman" w:hAnsi="Times New Roman"/>
          <w:sz w:val="28"/>
        </w:rPr>
        <w:t>Vasil</w:t>
      </w:r>
      <w:proofErr w:type="spellEnd"/>
      <w:r w:rsidRPr="008364C4">
        <w:rPr>
          <w:rFonts w:ascii="Times New Roman" w:hAnsi="Times New Roman"/>
          <w:sz w:val="28"/>
        </w:rPr>
        <w:t xml:space="preserve"> </w:t>
      </w:r>
      <w:proofErr w:type="spellStart"/>
      <w:r w:rsidRPr="008364C4">
        <w:rPr>
          <w:rFonts w:ascii="Times New Roman" w:hAnsi="Times New Roman"/>
          <w:sz w:val="28"/>
        </w:rPr>
        <w:t>Levski</w:t>
      </w:r>
      <w:proofErr w:type="spellEnd"/>
      <w:r w:rsidRPr="008364C4">
        <w:rPr>
          <w:rFonts w:ascii="Times New Roman" w:hAnsi="Times New Roman"/>
          <w:sz w:val="28"/>
        </w:rPr>
        <w:t>" - Faculty of Artillery, Anti-Aircraft Defence and Communications and Information Systems, Department of Information Security, and the State Commission on Information Security. The event was held on 6 and 7 June 2013 in the town of Shumen.</w:t>
      </w:r>
    </w:p>
    <w:p w:rsidR="0023795E" w:rsidRPr="00303874" w:rsidRDefault="00587384" w:rsidP="00303874">
      <w:pPr>
        <w:spacing w:after="0" w:line="360" w:lineRule="auto"/>
        <w:ind w:firstLine="709"/>
        <w:jc w:val="both"/>
        <w:rPr>
          <w:rFonts w:ascii="Times New Roman" w:hAnsi="Times New Roman"/>
          <w:sz w:val="28"/>
          <w:lang w:val="bg-BG"/>
        </w:rPr>
      </w:pPr>
      <w:r w:rsidRPr="008364C4">
        <w:rPr>
          <w:rFonts w:ascii="Times New Roman" w:hAnsi="Times New Roman"/>
          <w:sz w:val="28"/>
        </w:rPr>
        <w:t xml:space="preserve">The Chairperson of the Commission for Personal Data Protection - </w:t>
      </w:r>
      <w:proofErr w:type="spellStart"/>
      <w:r w:rsidRPr="008364C4">
        <w:rPr>
          <w:rFonts w:ascii="Times New Roman" w:hAnsi="Times New Roman"/>
          <w:sz w:val="28"/>
        </w:rPr>
        <w:t>Ms.</w:t>
      </w:r>
      <w:proofErr w:type="spellEnd"/>
      <w:r w:rsidRPr="008364C4">
        <w:rPr>
          <w:rFonts w:ascii="Times New Roman" w:hAnsi="Times New Roman"/>
          <w:sz w:val="28"/>
        </w:rPr>
        <w:t xml:space="preserve"> Veneta Shopova, presented a paper entitled "State policy in the sphere of personal data protection".</w:t>
      </w:r>
    </w:p>
    <w:p w:rsidR="00FB64A3" w:rsidRPr="00FB64A3" w:rsidRDefault="00587384" w:rsidP="00FB64A3">
      <w:pPr>
        <w:spacing w:after="0" w:line="360" w:lineRule="auto"/>
        <w:ind w:firstLine="709"/>
        <w:jc w:val="both"/>
        <w:rPr>
          <w:rFonts w:ascii="Times New Roman" w:hAnsi="Times New Roman"/>
          <w:sz w:val="28"/>
        </w:rPr>
      </w:pPr>
      <w:r w:rsidRPr="008364C4">
        <w:rPr>
          <w:rFonts w:ascii="Times New Roman" w:hAnsi="Times New Roman"/>
          <w:sz w:val="28"/>
        </w:rPr>
        <w:t xml:space="preserve">"The implementation of the state policy in </w:t>
      </w:r>
      <w:r w:rsidR="00303874">
        <w:rPr>
          <w:rFonts w:ascii="Times New Roman" w:hAnsi="Times New Roman"/>
          <w:sz w:val="28"/>
          <w:lang w:val="en-US"/>
        </w:rPr>
        <w:t xml:space="preserve">the </w:t>
      </w:r>
      <w:r w:rsidRPr="008364C4">
        <w:rPr>
          <w:rFonts w:ascii="Times New Roman" w:hAnsi="Times New Roman"/>
          <w:sz w:val="28"/>
        </w:rPr>
        <w:t>personal data protection</w:t>
      </w:r>
      <w:r w:rsidR="00303874">
        <w:rPr>
          <w:rFonts w:ascii="Times New Roman" w:hAnsi="Times New Roman"/>
          <w:sz w:val="28"/>
        </w:rPr>
        <w:t xml:space="preserve"> field</w:t>
      </w:r>
      <w:r w:rsidRPr="008364C4">
        <w:rPr>
          <w:rFonts w:ascii="Times New Roman" w:hAnsi="Times New Roman"/>
          <w:sz w:val="28"/>
        </w:rPr>
        <w:t xml:space="preserve"> is a continuous process that involves effective functioning of the supervisory authority at the national level, assessment of public attitudes, application of adequate prevention and exercising enhanced control</w:t>
      </w:r>
      <w:r w:rsidRPr="00303874">
        <w:rPr>
          <w:rFonts w:ascii="Times New Roman" w:hAnsi="Times New Roman"/>
          <w:color w:val="FF0000"/>
          <w:sz w:val="28"/>
        </w:rPr>
        <w:t xml:space="preserve">. </w:t>
      </w:r>
      <w:r w:rsidR="00FB64A3" w:rsidRPr="00FB64A3">
        <w:rPr>
          <w:rFonts w:ascii="Times New Roman" w:hAnsi="Times New Roman"/>
          <w:sz w:val="28"/>
        </w:rPr>
        <w:t xml:space="preserve">An important element of the policy is the undertaken </w:t>
      </w:r>
      <w:proofErr w:type="spellStart"/>
      <w:r w:rsidR="00FB64A3" w:rsidRPr="00FB64A3">
        <w:rPr>
          <w:rFonts w:ascii="Times New Roman" w:hAnsi="Times New Roman"/>
          <w:sz w:val="28"/>
        </w:rPr>
        <w:t>actrions</w:t>
      </w:r>
      <w:proofErr w:type="spellEnd"/>
      <w:r w:rsidR="00FB64A3" w:rsidRPr="00FB64A3">
        <w:rPr>
          <w:rFonts w:ascii="Times New Roman" w:hAnsi="Times New Roman"/>
          <w:sz w:val="28"/>
        </w:rPr>
        <w:t xml:space="preserve"> aiming at awakening </w:t>
      </w:r>
      <w:r w:rsidRPr="00FB64A3">
        <w:rPr>
          <w:rFonts w:ascii="Times New Roman" w:hAnsi="Times New Roman"/>
          <w:sz w:val="28"/>
        </w:rPr>
        <w:t>the self-responsibility of all parties involved:</w:t>
      </w:r>
      <w:r w:rsidRPr="008364C4">
        <w:rPr>
          <w:rFonts w:ascii="Times New Roman" w:hAnsi="Times New Roman"/>
          <w:sz w:val="28"/>
        </w:rPr>
        <w:t> individual - data controller - supervisory authority." said the Chairperson of CPDP.</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She briefly introduced the participants in the forum with the status, the general and specific powers of the institution and the components constituting the stat</w:t>
      </w:r>
      <w:r w:rsidR="00303874">
        <w:rPr>
          <w:rFonts w:ascii="Times New Roman" w:hAnsi="Times New Roman"/>
          <w:sz w:val="28"/>
        </w:rPr>
        <w:t xml:space="preserve">e policy in the </w:t>
      </w:r>
      <w:r w:rsidRPr="008364C4">
        <w:rPr>
          <w:rFonts w:ascii="Times New Roman" w:hAnsi="Times New Roman"/>
          <w:sz w:val="28"/>
        </w:rPr>
        <w:t>data protection</w:t>
      </w:r>
      <w:r w:rsidR="00303874">
        <w:rPr>
          <w:rFonts w:ascii="Times New Roman" w:hAnsi="Times New Roman"/>
          <w:sz w:val="28"/>
        </w:rPr>
        <w:t xml:space="preserve"> field</w:t>
      </w:r>
      <w:r w:rsidRPr="008364C4">
        <w:rPr>
          <w:rFonts w:ascii="Times New Roman" w:hAnsi="Times New Roman"/>
          <w:sz w:val="28"/>
        </w:rPr>
        <w:t xml:space="preserve">. Special attention was paid to the thematic and </w:t>
      </w:r>
      <w:proofErr w:type="spellStart"/>
      <w:r w:rsidRPr="008364C4">
        <w:rPr>
          <w:rFonts w:ascii="Times New Roman" w:hAnsi="Times New Roman"/>
          <w:sz w:val="28"/>
        </w:rPr>
        <w:t>sectoral</w:t>
      </w:r>
      <w:proofErr w:type="spellEnd"/>
      <w:r w:rsidRPr="008364C4">
        <w:rPr>
          <w:rFonts w:ascii="Times New Roman" w:hAnsi="Times New Roman"/>
          <w:sz w:val="28"/>
        </w:rPr>
        <w:t xml:space="preserve"> approach in the analysis of problems and the adequate prevention in this area. Different methods and initiatives were discussed, which are used by the Commission in the </w:t>
      </w:r>
      <w:r w:rsidR="00303874">
        <w:rPr>
          <w:rFonts w:ascii="Times New Roman" w:hAnsi="Times New Roman"/>
          <w:sz w:val="28"/>
        </w:rPr>
        <w:t xml:space="preserve">exercising </w:t>
      </w:r>
      <w:r w:rsidRPr="008364C4">
        <w:rPr>
          <w:rFonts w:ascii="Times New Roman" w:hAnsi="Times New Roman"/>
          <w:sz w:val="28"/>
        </w:rPr>
        <w:t>of its preventive activities – educational and i</w:t>
      </w:r>
      <w:r w:rsidR="00303874">
        <w:rPr>
          <w:rFonts w:ascii="Times New Roman" w:hAnsi="Times New Roman"/>
          <w:sz w:val="28"/>
        </w:rPr>
        <w:t xml:space="preserve">nformation campaigns, </w:t>
      </w:r>
      <w:r w:rsidRPr="008364C4">
        <w:rPr>
          <w:rFonts w:ascii="Times New Roman" w:hAnsi="Times New Roman"/>
          <w:sz w:val="28"/>
        </w:rPr>
        <w:t>coordination</w:t>
      </w:r>
      <w:r w:rsidR="00303874">
        <w:rPr>
          <w:rFonts w:ascii="Times New Roman" w:hAnsi="Times New Roman"/>
          <w:sz w:val="28"/>
        </w:rPr>
        <w:t xml:space="preserve"> policy</w:t>
      </w:r>
      <w:r w:rsidRPr="008364C4">
        <w:rPr>
          <w:rFonts w:ascii="Times New Roman" w:hAnsi="Times New Roman"/>
          <w:sz w:val="28"/>
        </w:rPr>
        <w:t xml:space="preserve"> with other government institutions, imposition of uniform</w:t>
      </w:r>
      <w:r w:rsidR="00303874">
        <w:rPr>
          <w:rFonts w:ascii="Times New Roman" w:hAnsi="Times New Roman"/>
          <w:sz w:val="28"/>
        </w:rPr>
        <w:t xml:space="preserve"> data protection</w:t>
      </w:r>
      <w:r w:rsidRPr="008364C4">
        <w:rPr>
          <w:rFonts w:ascii="Times New Roman" w:hAnsi="Times New Roman"/>
          <w:sz w:val="28"/>
        </w:rPr>
        <w:t xml:space="preserve"> standards.</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third major component of state policy is the increased control. It runs independently and in parallel to the preventive activities. It may be planned, to be implemented according to the particular case, or </w:t>
      </w:r>
      <w:r w:rsidRPr="00FB64A3">
        <w:rPr>
          <w:rFonts w:ascii="Times New Roman" w:hAnsi="Times New Roman"/>
          <w:sz w:val="28"/>
        </w:rPr>
        <w:t xml:space="preserve">to carry out follow-up monitoring. </w:t>
      </w:r>
      <w:r w:rsidRPr="008364C4">
        <w:rPr>
          <w:rFonts w:ascii="Times New Roman" w:hAnsi="Times New Roman"/>
          <w:sz w:val="28"/>
        </w:rPr>
        <w:t xml:space="preserve">The aim is strict compliance with the mandatory provisions of the law, in order to prevent the repetition of certain malpractices and irregularities", revealed </w:t>
      </w:r>
      <w:proofErr w:type="spellStart"/>
      <w:r w:rsidRPr="008364C4">
        <w:rPr>
          <w:rFonts w:ascii="Times New Roman" w:hAnsi="Times New Roman"/>
          <w:sz w:val="28"/>
        </w:rPr>
        <w:t>Ms.</w:t>
      </w:r>
      <w:proofErr w:type="spellEnd"/>
      <w:r w:rsidRPr="008364C4">
        <w:rPr>
          <w:rFonts w:ascii="Times New Roman" w:hAnsi="Times New Roman"/>
          <w:sz w:val="28"/>
        </w:rPr>
        <w:t xml:space="preserve"> </w:t>
      </w:r>
      <w:r w:rsidRPr="008364C4">
        <w:rPr>
          <w:rFonts w:ascii="Times New Roman" w:hAnsi="Times New Roman"/>
          <w:sz w:val="28"/>
        </w:rPr>
        <w:lastRenderedPageBreak/>
        <w:t>Shopova and presented a number of mechanisms used by the supervisory authority to exercise its control functions.</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her report, the Chairperson of CPDP covered the current European legislative reform in the </w:t>
      </w:r>
      <w:r w:rsidR="00303874">
        <w:rPr>
          <w:rFonts w:ascii="Times New Roman" w:hAnsi="Times New Roman"/>
          <w:sz w:val="28"/>
        </w:rPr>
        <w:t xml:space="preserve">personal data protection </w:t>
      </w:r>
      <w:r w:rsidRPr="008364C4">
        <w:rPr>
          <w:rFonts w:ascii="Times New Roman" w:hAnsi="Times New Roman"/>
          <w:sz w:val="28"/>
        </w:rPr>
        <w:t>area</w:t>
      </w:r>
      <w:r w:rsidR="00303874">
        <w:rPr>
          <w:rFonts w:ascii="Times New Roman" w:hAnsi="Times New Roman"/>
          <w:sz w:val="28"/>
        </w:rPr>
        <w:t xml:space="preserve">, the main purpose of which is </w:t>
      </w:r>
      <w:r w:rsidRPr="008364C4">
        <w:rPr>
          <w:rFonts w:ascii="Times New Roman" w:hAnsi="Times New Roman"/>
          <w:sz w:val="28"/>
        </w:rPr>
        <w:t>to ensure the protection and security of data without hampering their freedom of movement. "Europe is on the verge of introducing the first high, uniform</w:t>
      </w:r>
      <w:r w:rsidR="00303874">
        <w:rPr>
          <w:rFonts w:ascii="Times New Roman" w:hAnsi="Times New Roman"/>
          <w:sz w:val="28"/>
        </w:rPr>
        <w:t xml:space="preserve"> personal data protection</w:t>
      </w:r>
      <w:r w:rsidRPr="008364C4">
        <w:rPr>
          <w:rFonts w:ascii="Times New Roman" w:hAnsi="Times New Roman"/>
          <w:sz w:val="28"/>
        </w:rPr>
        <w:t xml:space="preserve"> standard, applicable to all international companies offering goods and services in the European internal market and which will find its projection in both national policy and the practice, and in privacy </w:t>
      </w:r>
      <w:r w:rsidR="00FB64A3" w:rsidRPr="00FB64A3">
        <w:rPr>
          <w:rFonts w:ascii="Times New Roman" w:hAnsi="Times New Roman"/>
          <w:sz w:val="28"/>
        </w:rPr>
        <w:t xml:space="preserve">taking into account </w:t>
      </w:r>
      <w:r w:rsidRPr="008364C4">
        <w:rPr>
          <w:rFonts w:ascii="Times New Roman" w:hAnsi="Times New Roman"/>
          <w:sz w:val="28"/>
        </w:rPr>
        <w:t xml:space="preserve">the emerging global networks", concluded </w:t>
      </w:r>
      <w:proofErr w:type="spellStart"/>
      <w:r w:rsidRPr="008364C4">
        <w:rPr>
          <w:rFonts w:ascii="Times New Roman" w:hAnsi="Times New Roman"/>
          <w:sz w:val="28"/>
        </w:rPr>
        <w:t>Ms.</w:t>
      </w:r>
      <w:proofErr w:type="spellEnd"/>
      <w:r w:rsidRPr="008364C4">
        <w:rPr>
          <w:rFonts w:ascii="Times New Roman" w:hAnsi="Times New Roman"/>
          <w:sz w:val="28"/>
        </w:rPr>
        <w:t xml:space="preserve"> Shopova.</w:t>
      </w:r>
    </w:p>
    <w:p w:rsidR="00587384" w:rsidRPr="008364C4" w:rsidRDefault="00303874" w:rsidP="00261515">
      <w:pPr>
        <w:tabs>
          <w:tab w:val="left" w:pos="993"/>
        </w:tabs>
        <w:spacing w:after="0" w:line="360" w:lineRule="auto"/>
        <w:ind w:firstLine="709"/>
        <w:jc w:val="both"/>
        <w:rPr>
          <w:rFonts w:ascii="Times New Roman" w:hAnsi="Times New Roman"/>
          <w:sz w:val="28"/>
          <w:szCs w:val="28"/>
        </w:rPr>
      </w:pPr>
      <w:r>
        <w:rPr>
          <w:rFonts w:ascii="Times New Roman" w:hAnsi="Times New Roman"/>
          <w:sz w:val="28"/>
        </w:rPr>
        <w:t xml:space="preserve">The report of Prof. </w:t>
      </w:r>
      <w:proofErr w:type="spellStart"/>
      <w:r>
        <w:rPr>
          <w:rFonts w:ascii="Times New Roman" w:hAnsi="Times New Roman"/>
          <w:sz w:val="28"/>
        </w:rPr>
        <w:t>DSc</w:t>
      </w:r>
      <w:r w:rsidR="00FB64A3">
        <w:rPr>
          <w:rFonts w:ascii="Times New Roman" w:hAnsi="Times New Roman"/>
          <w:sz w:val="28"/>
        </w:rPr>
        <w:t>C</w:t>
      </w:r>
      <w:proofErr w:type="spellEnd"/>
      <w:r>
        <w:rPr>
          <w:rFonts w:ascii="Times New Roman" w:hAnsi="Times New Roman"/>
          <w:sz w:val="28"/>
        </w:rPr>
        <w:t xml:space="preserve"> </w:t>
      </w:r>
      <w:r w:rsidR="00587384" w:rsidRPr="008364C4">
        <w:rPr>
          <w:rFonts w:ascii="Times New Roman" w:hAnsi="Times New Roman"/>
          <w:sz w:val="28"/>
        </w:rPr>
        <w:t>Veselin Tselkov - Member of the CPDP, entitled "Minimum technical and organizational requirements for the protection of personal data" addressed some of the major problems associated with the new information technology and the protection of personal data, and the new fundamental definitions are based on NIST SP 800-145, dated September 2011.</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the context of new challenges, taking into account the modern European and international trends in the </w:t>
      </w:r>
      <w:r w:rsidR="00303874">
        <w:rPr>
          <w:rFonts w:ascii="Times New Roman" w:hAnsi="Times New Roman"/>
          <w:sz w:val="28"/>
        </w:rPr>
        <w:t xml:space="preserve">personal data protection </w:t>
      </w:r>
      <w:r w:rsidRPr="008364C4">
        <w:rPr>
          <w:rFonts w:ascii="Times New Roman" w:hAnsi="Times New Roman"/>
          <w:sz w:val="28"/>
        </w:rPr>
        <w:t>field (complying with the term "big data", the right to be forgotten and conducting impact assessment), the Commission adopted a new Ordinance 1 on the minimum level of technical and organizational measures. It defines a new terminology, s</w:t>
      </w:r>
      <w:r w:rsidR="00303874">
        <w:rPr>
          <w:rFonts w:ascii="Times New Roman" w:hAnsi="Times New Roman"/>
          <w:sz w:val="28"/>
        </w:rPr>
        <w:t xml:space="preserve">uch as: objectives and </w:t>
      </w:r>
      <w:r w:rsidRPr="008364C4">
        <w:rPr>
          <w:rFonts w:ascii="Times New Roman" w:hAnsi="Times New Roman"/>
          <w:sz w:val="28"/>
        </w:rPr>
        <w:t>data protection</w:t>
      </w:r>
      <w:r w:rsidR="00303874">
        <w:rPr>
          <w:rFonts w:ascii="Times New Roman" w:hAnsi="Times New Roman"/>
          <w:sz w:val="28"/>
        </w:rPr>
        <w:t xml:space="preserve"> type, assessment and </w:t>
      </w:r>
      <w:r w:rsidRPr="008364C4">
        <w:rPr>
          <w:rFonts w:ascii="Times New Roman" w:hAnsi="Times New Roman"/>
          <w:sz w:val="28"/>
        </w:rPr>
        <w:t>impact</w:t>
      </w:r>
      <w:r w:rsidR="00303874">
        <w:rPr>
          <w:rFonts w:ascii="Times New Roman" w:hAnsi="Times New Roman"/>
          <w:sz w:val="28"/>
        </w:rPr>
        <w:t xml:space="preserve"> level</w:t>
      </w:r>
      <w:r w:rsidRPr="008364C4">
        <w:rPr>
          <w:rFonts w:ascii="Times New Roman" w:hAnsi="Times New Roman"/>
          <w:sz w:val="28"/>
        </w:rPr>
        <w:t>, and objectives of data protection – ensuring their confidentiality, integrity and availability. To relieve the businesses and citizens, the impact analysis is limited to the comparison of potential adverse effects with standard situations, already recognized as threats and described as levels of impact.</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Data protection in the context of information security is the </w:t>
      </w:r>
      <w:r w:rsidR="00FB64A3" w:rsidRPr="00FB64A3">
        <w:rPr>
          <w:rFonts w:ascii="Times New Roman" w:hAnsi="Times New Roman"/>
          <w:sz w:val="28"/>
        </w:rPr>
        <w:t>main focus of the revision</w:t>
      </w:r>
      <w:r w:rsidRPr="00FB64A3">
        <w:rPr>
          <w:rFonts w:ascii="Times New Roman" w:hAnsi="Times New Roman"/>
          <w:sz w:val="28"/>
        </w:rPr>
        <w:t xml:space="preserve"> </w:t>
      </w:r>
      <w:r w:rsidR="00FB64A3" w:rsidRPr="00FB64A3">
        <w:rPr>
          <w:rFonts w:ascii="Times New Roman" w:hAnsi="Times New Roman"/>
          <w:sz w:val="28"/>
        </w:rPr>
        <w:t>o</w:t>
      </w:r>
      <w:r w:rsidR="00FB64A3">
        <w:rPr>
          <w:rFonts w:ascii="Times New Roman" w:hAnsi="Times New Roman"/>
          <w:sz w:val="28"/>
        </w:rPr>
        <w:t xml:space="preserve">f </w:t>
      </w:r>
      <w:r w:rsidRPr="008364C4">
        <w:rPr>
          <w:rFonts w:ascii="Times New Roman" w:hAnsi="Times New Roman"/>
          <w:sz w:val="28"/>
        </w:rPr>
        <w:t>the existing legislative framework. It is expected that in the fin</w:t>
      </w:r>
      <w:r w:rsidR="00303874">
        <w:rPr>
          <w:rFonts w:ascii="Times New Roman" w:hAnsi="Times New Roman"/>
          <w:sz w:val="28"/>
        </w:rPr>
        <w:t xml:space="preserve">al version of the draft general Personal Data Protection Regulation </w:t>
      </w:r>
      <w:r w:rsidRPr="008364C4">
        <w:rPr>
          <w:rFonts w:ascii="Times New Roman" w:hAnsi="Times New Roman"/>
          <w:sz w:val="28"/>
        </w:rPr>
        <w:t xml:space="preserve">the principles for data processing will </w:t>
      </w:r>
      <w:r w:rsidR="00FB64A3" w:rsidRPr="00FB64A3">
        <w:rPr>
          <w:rFonts w:ascii="Times New Roman" w:hAnsi="Times New Roman"/>
          <w:sz w:val="28"/>
        </w:rPr>
        <w:t>be extended</w:t>
      </w:r>
      <w:r w:rsidRPr="00FB64A3">
        <w:rPr>
          <w:rFonts w:ascii="Times New Roman" w:hAnsi="Times New Roman"/>
          <w:sz w:val="28"/>
        </w:rPr>
        <w:t xml:space="preserve"> </w:t>
      </w:r>
      <w:r w:rsidRPr="008364C4">
        <w:rPr>
          <w:rFonts w:ascii="Times New Roman" w:hAnsi="Times New Roman"/>
          <w:sz w:val="28"/>
        </w:rPr>
        <w:t xml:space="preserve">with a new principle: data processing should be </w:t>
      </w:r>
      <w:r w:rsidRPr="008364C4">
        <w:rPr>
          <w:rFonts w:ascii="Times New Roman" w:hAnsi="Times New Roman"/>
          <w:sz w:val="28"/>
        </w:rPr>
        <w:lastRenderedPageBreak/>
        <w:t xml:space="preserve">done in a manner that ensures adequate security of data and their privacy, revealed the report of Prof. Tselkov.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event in the town of Shumen was opened by Prof. </w:t>
      </w:r>
      <w:proofErr w:type="spellStart"/>
      <w:r w:rsidRPr="008364C4">
        <w:rPr>
          <w:rFonts w:ascii="Times New Roman" w:hAnsi="Times New Roman"/>
          <w:sz w:val="28"/>
        </w:rPr>
        <w:t>Manol</w:t>
      </w:r>
      <w:proofErr w:type="spellEnd"/>
      <w:r w:rsidRPr="008364C4">
        <w:rPr>
          <w:rFonts w:ascii="Times New Roman" w:hAnsi="Times New Roman"/>
          <w:sz w:val="28"/>
        </w:rPr>
        <w:t xml:space="preserve"> </w:t>
      </w:r>
      <w:proofErr w:type="spellStart"/>
      <w:r w:rsidRPr="008364C4">
        <w:rPr>
          <w:rFonts w:ascii="Times New Roman" w:hAnsi="Times New Roman"/>
          <w:sz w:val="28"/>
        </w:rPr>
        <w:t>Mlechenkov</w:t>
      </w:r>
      <w:proofErr w:type="spellEnd"/>
      <w:r w:rsidRPr="008364C4">
        <w:rPr>
          <w:rFonts w:ascii="Times New Roman" w:hAnsi="Times New Roman"/>
          <w:sz w:val="28"/>
        </w:rPr>
        <w:t xml:space="preserve">, </w:t>
      </w:r>
      <w:proofErr w:type="spellStart"/>
      <w:r w:rsidRPr="008364C4">
        <w:rPr>
          <w:rFonts w:ascii="Times New Roman" w:hAnsi="Times New Roman"/>
          <w:sz w:val="28"/>
        </w:rPr>
        <w:t>DScMil</w:t>
      </w:r>
      <w:proofErr w:type="spellEnd"/>
      <w:r w:rsidRPr="008364C4">
        <w:rPr>
          <w:rFonts w:ascii="Times New Roman" w:hAnsi="Times New Roman"/>
          <w:sz w:val="28"/>
        </w:rPr>
        <w:t xml:space="preserve">, and the greeting of Assoc. Prof. </w:t>
      </w:r>
      <w:proofErr w:type="spellStart"/>
      <w:r w:rsidRPr="008364C4">
        <w:rPr>
          <w:rFonts w:ascii="Times New Roman" w:hAnsi="Times New Roman"/>
          <w:sz w:val="28"/>
        </w:rPr>
        <w:t>Nelko</w:t>
      </w:r>
      <w:proofErr w:type="spellEnd"/>
      <w:r w:rsidRPr="008364C4">
        <w:rPr>
          <w:rFonts w:ascii="Times New Roman" w:hAnsi="Times New Roman"/>
          <w:sz w:val="28"/>
        </w:rPr>
        <w:t xml:space="preserve"> </w:t>
      </w:r>
      <w:proofErr w:type="spellStart"/>
      <w:r w:rsidRPr="008364C4">
        <w:rPr>
          <w:rFonts w:ascii="Times New Roman" w:hAnsi="Times New Roman"/>
          <w:sz w:val="28"/>
        </w:rPr>
        <w:t>Nenov</w:t>
      </w:r>
      <w:proofErr w:type="spellEnd"/>
      <w:r w:rsidRPr="008364C4">
        <w:rPr>
          <w:rFonts w:ascii="Times New Roman" w:hAnsi="Times New Roman"/>
          <w:sz w:val="28"/>
        </w:rPr>
        <w:t xml:space="preserve">, PhD – Dean of the Faculty of Artillery, Anti-Aircraft Defence and Communications and Information Systems – Shumen. Reports and presentations were also given by representatives of Protection of Classified Information Directorate at the State Commission on Information Security, the Commission for Communications Regulation and the Law and Internet Foundation.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conference was attended by the interim governor of Shumen Region – </w:t>
      </w:r>
      <w:proofErr w:type="spellStart"/>
      <w:r w:rsidRPr="008364C4">
        <w:rPr>
          <w:rFonts w:ascii="Times New Roman" w:hAnsi="Times New Roman"/>
          <w:sz w:val="28"/>
        </w:rPr>
        <w:t>Ivailo</w:t>
      </w:r>
      <w:proofErr w:type="spellEnd"/>
      <w:r w:rsidRPr="008364C4">
        <w:rPr>
          <w:rFonts w:ascii="Times New Roman" w:hAnsi="Times New Roman"/>
          <w:sz w:val="28"/>
        </w:rPr>
        <w:t xml:space="preserve"> </w:t>
      </w:r>
      <w:proofErr w:type="spellStart"/>
      <w:r w:rsidRPr="008364C4">
        <w:rPr>
          <w:rFonts w:ascii="Times New Roman" w:hAnsi="Times New Roman"/>
          <w:sz w:val="28"/>
        </w:rPr>
        <w:t>Iliev</w:t>
      </w:r>
      <w:proofErr w:type="spellEnd"/>
      <w:r w:rsidRPr="008364C4">
        <w:rPr>
          <w:rFonts w:ascii="Times New Roman" w:hAnsi="Times New Roman"/>
          <w:sz w:val="28"/>
        </w:rPr>
        <w:t xml:space="preserve">, the local public mediator at Shumen Municipality – Ivan </w:t>
      </w:r>
      <w:proofErr w:type="spellStart"/>
      <w:r w:rsidRPr="008364C4">
        <w:rPr>
          <w:rFonts w:ascii="Times New Roman" w:hAnsi="Times New Roman"/>
          <w:sz w:val="28"/>
        </w:rPr>
        <w:t>Kapralov</w:t>
      </w:r>
      <w:proofErr w:type="spellEnd"/>
      <w:r w:rsidRPr="008364C4">
        <w:rPr>
          <w:rFonts w:ascii="Times New Roman" w:hAnsi="Times New Roman"/>
          <w:sz w:val="28"/>
        </w:rPr>
        <w:t>, representatives of Information Security Directorate at the Ministry of Defence, State Agency for National Security, Executive Agency for Electronic Communications Networks and Information Systems at the Ministry of Transport and Communications, the Ministry of Interior, the Administrative Court - Shumen.</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program of the event also included work by scientific sections – State and Security, Information Security, and Student-PhD, which were attended by managers, teachers, students and doctoral students at the National Mil</w:t>
      </w:r>
      <w:r w:rsidR="00820222">
        <w:rPr>
          <w:rFonts w:ascii="Times New Roman" w:hAnsi="Times New Roman"/>
          <w:sz w:val="28"/>
        </w:rPr>
        <w:t>itary University "</w:t>
      </w:r>
      <w:proofErr w:type="spellStart"/>
      <w:r w:rsidR="00820222">
        <w:rPr>
          <w:rFonts w:ascii="Times New Roman" w:hAnsi="Times New Roman"/>
          <w:sz w:val="28"/>
        </w:rPr>
        <w:t>Vasil</w:t>
      </w:r>
      <w:proofErr w:type="spellEnd"/>
      <w:r w:rsidR="00820222">
        <w:rPr>
          <w:rFonts w:ascii="Times New Roman" w:hAnsi="Times New Roman"/>
          <w:sz w:val="28"/>
        </w:rPr>
        <w:t xml:space="preserve"> </w:t>
      </w:r>
      <w:proofErr w:type="spellStart"/>
      <w:r w:rsidR="00820222">
        <w:rPr>
          <w:rFonts w:ascii="Times New Roman" w:hAnsi="Times New Roman"/>
          <w:sz w:val="28"/>
        </w:rPr>
        <w:t>Levski</w:t>
      </w:r>
      <w:proofErr w:type="spellEnd"/>
      <w:r w:rsidR="00820222">
        <w:rPr>
          <w:rFonts w:ascii="Times New Roman" w:hAnsi="Times New Roman"/>
          <w:sz w:val="28"/>
        </w:rPr>
        <w:t>",</w:t>
      </w:r>
      <w:r w:rsidRPr="008364C4">
        <w:rPr>
          <w:rFonts w:ascii="Times New Roman" w:hAnsi="Times New Roman"/>
          <w:sz w:val="28"/>
        </w:rPr>
        <w:t xml:space="preserve"> Shumen University, </w:t>
      </w:r>
      <w:proofErr w:type="spellStart"/>
      <w:r w:rsidRPr="008364C4">
        <w:rPr>
          <w:rFonts w:ascii="Times New Roman" w:hAnsi="Times New Roman"/>
          <w:sz w:val="28"/>
        </w:rPr>
        <w:t>Veliko</w:t>
      </w:r>
      <w:proofErr w:type="spellEnd"/>
      <w:r w:rsidRPr="008364C4">
        <w:rPr>
          <w:rFonts w:ascii="Times New Roman" w:hAnsi="Times New Roman"/>
          <w:sz w:val="28"/>
        </w:rPr>
        <w:t xml:space="preserve"> </w:t>
      </w:r>
      <w:proofErr w:type="spellStart"/>
      <w:r w:rsidRPr="008364C4">
        <w:rPr>
          <w:rFonts w:ascii="Times New Roman" w:hAnsi="Times New Roman"/>
          <w:sz w:val="28"/>
        </w:rPr>
        <w:t>Turnovo</w:t>
      </w:r>
      <w:proofErr w:type="spellEnd"/>
      <w:r w:rsidRPr="008364C4">
        <w:rPr>
          <w:rFonts w:ascii="Times New Roman" w:hAnsi="Times New Roman"/>
          <w:sz w:val="28"/>
        </w:rPr>
        <w:t xml:space="preserve"> University and </w:t>
      </w:r>
      <w:proofErr w:type="spellStart"/>
      <w:r w:rsidRPr="008364C4">
        <w:rPr>
          <w:rFonts w:ascii="Times New Roman" w:hAnsi="Times New Roman"/>
          <w:sz w:val="28"/>
        </w:rPr>
        <w:t>Bourgas</w:t>
      </w:r>
      <w:proofErr w:type="spellEnd"/>
      <w:r w:rsidRPr="008364C4">
        <w:rPr>
          <w:rFonts w:ascii="Times New Roman" w:hAnsi="Times New Roman"/>
          <w:sz w:val="28"/>
        </w:rPr>
        <w:t xml:space="preserve"> Free University.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Year 20</w:t>
      </w:r>
      <w:r w:rsidR="00820222">
        <w:rPr>
          <w:rFonts w:ascii="Times New Roman" w:hAnsi="Times New Roman"/>
          <w:sz w:val="28"/>
        </w:rPr>
        <w:t>13 was full of working visits with</w:t>
      </w:r>
      <w:r w:rsidRPr="008364C4">
        <w:rPr>
          <w:rFonts w:ascii="Times New Roman" w:hAnsi="Times New Roman"/>
          <w:sz w:val="28"/>
        </w:rPr>
        <w:t xml:space="preserve"> foreign delegations in order to intensify the co-operation between the Commission and the similar European authorities. </w:t>
      </w:r>
      <w:r w:rsidR="00FB64A3" w:rsidRPr="008963D6">
        <w:rPr>
          <w:rFonts w:ascii="Times New Roman" w:hAnsi="Times New Roman"/>
          <w:sz w:val="28"/>
        </w:rPr>
        <w:t xml:space="preserve">The overall </w:t>
      </w:r>
      <w:r w:rsidR="00820222" w:rsidRPr="008963D6">
        <w:rPr>
          <w:rFonts w:ascii="Times New Roman" w:hAnsi="Times New Roman"/>
          <w:sz w:val="28"/>
        </w:rPr>
        <w:t xml:space="preserve">preparation and </w:t>
      </w:r>
      <w:r w:rsidR="00FB64A3" w:rsidRPr="008963D6">
        <w:rPr>
          <w:rFonts w:ascii="Times New Roman" w:hAnsi="Times New Roman"/>
          <w:sz w:val="28"/>
        </w:rPr>
        <w:t xml:space="preserve">organization </w:t>
      </w:r>
      <w:r w:rsidRPr="008963D6">
        <w:rPr>
          <w:rFonts w:ascii="Times New Roman" w:hAnsi="Times New Roman"/>
          <w:sz w:val="28"/>
        </w:rPr>
        <w:t>of the international visits</w:t>
      </w:r>
      <w:r w:rsidRPr="008364C4">
        <w:rPr>
          <w:rFonts w:ascii="Times New Roman" w:hAnsi="Times New Roman"/>
          <w:sz w:val="28"/>
        </w:rPr>
        <w:t>, as well as the provision of favourable conditions for work and recreation of guests</w:t>
      </w:r>
      <w:r w:rsidR="00820222">
        <w:rPr>
          <w:rFonts w:ascii="Times New Roman" w:hAnsi="Times New Roman"/>
          <w:sz w:val="28"/>
        </w:rPr>
        <w:t>,</w:t>
      </w:r>
      <w:r w:rsidRPr="008364C4">
        <w:rPr>
          <w:rFonts w:ascii="Times New Roman" w:hAnsi="Times New Roman"/>
          <w:sz w:val="28"/>
        </w:rPr>
        <w:t xml:space="preserve"> testify for the successful selection of strategies of the institution for building and maintaining effective public relations and the protocol</w:t>
      </w:r>
      <w:r w:rsidR="008963D6">
        <w:rPr>
          <w:rFonts w:ascii="Times New Roman" w:hAnsi="Times New Roman"/>
          <w:sz w:val="28"/>
        </w:rPr>
        <w:t xml:space="preserve"> activities</w:t>
      </w:r>
      <w:r w:rsidRPr="008364C4">
        <w:rPr>
          <w:rFonts w:ascii="Times New Roman" w:hAnsi="Times New Roman"/>
          <w:sz w:val="28"/>
        </w:rPr>
        <w:t xml:space="preserve">.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Following the policy of openness and transparency established over the years, the Chairperson and the Members of the Commission for Personal Data Protection "opened doors" for all interested citizens, data controllers and medi</w:t>
      </w:r>
      <w:r w:rsidR="00820222">
        <w:rPr>
          <w:rFonts w:ascii="Times New Roman" w:hAnsi="Times New Roman"/>
          <w:sz w:val="28"/>
        </w:rPr>
        <w:t xml:space="preserve">a </w:t>
      </w:r>
      <w:r w:rsidR="00820222">
        <w:rPr>
          <w:rFonts w:ascii="Times New Roman" w:hAnsi="Times New Roman"/>
          <w:sz w:val="28"/>
        </w:rPr>
        <w:lastRenderedPageBreak/>
        <w:t>representatives on the Personal</w:t>
      </w:r>
      <w:r w:rsidRPr="008364C4">
        <w:rPr>
          <w:rFonts w:ascii="Times New Roman" w:hAnsi="Times New Roman"/>
          <w:sz w:val="28"/>
        </w:rPr>
        <w:t xml:space="preserve"> Data Protection</w:t>
      </w:r>
      <w:r w:rsidR="00820222">
        <w:rPr>
          <w:rFonts w:ascii="Times New Roman" w:hAnsi="Times New Roman"/>
          <w:sz w:val="28"/>
        </w:rPr>
        <w:t xml:space="preserve"> Day</w:t>
      </w:r>
      <w:r w:rsidRPr="008364C4">
        <w:rPr>
          <w:rFonts w:ascii="Times New Roman" w:hAnsi="Times New Roman"/>
          <w:sz w:val="28"/>
        </w:rPr>
        <w:t xml:space="preserve"> - 28 January. On this date in 1981 the Member States of the Council of Europe signed Convention 108 on the Protection of Individuals with regard to Automatic Processing of Personal Data.</w:t>
      </w:r>
    </w:p>
    <w:p w:rsidR="00587384" w:rsidRPr="00820222" w:rsidRDefault="00587384" w:rsidP="00B112A9">
      <w:pPr>
        <w:spacing w:after="0" w:line="360" w:lineRule="auto"/>
        <w:ind w:firstLine="709"/>
        <w:jc w:val="both"/>
        <w:rPr>
          <w:rFonts w:ascii="Times New Roman" w:hAnsi="Times New Roman"/>
          <w:color w:val="FF0000"/>
          <w:sz w:val="28"/>
          <w:szCs w:val="28"/>
        </w:rPr>
      </w:pPr>
      <w:r w:rsidRPr="008364C4">
        <w:rPr>
          <w:rFonts w:ascii="Times New Roman" w:hAnsi="Times New Roman"/>
          <w:sz w:val="28"/>
        </w:rPr>
        <w:t>Every year CPDP</w:t>
      </w:r>
      <w:r w:rsidR="004A59BE">
        <w:rPr>
          <w:rFonts w:ascii="Times New Roman" w:hAnsi="Times New Roman"/>
          <w:sz w:val="28"/>
        </w:rPr>
        <w:t xml:space="preserve"> </w:t>
      </w:r>
      <w:r w:rsidR="00820222">
        <w:rPr>
          <w:rFonts w:ascii="Times New Roman" w:hAnsi="Times New Roman"/>
          <w:sz w:val="28"/>
        </w:rPr>
        <w:t xml:space="preserve">celebrates the </w:t>
      </w:r>
      <w:r w:rsidRPr="008364C4">
        <w:rPr>
          <w:rFonts w:ascii="Times New Roman" w:hAnsi="Times New Roman"/>
          <w:sz w:val="28"/>
        </w:rPr>
        <w:t>Personal Data Protection</w:t>
      </w:r>
      <w:r w:rsidR="00820222">
        <w:rPr>
          <w:rFonts w:ascii="Times New Roman" w:hAnsi="Times New Roman"/>
          <w:sz w:val="28"/>
        </w:rPr>
        <w:t xml:space="preserve"> Day</w:t>
      </w:r>
      <w:r w:rsidRPr="008364C4">
        <w:rPr>
          <w:rFonts w:ascii="Times New Roman" w:hAnsi="Times New Roman"/>
          <w:sz w:val="28"/>
        </w:rPr>
        <w:t xml:space="preserve"> by conduc</w:t>
      </w:r>
      <w:r w:rsidR="00820222">
        <w:rPr>
          <w:rFonts w:ascii="Times New Roman" w:hAnsi="Times New Roman"/>
          <w:sz w:val="28"/>
        </w:rPr>
        <w:t xml:space="preserve">ting events and various initiatives on different </w:t>
      </w:r>
      <w:r w:rsidRPr="008963D6">
        <w:rPr>
          <w:rFonts w:ascii="Times New Roman" w:hAnsi="Times New Roman"/>
          <w:sz w:val="28"/>
        </w:rPr>
        <w:t>scale</w:t>
      </w:r>
      <w:r w:rsidRPr="00820222">
        <w:rPr>
          <w:rFonts w:ascii="Times New Roman" w:hAnsi="Times New Roman"/>
          <w:color w:val="FF0000"/>
          <w:sz w:val="28"/>
        </w:rPr>
        <w:t xml:space="preserve"> </w:t>
      </w:r>
      <w:r w:rsidRPr="008364C4">
        <w:rPr>
          <w:rFonts w:ascii="Times New Roman" w:hAnsi="Times New Roman"/>
          <w:sz w:val="28"/>
        </w:rPr>
        <w:t xml:space="preserve">with the active </w:t>
      </w:r>
      <w:r w:rsidR="008963D6">
        <w:rPr>
          <w:rFonts w:ascii="Times New Roman" w:hAnsi="Times New Roman"/>
          <w:sz w:val="28"/>
        </w:rPr>
        <w:t>public participation.</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Many citizens, data controllers and media representatives took </w:t>
      </w:r>
      <w:r w:rsidRPr="008963D6">
        <w:rPr>
          <w:rFonts w:ascii="Times New Roman" w:hAnsi="Times New Roman"/>
          <w:sz w:val="28"/>
        </w:rPr>
        <w:t>advantage</w:t>
      </w:r>
      <w:r w:rsidRPr="00820222">
        <w:rPr>
          <w:rFonts w:ascii="Times New Roman" w:hAnsi="Times New Roman"/>
          <w:color w:val="FF0000"/>
          <w:sz w:val="28"/>
        </w:rPr>
        <w:t xml:space="preserve"> </w:t>
      </w:r>
      <w:r w:rsidRPr="008364C4">
        <w:rPr>
          <w:rFonts w:ascii="Times New Roman" w:hAnsi="Times New Roman"/>
          <w:sz w:val="28"/>
        </w:rPr>
        <w:t xml:space="preserve">of the opportunity to ask specific questions, to get expert answers and relevant information on </w:t>
      </w:r>
      <w:r w:rsidR="00820222">
        <w:rPr>
          <w:rFonts w:ascii="Times New Roman" w:hAnsi="Times New Roman"/>
          <w:sz w:val="28"/>
        </w:rPr>
        <w:t xml:space="preserve">personal data protection </w:t>
      </w:r>
      <w:r w:rsidRPr="008364C4">
        <w:rPr>
          <w:rFonts w:ascii="Times New Roman" w:hAnsi="Times New Roman"/>
          <w:sz w:val="28"/>
        </w:rPr>
        <w:t>issues.</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In the open reception of CPDP they were met by representatives of all specialized departments of the institution, who carried out consultations and provided legal assistance on cases related to the Law for Protection of Personal Data, as well as information on the European and international</w:t>
      </w:r>
      <w:r w:rsidR="00820222">
        <w:rPr>
          <w:rFonts w:ascii="Times New Roman" w:hAnsi="Times New Roman"/>
          <w:sz w:val="28"/>
        </w:rPr>
        <w:t xml:space="preserve"> personal data protection</w:t>
      </w:r>
      <w:r w:rsidRPr="008364C4">
        <w:rPr>
          <w:rFonts w:ascii="Times New Roman" w:hAnsi="Times New Roman"/>
          <w:sz w:val="28"/>
        </w:rPr>
        <w:t xml:space="preserve"> legislation, Schengen information System and clarifications on the procedure for registration of data controllers and the register maintained by CPDP - </w:t>
      </w:r>
      <w:proofErr w:type="spellStart"/>
      <w:r w:rsidRPr="008364C4">
        <w:rPr>
          <w:rFonts w:ascii="Times New Roman" w:hAnsi="Times New Roman"/>
          <w:sz w:val="28"/>
        </w:rPr>
        <w:t>eRALD</w:t>
      </w:r>
      <w:proofErr w:type="spellEnd"/>
      <w:r w:rsidRPr="008364C4">
        <w:rPr>
          <w:rFonts w:ascii="Times New Roman" w:hAnsi="Times New Roman"/>
          <w:sz w:val="28"/>
        </w:rPr>
        <w:t xml:space="preserve">.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For the first time this year, in order to celebrate the event, CPDP created a Skype account to directly connect with citizens and media representatives. This is part of the Commission's policy for development and </w:t>
      </w:r>
      <w:r w:rsidR="00820222">
        <w:rPr>
          <w:rFonts w:ascii="Times New Roman" w:hAnsi="Times New Roman"/>
          <w:sz w:val="28"/>
        </w:rPr>
        <w:t xml:space="preserve">enhancement </w:t>
      </w:r>
      <w:r w:rsidRPr="008364C4">
        <w:rPr>
          <w:rFonts w:ascii="Times New Roman" w:hAnsi="Times New Roman"/>
          <w:sz w:val="28"/>
        </w:rPr>
        <w:t>of the</w:t>
      </w:r>
      <w:r w:rsidR="00820222">
        <w:rPr>
          <w:rFonts w:ascii="Times New Roman" w:hAnsi="Times New Roman"/>
          <w:sz w:val="28"/>
        </w:rPr>
        <w:t xml:space="preserve"> </w:t>
      </w:r>
      <w:r w:rsidRPr="008364C4">
        <w:rPr>
          <w:rFonts w:ascii="Times New Roman" w:hAnsi="Times New Roman"/>
          <w:sz w:val="28"/>
        </w:rPr>
        <w:t>online communication</w:t>
      </w:r>
      <w:r w:rsidR="00820222">
        <w:rPr>
          <w:rFonts w:ascii="Times New Roman" w:hAnsi="Times New Roman"/>
          <w:sz w:val="28"/>
        </w:rPr>
        <w:t xml:space="preserve"> forms</w:t>
      </w:r>
      <w:r w:rsidRPr="008364C4">
        <w:rPr>
          <w:rFonts w:ascii="Times New Roman" w:hAnsi="Times New Roman"/>
          <w:sz w:val="28"/>
        </w:rPr>
        <w:t xml:space="preserve">. As part of activities organized on the occasion of 28 January, the Commission for Personal Data Protection also presented </w:t>
      </w:r>
      <w:hyperlink r:id="rId18">
        <w:r w:rsidRPr="008364C4">
          <w:rPr>
            <w:rStyle w:val="Hyperlink"/>
            <w:rFonts w:ascii="Times New Roman" w:hAnsi="Times New Roman"/>
            <w:color w:val="auto"/>
            <w:sz w:val="28"/>
            <w:u w:val="none"/>
          </w:rPr>
          <w:t>a summary of the Annual Report</w:t>
        </w:r>
      </w:hyperlink>
      <w:r w:rsidRPr="008364C4">
        <w:rPr>
          <w:rFonts w:ascii="Times New Roman" w:hAnsi="Times New Roman"/>
          <w:sz w:val="28"/>
        </w:rPr>
        <w:t xml:space="preserve"> on its activities for 2012.</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In 2013</w:t>
      </w:r>
      <w:r w:rsidR="00820222">
        <w:rPr>
          <w:rFonts w:ascii="Times New Roman" w:hAnsi="Times New Roman"/>
          <w:sz w:val="28"/>
        </w:rPr>
        <w:t>,</w:t>
      </w:r>
      <w:r w:rsidRPr="008364C4">
        <w:rPr>
          <w:rFonts w:ascii="Times New Roman" w:hAnsi="Times New Roman"/>
          <w:sz w:val="28"/>
        </w:rPr>
        <w:t xml:space="preserve"> the initiatives on the privacy protection were also supported by maintaining sustainable and fruitful relations with national media representatives. Electronic, print, and internet information channels were providing the CPDP messages to the public</w:t>
      </w:r>
      <w:r w:rsidR="00820222">
        <w:rPr>
          <w:rFonts w:ascii="Times New Roman" w:hAnsi="Times New Roman"/>
          <w:sz w:val="28"/>
        </w:rPr>
        <w:t>,</w:t>
      </w:r>
      <w:r w:rsidRPr="008364C4">
        <w:rPr>
          <w:rFonts w:ascii="Times New Roman" w:hAnsi="Times New Roman"/>
          <w:sz w:val="28"/>
        </w:rPr>
        <w:t xml:space="preserve"> allowing the maximum number of people to raise their awareness on the issues affecting their personal data.</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2013, thanks to the already existing facilitated and more personalized contact between the Commission and the media representatives, over 150 </w:t>
      </w:r>
      <w:r w:rsidRPr="008364C4">
        <w:rPr>
          <w:rFonts w:ascii="Times New Roman" w:hAnsi="Times New Roman"/>
          <w:sz w:val="28"/>
        </w:rPr>
        <w:lastRenderedPageBreak/>
        <w:t>interviews and materials with the participation of the Chairperson, members and experts of CPDP became possible. The continuous cooperation of the institution with the reporters led to the publication of a significant number of information materials and journalistic investigations, which affect various personal data protection aspects. Successfully built and maintained media relations provided a reliable channel for distribution of useful news and initiatives that will mark the work of the Commission in the future.</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Raising public awareness is assessed by the Commission a</w:t>
      </w:r>
      <w:r w:rsidR="00820222">
        <w:rPr>
          <w:rFonts w:ascii="Times New Roman" w:hAnsi="Times New Roman"/>
          <w:sz w:val="28"/>
        </w:rPr>
        <w:t>s the main prevention measure for</w:t>
      </w:r>
      <w:r w:rsidRPr="008364C4">
        <w:rPr>
          <w:rFonts w:ascii="Times New Roman" w:hAnsi="Times New Roman"/>
          <w:sz w:val="28"/>
        </w:rPr>
        <w:t xml:space="preserve"> maintaining security in today's society. Therefore, during the reporting period the institution continued its success</w:t>
      </w:r>
      <w:r w:rsidR="00820222">
        <w:rPr>
          <w:rFonts w:ascii="Times New Roman" w:hAnsi="Times New Roman"/>
          <w:sz w:val="28"/>
        </w:rPr>
        <w:t xml:space="preserve">ful and effective measure </w:t>
      </w:r>
      <w:proofErr w:type="spellStart"/>
      <w:r w:rsidR="00820222">
        <w:rPr>
          <w:rFonts w:ascii="Times New Roman" w:hAnsi="Times New Roman"/>
          <w:sz w:val="28"/>
        </w:rPr>
        <w:t>fot</w:t>
      </w:r>
      <w:proofErr w:type="spellEnd"/>
      <w:r w:rsidRPr="008364C4">
        <w:rPr>
          <w:rFonts w:ascii="Times New Roman" w:hAnsi="Times New Roman"/>
          <w:sz w:val="28"/>
        </w:rPr>
        <w:t xml:space="preserve"> preparation, printing and distribution of thematic information brochures in Bulgarian and English, containing useful information. They reach the interested parties through the reception of CPDP, the events and meetings organized, as well as the participation in international forums and visits by the representatives of the institution abroad. </w:t>
      </w:r>
    </w:p>
    <w:p w:rsidR="00587384" w:rsidRPr="008364C4" w:rsidRDefault="00587384" w:rsidP="00B112A9">
      <w:pPr>
        <w:spacing w:after="0" w:line="360" w:lineRule="auto"/>
        <w:ind w:firstLine="709"/>
        <w:jc w:val="both"/>
        <w:rPr>
          <w:rFonts w:ascii="Times New Roman" w:hAnsi="Times New Roman"/>
          <w:sz w:val="28"/>
          <w:szCs w:val="28"/>
        </w:rPr>
      </w:pPr>
      <w:r w:rsidRPr="008364C4">
        <w:rPr>
          <w:rFonts w:ascii="Times New Roman" w:hAnsi="Times New Roman"/>
          <w:sz w:val="28"/>
        </w:rPr>
        <w:t>In order to continue the information campaign launch in early 2012, CPDP prepared, updated and additionally printed 2,000 copies of brochures in Bulgarian on the topic: "Video Surveillance" and "Who Can Copy Your Identity Card", 2,000 copies of brochures in English on the topic: "Personal Data in Schengen", "Video Surveillance – Your Rights" and "Internet and Children".</w:t>
      </w:r>
    </w:p>
    <w:p w:rsidR="00E90B9A" w:rsidRPr="008364C4" w:rsidRDefault="00DC433B" w:rsidP="003D726B">
      <w:pPr>
        <w:pStyle w:val="Heading1"/>
      </w:pPr>
      <w:r w:rsidRPr="008364C4">
        <w:br w:type="page"/>
      </w:r>
      <w:bookmarkStart w:id="24" w:name="_Toc380595217"/>
      <w:bookmarkStart w:id="25" w:name="_Toc380740753"/>
      <w:proofErr w:type="gramStart"/>
      <w:r w:rsidRPr="008364C4">
        <w:lastRenderedPageBreak/>
        <w:t>ХІІI.</w:t>
      </w:r>
      <w:proofErr w:type="gramEnd"/>
      <w:r w:rsidRPr="008364C4">
        <w:t xml:space="preserve"> Administrative capacity and financial status</w:t>
      </w:r>
      <w:bookmarkEnd w:id="24"/>
      <w:bookmarkEnd w:id="25"/>
    </w:p>
    <w:p w:rsidR="008C4A52" w:rsidRPr="008364C4" w:rsidRDefault="0099124E" w:rsidP="00261515">
      <w:pPr>
        <w:pStyle w:val="ListParagraph"/>
        <w:numPr>
          <w:ilvl w:val="0"/>
          <w:numId w:val="14"/>
        </w:numPr>
        <w:tabs>
          <w:tab w:val="left" w:pos="993"/>
        </w:tabs>
        <w:spacing w:after="0" w:line="360" w:lineRule="auto"/>
        <w:ind w:left="0" w:firstLine="709"/>
        <w:jc w:val="both"/>
        <w:rPr>
          <w:rFonts w:ascii="Times New Roman" w:hAnsi="Times New Roman"/>
          <w:b/>
          <w:sz w:val="28"/>
          <w:szCs w:val="28"/>
        </w:rPr>
      </w:pPr>
      <w:r w:rsidRPr="008364C4">
        <w:rPr>
          <w:rFonts w:ascii="Times New Roman" w:hAnsi="Times New Roman"/>
          <w:b/>
          <w:sz w:val="28"/>
        </w:rPr>
        <w:t xml:space="preserve">Administrative capacity.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During the reporting period, the Commission for Personal Data Protection </w:t>
      </w:r>
      <w:r w:rsidRPr="008963D6">
        <w:rPr>
          <w:rFonts w:ascii="Times New Roman" w:hAnsi="Times New Roman"/>
          <w:sz w:val="28"/>
        </w:rPr>
        <w:t>use</w:t>
      </w:r>
      <w:r w:rsidR="00820222" w:rsidRPr="008963D6">
        <w:rPr>
          <w:rFonts w:ascii="Times New Roman" w:hAnsi="Times New Roman"/>
          <w:sz w:val="28"/>
        </w:rPr>
        <w:t>d</w:t>
      </w:r>
      <w:r w:rsidRPr="008963D6">
        <w:rPr>
          <w:rFonts w:ascii="Times New Roman" w:hAnsi="Times New Roman"/>
          <w:sz w:val="28"/>
        </w:rPr>
        <w:t xml:space="preserve"> its best efforts to </w:t>
      </w:r>
      <w:r w:rsidRPr="008364C4">
        <w:rPr>
          <w:rFonts w:ascii="Times New Roman" w:hAnsi="Times New Roman"/>
          <w:sz w:val="28"/>
        </w:rPr>
        <w:t xml:space="preserve">implement the Commission's priorities for the protection of personal data set out in the annual plan for 2013.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During the reporting period CPDP made business contacts and </w:t>
      </w:r>
      <w:r w:rsidR="008963D6" w:rsidRPr="008963D6">
        <w:rPr>
          <w:rFonts w:ascii="Times New Roman" w:hAnsi="Times New Roman"/>
          <w:sz w:val="28"/>
        </w:rPr>
        <w:t xml:space="preserve">cooperated </w:t>
      </w:r>
      <w:r w:rsidRPr="008364C4">
        <w:rPr>
          <w:rFonts w:ascii="Times New Roman" w:hAnsi="Times New Roman"/>
          <w:sz w:val="28"/>
        </w:rPr>
        <w:t>with representatives of the Institute of Public Administration at the administration of the Council of Ministers, with representatives of the State Commission on Information Security, Ministry of Finance, National Audit Office, Ministry of Defence, National Revenue Agency and National Insurance Institute.</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total staff numbers in 2013 is 87.</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Employees employed under full-time contracts for the period from January to December 2013:</w:t>
      </w:r>
    </w:p>
    <w:p w:rsidR="008C4A52" w:rsidRPr="008364C4" w:rsidRDefault="008C4A52" w:rsidP="00DC433B">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Under official contracts - 52; </w:t>
      </w:r>
    </w:p>
    <w:p w:rsidR="008C4A52" w:rsidRPr="008364C4" w:rsidRDefault="008C4A52" w:rsidP="00DC433B">
      <w:pPr>
        <w:spacing w:after="0" w:line="360" w:lineRule="auto"/>
        <w:ind w:firstLine="993"/>
        <w:jc w:val="both"/>
        <w:rPr>
          <w:rFonts w:ascii="Times New Roman" w:hAnsi="Times New Roman"/>
          <w:sz w:val="28"/>
          <w:szCs w:val="28"/>
        </w:rPr>
      </w:pPr>
      <w:proofErr w:type="gramStart"/>
      <w:r w:rsidRPr="008364C4">
        <w:rPr>
          <w:rFonts w:ascii="Times New Roman" w:hAnsi="Times New Roman"/>
          <w:sz w:val="28"/>
        </w:rPr>
        <w:t>Under labour contracts - 18.</w:t>
      </w:r>
      <w:proofErr w:type="gramEnd"/>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Vacant positions:</w:t>
      </w:r>
    </w:p>
    <w:p w:rsidR="008C4A52" w:rsidRPr="008364C4" w:rsidRDefault="008C4A52" w:rsidP="00DC433B">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Under official contracts - 15; </w:t>
      </w:r>
    </w:p>
    <w:p w:rsidR="008C4A52" w:rsidRPr="008364C4" w:rsidRDefault="008C4A52" w:rsidP="00DC433B">
      <w:pPr>
        <w:spacing w:after="0" w:line="360" w:lineRule="auto"/>
        <w:ind w:firstLine="993"/>
        <w:jc w:val="both"/>
        <w:rPr>
          <w:rFonts w:ascii="Times New Roman" w:hAnsi="Times New Roman"/>
          <w:sz w:val="28"/>
          <w:szCs w:val="28"/>
        </w:rPr>
      </w:pPr>
      <w:proofErr w:type="gramStart"/>
      <w:r w:rsidRPr="008364C4">
        <w:rPr>
          <w:rFonts w:ascii="Times New Roman" w:hAnsi="Times New Roman"/>
          <w:sz w:val="28"/>
        </w:rPr>
        <w:t>Under labour contracts - 2.</w:t>
      </w:r>
      <w:proofErr w:type="gramEnd"/>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Employees employed within the period from January to December 2013 - total 4:</w:t>
      </w:r>
    </w:p>
    <w:p w:rsidR="008C4A52" w:rsidRPr="008364C4" w:rsidRDefault="008C4A52" w:rsidP="00DC433B">
      <w:pPr>
        <w:spacing w:after="0" w:line="360" w:lineRule="auto"/>
        <w:ind w:firstLine="993"/>
        <w:jc w:val="both"/>
        <w:rPr>
          <w:rFonts w:ascii="Times New Roman" w:hAnsi="Times New Roman"/>
          <w:sz w:val="28"/>
          <w:szCs w:val="28"/>
        </w:rPr>
      </w:pPr>
      <w:r w:rsidRPr="008364C4">
        <w:rPr>
          <w:rFonts w:ascii="Times New Roman" w:hAnsi="Times New Roman"/>
          <w:sz w:val="28"/>
        </w:rPr>
        <w:t>Under official contracts - 2;</w:t>
      </w:r>
    </w:p>
    <w:p w:rsidR="008C4A52" w:rsidRPr="008364C4" w:rsidRDefault="008C4A52" w:rsidP="00DC433B">
      <w:pPr>
        <w:spacing w:after="0" w:line="360" w:lineRule="auto"/>
        <w:ind w:firstLine="993"/>
        <w:jc w:val="both"/>
        <w:rPr>
          <w:rFonts w:ascii="Times New Roman" w:hAnsi="Times New Roman"/>
          <w:sz w:val="28"/>
          <w:szCs w:val="28"/>
        </w:rPr>
      </w:pPr>
      <w:proofErr w:type="gramStart"/>
      <w:r w:rsidRPr="008364C4">
        <w:rPr>
          <w:rFonts w:ascii="Times New Roman" w:hAnsi="Times New Roman"/>
          <w:sz w:val="28"/>
        </w:rPr>
        <w:t>Under labour contracts - 2.</w:t>
      </w:r>
      <w:proofErr w:type="gramEnd"/>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Terminated labour relations as follows: </w:t>
      </w:r>
    </w:p>
    <w:p w:rsidR="008C4A52" w:rsidRPr="008364C4" w:rsidRDefault="008C4A52" w:rsidP="00DC433B">
      <w:pPr>
        <w:spacing w:after="0" w:line="360" w:lineRule="auto"/>
        <w:ind w:firstLine="993"/>
        <w:jc w:val="both"/>
        <w:rPr>
          <w:rFonts w:ascii="Times New Roman" w:hAnsi="Times New Roman"/>
          <w:sz w:val="28"/>
          <w:szCs w:val="28"/>
        </w:rPr>
      </w:pPr>
      <w:r w:rsidRPr="008364C4">
        <w:rPr>
          <w:rFonts w:ascii="Times New Roman" w:hAnsi="Times New Roman"/>
          <w:sz w:val="28"/>
        </w:rPr>
        <w:t>Under official contracts - 7;</w:t>
      </w:r>
    </w:p>
    <w:p w:rsidR="008C4A52" w:rsidRPr="008364C4" w:rsidRDefault="008C4A52" w:rsidP="00DC433B">
      <w:pPr>
        <w:spacing w:after="0" w:line="360" w:lineRule="auto"/>
        <w:ind w:firstLine="993"/>
        <w:jc w:val="both"/>
        <w:rPr>
          <w:rFonts w:ascii="Times New Roman" w:hAnsi="Times New Roman"/>
          <w:sz w:val="28"/>
          <w:szCs w:val="28"/>
        </w:rPr>
      </w:pPr>
      <w:proofErr w:type="gramStart"/>
      <w:r w:rsidRPr="008364C4">
        <w:rPr>
          <w:rFonts w:ascii="Times New Roman" w:hAnsi="Times New Roman"/>
          <w:sz w:val="28"/>
        </w:rPr>
        <w:t>Under labour contracts - 4.</w:t>
      </w:r>
      <w:proofErr w:type="gramEnd"/>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Reappointed employees:</w:t>
      </w:r>
    </w:p>
    <w:p w:rsidR="008C4A52" w:rsidRPr="008364C4" w:rsidRDefault="008C4A52" w:rsidP="00DC433B">
      <w:pPr>
        <w:numPr>
          <w:ilvl w:val="0"/>
          <w:numId w:val="12"/>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Under official contracts 2 (replacing absent employees);</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Change of service:</w:t>
      </w:r>
    </w:p>
    <w:p w:rsidR="008C4A52" w:rsidRPr="008364C4" w:rsidRDefault="008C4A52" w:rsidP="00DC433B">
      <w:pPr>
        <w:spacing w:after="0" w:line="360" w:lineRule="auto"/>
        <w:ind w:firstLine="993"/>
        <w:jc w:val="both"/>
        <w:rPr>
          <w:rFonts w:ascii="Times New Roman" w:hAnsi="Times New Roman"/>
          <w:sz w:val="28"/>
          <w:szCs w:val="28"/>
        </w:rPr>
      </w:pPr>
      <w:r w:rsidRPr="008364C4">
        <w:rPr>
          <w:rFonts w:ascii="Times New Roman" w:hAnsi="Times New Roman"/>
          <w:sz w:val="28"/>
        </w:rPr>
        <w:t xml:space="preserve">- </w:t>
      </w:r>
      <w:proofErr w:type="gramStart"/>
      <w:r w:rsidRPr="008364C4">
        <w:rPr>
          <w:rFonts w:ascii="Times New Roman" w:hAnsi="Times New Roman"/>
          <w:sz w:val="28"/>
        </w:rPr>
        <w:t>promoted</w:t>
      </w:r>
      <w:proofErr w:type="gramEnd"/>
      <w:r w:rsidRPr="008364C4">
        <w:rPr>
          <w:rFonts w:ascii="Times New Roman" w:hAnsi="Times New Roman"/>
          <w:sz w:val="28"/>
        </w:rPr>
        <w:t xml:space="preserve"> in rank          – 1;</w:t>
      </w:r>
    </w:p>
    <w:p w:rsidR="008C4A52" w:rsidRPr="008364C4" w:rsidRDefault="008C4A52" w:rsidP="00DC433B">
      <w:pPr>
        <w:spacing w:after="0" w:line="360" w:lineRule="auto"/>
        <w:ind w:firstLine="993"/>
        <w:jc w:val="both"/>
        <w:rPr>
          <w:rFonts w:ascii="Times New Roman" w:hAnsi="Times New Roman"/>
          <w:sz w:val="28"/>
          <w:szCs w:val="28"/>
        </w:rPr>
      </w:pPr>
      <w:r w:rsidRPr="008364C4">
        <w:rPr>
          <w:rFonts w:ascii="Times New Roman" w:hAnsi="Times New Roman"/>
          <w:sz w:val="28"/>
        </w:rPr>
        <w:lastRenderedPageBreak/>
        <w:t xml:space="preserve">- </w:t>
      </w:r>
      <w:proofErr w:type="gramStart"/>
      <w:r w:rsidRPr="008364C4">
        <w:rPr>
          <w:rFonts w:ascii="Times New Roman" w:hAnsi="Times New Roman"/>
          <w:sz w:val="28"/>
        </w:rPr>
        <w:t>promoted</w:t>
      </w:r>
      <w:proofErr w:type="gramEnd"/>
      <w:r w:rsidRPr="008364C4">
        <w:rPr>
          <w:rFonts w:ascii="Times New Roman" w:hAnsi="Times New Roman"/>
          <w:sz w:val="28"/>
        </w:rPr>
        <w:t xml:space="preserve"> in position      – 2;</w:t>
      </w:r>
    </w:p>
    <w:p w:rsidR="008C4A52" w:rsidRPr="00E60660" w:rsidRDefault="008C4A52" w:rsidP="008F6C33">
      <w:pPr>
        <w:numPr>
          <w:ilvl w:val="1"/>
          <w:numId w:val="14"/>
        </w:numPr>
        <w:tabs>
          <w:tab w:val="left" w:pos="1276"/>
        </w:tabs>
        <w:spacing w:after="0" w:line="360" w:lineRule="auto"/>
        <w:ind w:left="0" w:firstLine="709"/>
        <w:jc w:val="both"/>
        <w:rPr>
          <w:rFonts w:ascii="Times New Roman" w:hAnsi="Times New Roman"/>
          <w:b/>
          <w:sz w:val="28"/>
          <w:szCs w:val="28"/>
          <w:u w:val="single"/>
        </w:rPr>
      </w:pPr>
      <w:r w:rsidRPr="00E60660">
        <w:rPr>
          <w:rFonts w:ascii="Times New Roman" w:hAnsi="Times New Roman"/>
          <w:b/>
          <w:sz w:val="28"/>
          <w:u w:val="single"/>
        </w:rPr>
        <w:t>Training of em</w:t>
      </w:r>
      <w:r w:rsidR="00E60660" w:rsidRPr="00E60660">
        <w:rPr>
          <w:rFonts w:ascii="Times New Roman" w:hAnsi="Times New Roman"/>
          <w:b/>
          <w:sz w:val="28"/>
          <w:u w:val="single"/>
        </w:rPr>
        <w:t xml:space="preserve">ployees in accordance with the plan, approved by </w:t>
      </w:r>
      <w:r w:rsidRPr="00E60660">
        <w:rPr>
          <w:rFonts w:ascii="Times New Roman" w:hAnsi="Times New Roman"/>
          <w:b/>
          <w:sz w:val="28"/>
          <w:u w:val="single"/>
        </w:rPr>
        <w:t>CPDP</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For the Commission for Personal Data Protection, the </w:t>
      </w:r>
      <w:r w:rsidR="00E60660">
        <w:rPr>
          <w:rFonts w:ascii="Times New Roman" w:hAnsi="Times New Roman"/>
          <w:sz w:val="28"/>
        </w:rPr>
        <w:t xml:space="preserve">administration staff </w:t>
      </w:r>
      <w:proofErr w:type="spellStart"/>
      <w:r w:rsidR="00E60660">
        <w:rPr>
          <w:rFonts w:ascii="Times New Roman" w:hAnsi="Times New Roman"/>
          <w:sz w:val="28"/>
        </w:rPr>
        <w:t>traning</w:t>
      </w:r>
      <w:proofErr w:type="spellEnd"/>
      <w:r w:rsidR="00E60660">
        <w:rPr>
          <w:rFonts w:ascii="Times New Roman" w:hAnsi="Times New Roman"/>
          <w:sz w:val="28"/>
        </w:rPr>
        <w:t xml:space="preserve"> </w:t>
      </w:r>
      <w:r w:rsidRPr="008364C4">
        <w:rPr>
          <w:rFonts w:ascii="Times New Roman" w:hAnsi="Times New Roman"/>
          <w:sz w:val="28"/>
        </w:rPr>
        <w:t xml:space="preserve">is an important element of the </w:t>
      </w:r>
      <w:r w:rsidR="00E60660">
        <w:rPr>
          <w:rFonts w:ascii="Times New Roman" w:hAnsi="Times New Roman"/>
          <w:sz w:val="28"/>
        </w:rPr>
        <w:t xml:space="preserve">human resources </w:t>
      </w:r>
      <w:r w:rsidRPr="008364C4">
        <w:rPr>
          <w:rFonts w:ascii="Times New Roman" w:hAnsi="Times New Roman"/>
          <w:sz w:val="28"/>
        </w:rPr>
        <w:t xml:space="preserve">management.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As in previous years, in 2013, the basic principles foreseen by the CPDP for the training and qualification of the administration of the Commission were as follows:</w:t>
      </w:r>
    </w:p>
    <w:p w:rsidR="0099124E" w:rsidRPr="008364C4" w:rsidRDefault="008C4A52" w:rsidP="000D3898">
      <w:pPr>
        <w:numPr>
          <w:ilvl w:val="0"/>
          <w:numId w:val="2"/>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b/>
          <w:sz w:val="28"/>
        </w:rPr>
        <w:t xml:space="preserve">Adequacy  – </w:t>
      </w:r>
      <w:r w:rsidRPr="008364C4">
        <w:rPr>
          <w:rFonts w:ascii="Times New Roman" w:hAnsi="Times New Roman"/>
          <w:sz w:val="28"/>
        </w:rPr>
        <w:t xml:space="preserve"> planning and conducting training corresponding to the need in the respective units, leading to </w:t>
      </w:r>
      <w:r w:rsidR="00E60660">
        <w:rPr>
          <w:rFonts w:ascii="Times New Roman" w:hAnsi="Times New Roman"/>
          <w:sz w:val="28"/>
        </w:rPr>
        <w:t>increased quality at work</w:t>
      </w:r>
      <w:r w:rsidRPr="008364C4">
        <w:rPr>
          <w:rFonts w:ascii="Times New Roman" w:hAnsi="Times New Roman"/>
          <w:sz w:val="28"/>
        </w:rPr>
        <w:t>;</w:t>
      </w:r>
    </w:p>
    <w:p w:rsidR="008C4A52" w:rsidRPr="008364C4" w:rsidRDefault="008C4A52" w:rsidP="000D3898">
      <w:pPr>
        <w:numPr>
          <w:ilvl w:val="0"/>
          <w:numId w:val="2"/>
        </w:numPr>
        <w:tabs>
          <w:tab w:val="left" w:pos="1276"/>
        </w:tabs>
        <w:spacing w:after="0" w:line="360" w:lineRule="auto"/>
        <w:ind w:left="0" w:firstLine="993"/>
        <w:jc w:val="both"/>
        <w:rPr>
          <w:rFonts w:ascii="Times New Roman" w:hAnsi="Times New Roman"/>
          <w:sz w:val="28"/>
          <w:szCs w:val="28"/>
        </w:rPr>
      </w:pPr>
      <w:r w:rsidRPr="008963D6">
        <w:rPr>
          <w:rFonts w:ascii="Times New Roman" w:hAnsi="Times New Roman"/>
          <w:b/>
          <w:sz w:val="28"/>
        </w:rPr>
        <w:t>Timeliness</w:t>
      </w:r>
      <w:r w:rsidRPr="008364C4">
        <w:rPr>
          <w:rFonts w:ascii="Times New Roman" w:hAnsi="Times New Roman"/>
          <w:b/>
          <w:sz w:val="28"/>
        </w:rPr>
        <w:t xml:space="preserve"> – </w:t>
      </w:r>
      <w:r w:rsidRPr="008364C4">
        <w:rPr>
          <w:rFonts w:ascii="Times New Roman" w:hAnsi="Times New Roman"/>
          <w:sz w:val="28"/>
        </w:rPr>
        <w:t>training should correspond to the changes in legislation relating to the CPDP activities and the best national and international practices;</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During the reported period priority was given to those training courses that would increase the work efficiency and contribute for the achievement of the CPDP’s objectives.</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March 2013, Annual Training Plan was drafted and approved with two main activities: </w:t>
      </w:r>
    </w:p>
    <w:p w:rsidR="008C4A52" w:rsidRPr="008364C4" w:rsidRDefault="008C4A52" w:rsidP="000D3898">
      <w:pPr>
        <w:numPr>
          <w:ilvl w:val="0"/>
          <w:numId w:val="9"/>
        </w:numPr>
        <w:tabs>
          <w:tab w:val="left" w:pos="993"/>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Mandatory training – for staff appointed for the first time as civil servants – 5 newly recruited civil servants at expert position were trained;</w:t>
      </w:r>
    </w:p>
    <w:p w:rsidR="008C4A52" w:rsidRPr="008364C4" w:rsidRDefault="008C4A52" w:rsidP="000D3898">
      <w:pPr>
        <w:numPr>
          <w:ilvl w:val="0"/>
          <w:numId w:val="9"/>
        </w:numPr>
        <w:tabs>
          <w:tab w:val="left" w:pos="993"/>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 xml:space="preserve">Specialized training – for professional development and qualification </w:t>
      </w:r>
      <w:r w:rsidR="00E60660" w:rsidRPr="008364C4">
        <w:rPr>
          <w:rFonts w:ascii="Times New Roman" w:hAnsi="Times New Roman"/>
          <w:sz w:val="28"/>
        </w:rPr>
        <w:t>rising</w:t>
      </w:r>
      <w:r w:rsidRPr="008364C4">
        <w:rPr>
          <w:rFonts w:ascii="Times New Roman" w:hAnsi="Times New Roman"/>
          <w:sz w:val="28"/>
        </w:rPr>
        <w:t>. The Annual Plan provides for the training of 23 employees.</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For the reported period, the main institution to execute the Commission’s scheduled staff training was the Institute of Public Administration (IPA) to the Council of Ministers.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April 2013, the Commission for Personal Data Protection was awarded a project under OPAC, Priority Axis: Human Resources Management, Sub-priority: Competent and Efficient Public Administration </w:t>
      </w:r>
      <w:r w:rsidR="00E60660">
        <w:rPr>
          <w:rFonts w:ascii="Times New Roman" w:hAnsi="Times New Roman"/>
          <w:sz w:val="28"/>
        </w:rPr>
        <w:t>–</w:t>
      </w:r>
      <w:r w:rsidRPr="008364C4">
        <w:rPr>
          <w:rFonts w:ascii="Times New Roman" w:hAnsi="Times New Roman"/>
          <w:sz w:val="28"/>
        </w:rPr>
        <w:t xml:space="preserve"> </w:t>
      </w:r>
      <w:r w:rsidR="00E60660">
        <w:rPr>
          <w:rFonts w:ascii="Times New Roman" w:hAnsi="Times New Roman"/>
          <w:sz w:val="28"/>
        </w:rPr>
        <w:t>“</w:t>
      </w:r>
      <w:r w:rsidRPr="008364C4">
        <w:rPr>
          <w:rFonts w:ascii="Times New Roman" w:hAnsi="Times New Roman"/>
          <w:sz w:val="28"/>
        </w:rPr>
        <w:t>Promoting the professional development of the employees of CPDP by applying a system of training according to their professional duties</w:t>
      </w:r>
      <w:r w:rsidR="00E60660">
        <w:rPr>
          <w:rFonts w:ascii="Times New Roman" w:hAnsi="Times New Roman"/>
          <w:sz w:val="28"/>
        </w:rPr>
        <w:t>”, No. C</w:t>
      </w:r>
      <w:r w:rsidRPr="008364C4">
        <w:rPr>
          <w:rFonts w:ascii="Times New Roman" w:hAnsi="Times New Roman"/>
          <w:sz w:val="28"/>
        </w:rPr>
        <w:t>А 12 22 56 dated 9 April 2013.</w:t>
      </w:r>
    </w:p>
    <w:p w:rsidR="008C4A52" w:rsidRPr="008364C4" w:rsidRDefault="00E60660" w:rsidP="00B112A9">
      <w:pPr>
        <w:spacing w:after="0" w:line="360" w:lineRule="auto"/>
        <w:ind w:firstLine="709"/>
        <w:jc w:val="both"/>
        <w:rPr>
          <w:rFonts w:ascii="Times New Roman" w:hAnsi="Times New Roman"/>
          <w:sz w:val="28"/>
          <w:szCs w:val="28"/>
        </w:rPr>
      </w:pPr>
      <w:r>
        <w:rPr>
          <w:rFonts w:ascii="Times New Roman" w:hAnsi="Times New Roman"/>
          <w:sz w:val="28"/>
        </w:rPr>
        <w:lastRenderedPageBreak/>
        <w:t>The project provides f</w:t>
      </w:r>
      <w:r w:rsidR="008C4A52" w:rsidRPr="008364C4">
        <w:rPr>
          <w:rFonts w:ascii="Times New Roman" w:hAnsi="Times New Roman"/>
          <w:sz w:val="28"/>
        </w:rPr>
        <w:t>o</w:t>
      </w:r>
      <w:r>
        <w:rPr>
          <w:rFonts w:ascii="Times New Roman" w:hAnsi="Times New Roman"/>
          <w:sz w:val="28"/>
        </w:rPr>
        <w:t>r</w:t>
      </w:r>
      <w:r w:rsidR="008C4A52" w:rsidRPr="008364C4">
        <w:rPr>
          <w:rFonts w:ascii="Times New Roman" w:hAnsi="Times New Roman"/>
          <w:sz w:val="28"/>
        </w:rPr>
        <w:t xml:space="preserve"> 33 training courses, which will be attended by 43 employees of the administration for the total of 166 trainings.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selection of employees to be trained under the project was made after an analysis of the current practice and the training scheduled in the</w:t>
      </w:r>
      <w:r w:rsidR="00E60660">
        <w:rPr>
          <w:rFonts w:ascii="Times New Roman" w:hAnsi="Times New Roman"/>
          <w:sz w:val="28"/>
        </w:rPr>
        <w:t xml:space="preserve"> CPDP’s 2013</w:t>
      </w:r>
      <w:r w:rsidRPr="008364C4">
        <w:rPr>
          <w:rFonts w:ascii="Times New Roman" w:hAnsi="Times New Roman"/>
          <w:sz w:val="28"/>
        </w:rPr>
        <w:t xml:space="preserve"> Annual Training Plan</w:t>
      </w:r>
      <w:r w:rsidR="00E60660">
        <w:rPr>
          <w:rFonts w:ascii="Times New Roman" w:hAnsi="Times New Roman"/>
          <w:sz w:val="28"/>
        </w:rPr>
        <w:t>. This was done</w:t>
      </w:r>
      <w:r w:rsidRPr="008364C4">
        <w:rPr>
          <w:rFonts w:ascii="Times New Roman" w:hAnsi="Times New Roman"/>
          <w:sz w:val="28"/>
        </w:rPr>
        <w:t xml:space="preserve"> to avoid double funding using the following criteria:</w:t>
      </w:r>
    </w:p>
    <w:p w:rsidR="008C4A52" w:rsidRPr="008364C4" w:rsidRDefault="008C4A52" w:rsidP="000D3898">
      <w:pPr>
        <w:numPr>
          <w:ilvl w:val="0"/>
          <w:numId w:val="10"/>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The employee should have not received training on the same topic;</w:t>
      </w:r>
    </w:p>
    <w:p w:rsidR="008C4A52" w:rsidRPr="008364C4" w:rsidRDefault="008C4A52" w:rsidP="000D3898">
      <w:pPr>
        <w:numPr>
          <w:ilvl w:val="0"/>
          <w:numId w:val="10"/>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The training should be related to the duties arising from the employee's position;</w:t>
      </w:r>
    </w:p>
    <w:p w:rsidR="008C4A52" w:rsidRPr="008364C4" w:rsidRDefault="008C4A52" w:rsidP="000D3898">
      <w:pPr>
        <w:numPr>
          <w:ilvl w:val="0"/>
          <w:numId w:val="10"/>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The training should contribute to the professional, career and personal development of the employee concerned.</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Employees of CPDP administration also took part in trainings organized by other institutions on specific topics related to the activities of the Commission, namely:</w:t>
      </w:r>
    </w:p>
    <w:p w:rsidR="008C4A52" w:rsidRPr="008364C4" w:rsidRDefault="008C4A52" w:rsidP="000D3898">
      <w:pPr>
        <w:widowControl w:val="0"/>
        <w:numPr>
          <w:ilvl w:val="0"/>
          <w:numId w:val="3"/>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 xml:space="preserve">“Management of occupational health and safety” - 1; </w:t>
      </w:r>
    </w:p>
    <w:p w:rsidR="008C4A52" w:rsidRPr="008364C4" w:rsidRDefault="0084042B" w:rsidP="000D3898">
      <w:pPr>
        <w:widowControl w:val="0"/>
        <w:numPr>
          <w:ilvl w:val="0"/>
          <w:numId w:val="3"/>
        </w:numPr>
        <w:tabs>
          <w:tab w:val="left" w:pos="1276"/>
        </w:tabs>
        <w:spacing w:after="0" w:line="360" w:lineRule="auto"/>
        <w:ind w:left="0" w:firstLine="993"/>
        <w:jc w:val="both"/>
        <w:rPr>
          <w:rFonts w:ascii="Times New Roman" w:hAnsi="Times New Roman"/>
          <w:sz w:val="28"/>
          <w:szCs w:val="28"/>
        </w:rPr>
      </w:pPr>
      <w:r>
        <w:rPr>
          <w:rFonts w:ascii="Times New Roman" w:hAnsi="Times New Roman"/>
          <w:sz w:val="28"/>
        </w:rPr>
        <w:t>“</w:t>
      </w:r>
      <w:r w:rsidR="008C4A52" w:rsidRPr="008364C4">
        <w:rPr>
          <w:rFonts w:ascii="Times New Roman" w:hAnsi="Times New Roman"/>
          <w:sz w:val="28"/>
        </w:rPr>
        <w:t>Closing of accounts and taxation of budget entities for 2012. Changes in tax laws for 2013. Financial audit.</w:t>
      </w:r>
      <w:r>
        <w:rPr>
          <w:rFonts w:ascii="Times New Roman" w:hAnsi="Times New Roman"/>
          <w:sz w:val="28"/>
        </w:rPr>
        <w:t>”</w:t>
      </w:r>
      <w:r w:rsidR="008C4A52" w:rsidRPr="008364C4">
        <w:rPr>
          <w:rFonts w:ascii="Times New Roman" w:hAnsi="Times New Roman"/>
          <w:sz w:val="28"/>
        </w:rPr>
        <w:t xml:space="preserve"> – 1; </w:t>
      </w:r>
    </w:p>
    <w:p w:rsidR="008C4A52" w:rsidRPr="008364C4" w:rsidRDefault="0084042B" w:rsidP="000D3898">
      <w:pPr>
        <w:numPr>
          <w:ilvl w:val="0"/>
          <w:numId w:val="3"/>
        </w:numPr>
        <w:tabs>
          <w:tab w:val="left" w:pos="1276"/>
        </w:tabs>
        <w:spacing w:after="0" w:line="360" w:lineRule="auto"/>
        <w:ind w:left="0" w:firstLine="993"/>
        <w:jc w:val="both"/>
        <w:rPr>
          <w:rFonts w:ascii="Times New Roman" w:hAnsi="Times New Roman"/>
          <w:sz w:val="28"/>
          <w:szCs w:val="28"/>
        </w:rPr>
      </w:pPr>
      <w:r>
        <w:rPr>
          <w:rFonts w:ascii="Times New Roman" w:hAnsi="Times New Roman"/>
          <w:sz w:val="28"/>
        </w:rPr>
        <w:t>“</w:t>
      </w:r>
      <w:r w:rsidR="008C4A52" w:rsidRPr="008364C4">
        <w:rPr>
          <w:rFonts w:ascii="Times New Roman" w:hAnsi="Times New Roman"/>
          <w:sz w:val="28"/>
        </w:rPr>
        <w:t>Appeal of administrative acts under APC</w:t>
      </w:r>
      <w:r>
        <w:rPr>
          <w:rFonts w:ascii="Times New Roman" w:hAnsi="Times New Roman"/>
          <w:sz w:val="28"/>
        </w:rPr>
        <w:t>”</w:t>
      </w:r>
      <w:r w:rsidR="008C4A52" w:rsidRPr="008364C4">
        <w:rPr>
          <w:rFonts w:ascii="Times New Roman" w:hAnsi="Times New Roman"/>
          <w:sz w:val="28"/>
        </w:rPr>
        <w:t xml:space="preserve"> - 5;</w:t>
      </w:r>
    </w:p>
    <w:p w:rsidR="008C4A52" w:rsidRPr="008364C4" w:rsidRDefault="0084042B" w:rsidP="000D3898">
      <w:pPr>
        <w:numPr>
          <w:ilvl w:val="0"/>
          <w:numId w:val="3"/>
        </w:numPr>
        <w:tabs>
          <w:tab w:val="left" w:pos="1276"/>
        </w:tabs>
        <w:spacing w:after="0" w:line="360" w:lineRule="auto"/>
        <w:ind w:left="0" w:firstLine="993"/>
        <w:jc w:val="both"/>
        <w:rPr>
          <w:rFonts w:ascii="Times New Roman" w:hAnsi="Times New Roman"/>
          <w:sz w:val="28"/>
          <w:szCs w:val="28"/>
        </w:rPr>
      </w:pPr>
      <w:r>
        <w:rPr>
          <w:rFonts w:ascii="Times New Roman" w:hAnsi="Times New Roman"/>
          <w:sz w:val="28"/>
        </w:rPr>
        <w:t>“</w:t>
      </w:r>
      <w:r w:rsidR="008C4A52" w:rsidRPr="008364C4">
        <w:rPr>
          <w:rFonts w:ascii="Times New Roman" w:hAnsi="Times New Roman"/>
          <w:sz w:val="28"/>
        </w:rPr>
        <w:t>Law on Financial Management and Control in the Public Sector</w:t>
      </w:r>
      <w:r>
        <w:rPr>
          <w:rFonts w:ascii="Times New Roman" w:hAnsi="Times New Roman"/>
          <w:sz w:val="28"/>
        </w:rPr>
        <w:t>”</w:t>
      </w:r>
      <w:r w:rsidR="008C4A52" w:rsidRPr="008364C4">
        <w:rPr>
          <w:rFonts w:ascii="Times New Roman" w:hAnsi="Times New Roman"/>
          <w:sz w:val="28"/>
        </w:rPr>
        <w:t xml:space="preserve"> - 1;</w:t>
      </w:r>
    </w:p>
    <w:p w:rsidR="008C4A52" w:rsidRPr="008364C4" w:rsidRDefault="0084042B" w:rsidP="000D3898">
      <w:pPr>
        <w:numPr>
          <w:ilvl w:val="0"/>
          <w:numId w:val="3"/>
        </w:numPr>
        <w:tabs>
          <w:tab w:val="left" w:pos="1276"/>
        </w:tabs>
        <w:spacing w:after="0" w:line="360" w:lineRule="auto"/>
        <w:ind w:left="0" w:firstLine="993"/>
        <w:jc w:val="both"/>
        <w:rPr>
          <w:rFonts w:ascii="Times New Roman" w:hAnsi="Times New Roman"/>
          <w:sz w:val="28"/>
          <w:szCs w:val="28"/>
        </w:rPr>
      </w:pPr>
      <w:r>
        <w:rPr>
          <w:rFonts w:ascii="Times New Roman" w:hAnsi="Times New Roman"/>
          <w:sz w:val="28"/>
        </w:rPr>
        <w:t>“</w:t>
      </w:r>
      <w:r w:rsidR="008C4A52" w:rsidRPr="008364C4">
        <w:rPr>
          <w:rFonts w:ascii="Times New Roman" w:hAnsi="Times New Roman"/>
          <w:sz w:val="28"/>
        </w:rPr>
        <w:t>Training of beneficiaries on the practical aspects of project management under OPAC</w:t>
      </w:r>
      <w:r>
        <w:rPr>
          <w:rFonts w:ascii="Times New Roman" w:hAnsi="Times New Roman"/>
          <w:sz w:val="28"/>
        </w:rPr>
        <w:t>”</w:t>
      </w:r>
      <w:r w:rsidR="008C4A52" w:rsidRPr="008364C4">
        <w:rPr>
          <w:rFonts w:ascii="Times New Roman" w:hAnsi="Times New Roman"/>
          <w:sz w:val="28"/>
        </w:rPr>
        <w:t xml:space="preserve"> - 6;</w:t>
      </w:r>
    </w:p>
    <w:p w:rsidR="008C4A52" w:rsidRPr="008364C4" w:rsidRDefault="0084042B" w:rsidP="000D3898">
      <w:pPr>
        <w:numPr>
          <w:ilvl w:val="0"/>
          <w:numId w:val="3"/>
        </w:numPr>
        <w:tabs>
          <w:tab w:val="left" w:pos="1276"/>
        </w:tabs>
        <w:spacing w:after="0" w:line="360" w:lineRule="auto"/>
        <w:ind w:left="0" w:firstLine="993"/>
        <w:jc w:val="both"/>
        <w:rPr>
          <w:rFonts w:ascii="Times New Roman" w:hAnsi="Times New Roman"/>
          <w:sz w:val="28"/>
          <w:szCs w:val="28"/>
        </w:rPr>
      </w:pPr>
      <w:r>
        <w:rPr>
          <w:rFonts w:ascii="Times New Roman" w:hAnsi="Times New Roman"/>
          <w:sz w:val="28"/>
        </w:rPr>
        <w:t>“</w:t>
      </w:r>
      <w:r w:rsidR="008C4A52" w:rsidRPr="008364C4">
        <w:rPr>
          <w:rFonts w:ascii="Times New Roman" w:hAnsi="Times New Roman"/>
          <w:sz w:val="28"/>
        </w:rPr>
        <w:t xml:space="preserve">Training </w:t>
      </w:r>
      <w:r w:rsidR="008C4A52" w:rsidRPr="008963D6">
        <w:rPr>
          <w:rFonts w:ascii="Times New Roman" w:hAnsi="Times New Roman"/>
          <w:sz w:val="28"/>
        </w:rPr>
        <w:t xml:space="preserve">in </w:t>
      </w:r>
      <w:r w:rsidR="008963D6" w:rsidRPr="008963D6">
        <w:rPr>
          <w:rFonts w:ascii="Times New Roman" w:hAnsi="Times New Roman"/>
          <w:sz w:val="28"/>
        </w:rPr>
        <w:t xml:space="preserve">providing comprehensive </w:t>
      </w:r>
      <w:r w:rsidR="008C4A52" w:rsidRPr="008963D6">
        <w:rPr>
          <w:rFonts w:ascii="Times New Roman" w:hAnsi="Times New Roman"/>
          <w:sz w:val="28"/>
        </w:rPr>
        <w:t>administrative services</w:t>
      </w:r>
      <w:r>
        <w:rPr>
          <w:rFonts w:ascii="Times New Roman" w:hAnsi="Times New Roman"/>
          <w:sz w:val="28"/>
        </w:rPr>
        <w:t>”</w:t>
      </w:r>
      <w:r w:rsidR="008C4A52" w:rsidRPr="008364C4">
        <w:rPr>
          <w:rFonts w:ascii="Times New Roman" w:hAnsi="Times New Roman"/>
          <w:sz w:val="28"/>
        </w:rPr>
        <w:t xml:space="preserve"> - 2;</w:t>
      </w:r>
    </w:p>
    <w:p w:rsidR="008C4A52" w:rsidRPr="008364C4" w:rsidRDefault="001C2198" w:rsidP="000D3898">
      <w:pPr>
        <w:numPr>
          <w:ilvl w:val="0"/>
          <w:numId w:val="3"/>
        </w:numPr>
        <w:tabs>
          <w:tab w:val="left" w:pos="1276"/>
        </w:tabs>
        <w:spacing w:after="0" w:line="360" w:lineRule="auto"/>
        <w:ind w:left="0" w:firstLine="993"/>
        <w:jc w:val="both"/>
        <w:rPr>
          <w:rFonts w:ascii="Times New Roman" w:hAnsi="Times New Roman"/>
          <w:sz w:val="28"/>
          <w:szCs w:val="28"/>
        </w:rPr>
      </w:pPr>
      <w:r>
        <w:rPr>
          <w:rFonts w:ascii="Times New Roman" w:hAnsi="Times New Roman"/>
          <w:sz w:val="28"/>
        </w:rPr>
        <w:t>“</w:t>
      </w:r>
      <w:r w:rsidR="008C4A52" w:rsidRPr="008364C4">
        <w:rPr>
          <w:rFonts w:ascii="Times New Roman" w:hAnsi="Times New Roman"/>
          <w:sz w:val="28"/>
        </w:rPr>
        <w:t>Law on Financial Management and Control in the Public Sector and its current practical application</w:t>
      </w:r>
      <w:r>
        <w:rPr>
          <w:rFonts w:ascii="Times New Roman" w:hAnsi="Times New Roman"/>
          <w:sz w:val="28"/>
        </w:rPr>
        <w:t>”</w:t>
      </w:r>
      <w:r w:rsidR="008C4A52" w:rsidRPr="008364C4">
        <w:rPr>
          <w:rFonts w:ascii="Times New Roman" w:hAnsi="Times New Roman"/>
          <w:sz w:val="28"/>
        </w:rPr>
        <w:t xml:space="preserve"> - 1.</w:t>
      </w:r>
    </w:p>
    <w:p w:rsidR="008C4A52" w:rsidRPr="008364C4" w:rsidRDefault="001C2198" w:rsidP="00B112A9">
      <w:pPr>
        <w:spacing w:after="0" w:line="360" w:lineRule="auto"/>
        <w:ind w:firstLine="709"/>
        <w:jc w:val="both"/>
        <w:rPr>
          <w:rFonts w:ascii="Times New Roman" w:hAnsi="Times New Roman"/>
          <w:sz w:val="28"/>
          <w:szCs w:val="28"/>
        </w:rPr>
      </w:pPr>
      <w:r>
        <w:rPr>
          <w:rFonts w:ascii="Times New Roman" w:hAnsi="Times New Roman"/>
          <w:sz w:val="28"/>
        </w:rPr>
        <w:t>The t</w:t>
      </w:r>
      <w:r w:rsidR="008C4A52" w:rsidRPr="008364C4">
        <w:rPr>
          <w:rFonts w:ascii="Times New Roman" w:hAnsi="Times New Roman"/>
          <w:sz w:val="28"/>
        </w:rPr>
        <w:t xml:space="preserve">otal </w:t>
      </w:r>
      <w:r>
        <w:rPr>
          <w:rFonts w:ascii="Times New Roman" w:hAnsi="Times New Roman"/>
          <w:sz w:val="28"/>
        </w:rPr>
        <w:t xml:space="preserve">of </w:t>
      </w:r>
      <w:r w:rsidR="008C4A52" w:rsidRPr="008364C4">
        <w:rPr>
          <w:rFonts w:ascii="Times New Roman" w:hAnsi="Times New Roman"/>
          <w:b/>
          <w:sz w:val="28"/>
        </w:rPr>
        <w:t>63</w:t>
      </w:r>
      <w:r w:rsidR="008C4A52" w:rsidRPr="008364C4">
        <w:rPr>
          <w:rFonts w:ascii="Times New Roman" w:hAnsi="Times New Roman"/>
          <w:sz w:val="28"/>
        </w:rPr>
        <w:t xml:space="preserve"> employees of the </w:t>
      </w:r>
      <w:r>
        <w:rPr>
          <w:rFonts w:ascii="Times New Roman" w:hAnsi="Times New Roman"/>
          <w:sz w:val="28"/>
        </w:rPr>
        <w:t xml:space="preserve">CPDP’s </w:t>
      </w:r>
      <w:r w:rsidR="008C4A52" w:rsidRPr="008364C4">
        <w:rPr>
          <w:rFonts w:ascii="Times New Roman" w:hAnsi="Times New Roman"/>
          <w:sz w:val="28"/>
        </w:rPr>
        <w:t xml:space="preserve">administration </w:t>
      </w:r>
      <w:r>
        <w:rPr>
          <w:rFonts w:ascii="Times New Roman" w:hAnsi="Times New Roman"/>
          <w:sz w:val="28"/>
        </w:rPr>
        <w:t>participated in</w:t>
      </w:r>
      <w:r w:rsidR="008C4A52" w:rsidRPr="008364C4">
        <w:rPr>
          <w:rFonts w:ascii="Times New Roman" w:hAnsi="Times New Roman"/>
          <w:sz w:val="28"/>
        </w:rPr>
        <w:t xml:space="preserve"> trainings for enhancing their qualification and professional development under the Annual Training Plan and the project under OPAC.</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In order to enhance the administrative capacity of the</w:t>
      </w:r>
      <w:r w:rsidR="001C2198">
        <w:rPr>
          <w:rFonts w:ascii="Times New Roman" w:hAnsi="Times New Roman"/>
          <w:sz w:val="28"/>
        </w:rPr>
        <w:t xml:space="preserve"> </w:t>
      </w:r>
      <w:proofErr w:type="gramStart"/>
      <w:r w:rsidR="001C2198">
        <w:rPr>
          <w:rFonts w:ascii="Times New Roman" w:hAnsi="Times New Roman"/>
          <w:sz w:val="28"/>
        </w:rPr>
        <w:t xml:space="preserve">CPDP’s </w:t>
      </w:r>
      <w:r w:rsidRPr="008364C4">
        <w:rPr>
          <w:rFonts w:ascii="Times New Roman" w:hAnsi="Times New Roman"/>
          <w:sz w:val="28"/>
        </w:rPr>
        <w:t xml:space="preserve"> employees</w:t>
      </w:r>
      <w:proofErr w:type="gramEnd"/>
      <w:r w:rsidRPr="008364C4">
        <w:rPr>
          <w:rFonts w:ascii="Times New Roman" w:hAnsi="Times New Roman"/>
          <w:sz w:val="28"/>
        </w:rPr>
        <w:t xml:space="preserve"> in the reporting period, workshops were org</w:t>
      </w:r>
      <w:r w:rsidR="001C2198">
        <w:rPr>
          <w:rFonts w:ascii="Times New Roman" w:hAnsi="Times New Roman"/>
          <w:sz w:val="28"/>
        </w:rPr>
        <w:t xml:space="preserve">anized for the employees </w:t>
      </w:r>
      <w:r w:rsidRPr="008364C4">
        <w:rPr>
          <w:rFonts w:ascii="Times New Roman" w:hAnsi="Times New Roman"/>
          <w:sz w:val="28"/>
        </w:rPr>
        <w:t>on the following topics:</w:t>
      </w:r>
    </w:p>
    <w:p w:rsidR="008C4A52" w:rsidRPr="008364C4" w:rsidRDefault="008C4A52" w:rsidP="000D3898">
      <w:pPr>
        <w:numPr>
          <w:ilvl w:val="0"/>
          <w:numId w:val="13"/>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The boom in information technology and the new</w:t>
      </w:r>
      <w:r w:rsidR="001C2198">
        <w:rPr>
          <w:rFonts w:ascii="Times New Roman" w:hAnsi="Times New Roman"/>
          <w:sz w:val="28"/>
        </w:rPr>
        <w:t xml:space="preserve"> privacy and personal data protection</w:t>
      </w:r>
      <w:r w:rsidRPr="008364C4">
        <w:rPr>
          <w:rFonts w:ascii="Times New Roman" w:hAnsi="Times New Roman"/>
          <w:sz w:val="28"/>
        </w:rPr>
        <w:t xml:space="preserve"> ch</w:t>
      </w:r>
      <w:r w:rsidR="001C2198">
        <w:rPr>
          <w:rFonts w:ascii="Times New Roman" w:hAnsi="Times New Roman"/>
          <w:sz w:val="28"/>
        </w:rPr>
        <w:t>allenges</w:t>
      </w:r>
      <w:r w:rsidRPr="008364C4">
        <w:rPr>
          <w:rFonts w:ascii="Times New Roman" w:hAnsi="Times New Roman"/>
          <w:sz w:val="28"/>
        </w:rPr>
        <w:t xml:space="preserve">; Methods for evaluation of information security, lecturer Prof. </w:t>
      </w:r>
      <w:proofErr w:type="spellStart"/>
      <w:r w:rsidRPr="008364C4">
        <w:rPr>
          <w:rFonts w:ascii="Times New Roman" w:hAnsi="Times New Roman"/>
          <w:sz w:val="28"/>
        </w:rPr>
        <w:t>DScC</w:t>
      </w:r>
      <w:proofErr w:type="spellEnd"/>
      <w:r w:rsidRPr="008364C4">
        <w:rPr>
          <w:rFonts w:ascii="Times New Roman" w:hAnsi="Times New Roman"/>
          <w:sz w:val="28"/>
        </w:rPr>
        <w:t xml:space="preserve">. Tselkov, member of CPDP; and Ordinance on the minimum level of technical and organizational measures and admissible type of personal data protection, presented by the working group assigned for its preparation; </w:t>
      </w:r>
    </w:p>
    <w:p w:rsidR="008C4A52" w:rsidRPr="008364C4" w:rsidRDefault="008C4A52" w:rsidP="000D3898">
      <w:pPr>
        <w:numPr>
          <w:ilvl w:val="0"/>
          <w:numId w:val="13"/>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Presentation of the outcomes of project "Exchange of experience in the conduct of training in personal data protection field" under the "Leonardo da Vinci" Programme, Mobility Module 2012-1-BG1 – LEO03-06870, to the employees of the Commission for Personal Data Protection;</w:t>
      </w:r>
    </w:p>
    <w:p w:rsidR="008C4A52" w:rsidRPr="008364C4" w:rsidRDefault="008C4A52" w:rsidP="000D3898">
      <w:pPr>
        <w:numPr>
          <w:ilvl w:val="0"/>
          <w:numId w:val="13"/>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 xml:space="preserve">Trends and developments in data protection (35th International Conference of Data Protection and Privacy Commissioners) and Technological Solution of CPDP for the implementation of the obligations under Regulation 611/2013, lecturer Prof. </w:t>
      </w:r>
      <w:proofErr w:type="spellStart"/>
      <w:r w:rsidRPr="008364C4">
        <w:rPr>
          <w:rFonts w:ascii="Times New Roman" w:hAnsi="Times New Roman"/>
          <w:sz w:val="28"/>
        </w:rPr>
        <w:t>DScC</w:t>
      </w:r>
      <w:proofErr w:type="spellEnd"/>
      <w:r w:rsidRPr="008364C4">
        <w:rPr>
          <w:rFonts w:ascii="Times New Roman" w:hAnsi="Times New Roman"/>
          <w:sz w:val="28"/>
        </w:rPr>
        <w:t xml:space="preserve"> Tselkov, member of CPDP, and the Law on Electronic Communications and Regulation 611/2013 EC, lecturer D. Toshkova, Direct</w:t>
      </w:r>
      <w:r w:rsidR="001C2198">
        <w:rPr>
          <w:rFonts w:ascii="Times New Roman" w:hAnsi="Times New Roman"/>
          <w:sz w:val="28"/>
        </w:rPr>
        <w:t>or of Legal Affairs</w:t>
      </w:r>
      <w:r w:rsidRPr="008364C4">
        <w:rPr>
          <w:rFonts w:ascii="Times New Roman" w:hAnsi="Times New Roman"/>
          <w:sz w:val="28"/>
        </w:rPr>
        <w:t>, Training an</w:t>
      </w:r>
      <w:r w:rsidR="001C2198">
        <w:rPr>
          <w:rFonts w:ascii="Times New Roman" w:hAnsi="Times New Roman"/>
          <w:sz w:val="28"/>
        </w:rPr>
        <w:t>d International Cooperation Directorate</w:t>
      </w:r>
      <w:r w:rsidRPr="008364C4">
        <w:rPr>
          <w:rFonts w:ascii="Times New Roman" w:hAnsi="Times New Roman"/>
          <w:sz w:val="28"/>
        </w:rPr>
        <w:t xml:space="preserve"> at CPDP.</w:t>
      </w:r>
    </w:p>
    <w:p w:rsidR="008C4A52" w:rsidRPr="008364C4" w:rsidRDefault="008C4A52" w:rsidP="008F6C33">
      <w:pPr>
        <w:numPr>
          <w:ilvl w:val="1"/>
          <w:numId w:val="14"/>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Analysis and evaluation of the effectiveness of the conducted training.</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All the employees of the </w:t>
      </w:r>
      <w:r w:rsidR="00012832">
        <w:rPr>
          <w:rFonts w:ascii="Times New Roman" w:hAnsi="Times New Roman"/>
          <w:sz w:val="28"/>
        </w:rPr>
        <w:t xml:space="preserve">Commission’s </w:t>
      </w:r>
      <w:r w:rsidRPr="008364C4">
        <w:rPr>
          <w:rFonts w:ascii="Times New Roman" w:hAnsi="Times New Roman"/>
          <w:sz w:val="28"/>
        </w:rPr>
        <w:t>administration, after completing various training courses, prepare</w:t>
      </w:r>
      <w:r w:rsidR="00012832">
        <w:rPr>
          <w:rFonts w:ascii="Times New Roman" w:hAnsi="Times New Roman"/>
          <w:sz w:val="28"/>
        </w:rPr>
        <w:t>d</w:t>
      </w:r>
      <w:r w:rsidRPr="008364C4">
        <w:rPr>
          <w:rFonts w:ascii="Times New Roman" w:hAnsi="Times New Roman"/>
          <w:sz w:val="28"/>
        </w:rPr>
        <w:t xml:space="preserve"> reports and complete</w:t>
      </w:r>
      <w:r w:rsidR="00012832">
        <w:rPr>
          <w:rFonts w:ascii="Times New Roman" w:hAnsi="Times New Roman"/>
          <w:sz w:val="28"/>
        </w:rPr>
        <w:t>d</w:t>
      </w:r>
      <w:r w:rsidRPr="008364C4">
        <w:rPr>
          <w:rFonts w:ascii="Times New Roman" w:hAnsi="Times New Roman"/>
          <w:sz w:val="28"/>
        </w:rPr>
        <w:t xml:space="preserve"> questionnaires that served as a basis of analysis and adequate reporting of the </w:t>
      </w:r>
      <w:r w:rsidR="00012832">
        <w:rPr>
          <w:rFonts w:ascii="Times New Roman" w:hAnsi="Times New Roman"/>
          <w:sz w:val="28"/>
        </w:rPr>
        <w:t xml:space="preserve">training </w:t>
      </w:r>
      <w:r w:rsidRPr="008364C4">
        <w:rPr>
          <w:rFonts w:ascii="Times New Roman" w:hAnsi="Times New Roman"/>
          <w:sz w:val="28"/>
        </w:rPr>
        <w:t>results.</w:t>
      </w:r>
    </w:p>
    <w:p w:rsidR="00FA10D0" w:rsidRPr="00740751" w:rsidRDefault="008C4A52" w:rsidP="00740751">
      <w:pPr>
        <w:spacing w:after="0" w:line="360" w:lineRule="auto"/>
        <w:ind w:firstLine="709"/>
        <w:jc w:val="both"/>
        <w:rPr>
          <w:rFonts w:ascii="Times New Roman" w:hAnsi="Times New Roman"/>
          <w:sz w:val="28"/>
        </w:rPr>
      </w:pPr>
      <w:r w:rsidRPr="008364C4">
        <w:rPr>
          <w:rFonts w:ascii="Times New Roman" w:hAnsi="Times New Roman"/>
          <w:sz w:val="28"/>
        </w:rPr>
        <w:t xml:space="preserve">The analysis of the </w:t>
      </w:r>
      <w:r w:rsidR="00012832">
        <w:rPr>
          <w:rFonts w:ascii="Times New Roman" w:hAnsi="Times New Roman"/>
          <w:sz w:val="28"/>
        </w:rPr>
        <w:t xml:space="preserve">employees’ </w:t>
      </w:r>
      <w:r w:rsidRPr="008364C4">
        <w:rPr>
          <w:rFonts w:ascii="Times New Roman" w:hAnsi="Times New Roman"/>
          <w:sz w:val="28"/>
        </w:rPr>
        <w:t xml:space="preserve">participation </w:t>
      </w:r>
      <w:r w:rsidR="00012832">
        <w:rPr>
          <w:rFonts w:ascii="Times New Roman" w:hAnsi="Times New Roman"/>
          <w:sz w:val="28"/>
        </w:rPr>
        <w:t>in training workshops showed</w:t>
      </w:r>
      <w:r w:rsidRPr="008364C4">
        <w:rPr>
          <w:rFonts w:ascii="Times New Roman" w:hAnsi="Times New Roman"/>
          <w:sz w:val="28"/>
        </w:rPr>
        <w:t xml:space="preserve"> that the separation from the work process has not affected the performance of the employees' duties. In general, the effectiveness evaluation of t</w:t>
      </w:r>
      <w:r w:rsidR="00012832">
        <w:rPr>
          <w:rFonts w:ascii="Times New Roman" w:hAnsi="Times New Roman"/>
          <w:sz w:val="28"/>
        </w:rPr>
        <w:t>he trainings conducted indicated</w:t>
      </w:r>
      <w:r w:rsidRPr="008364C4">
        <w:rPr>
          <w:rFonts w:ascii="Times New Roman" w:hAnsi="Times New Roman"/>
          <w:sz w:val="28"/>
        </w:rPr>
        <w:t xml:space="preserve"> a connection between the training process </w:t>
      </w:r>
      <w:r w:rsidR="00012832">
        <w:rPr>
          <w:rFonts w:ascii="Times New Roman" w:hAnsi="Times New Roman"/>
          <w:sz w:val="28"/>
        </w:rPr>
        <w:t xml:space="preserve">and </w:t>
      </w:r>
      <w:r w:rsidRPr="008364C4">
        <w:rPr>
          <w:rFonts w:ascii="Times New Roman" w:hAnsi="Times New Roman"/>
          <w:sz w:val="28"/>
        </w:rPr>
        <w:t>the</w:t>
      </w:r>
      <w:r w:rsidR="00012832">
        <w:rPr>
          <w:rFonts w:ascii="Times New Roman" w:hAnsi="Times New Roman"/>
          <w:sz w:val="28"/>
        </w:rPr>
        <w:t xml:space="preserve"> performance of CPDP’s </w:t>
      </w:r>
      <w:proofErr w:type="spellStart"/>
      <w:r w:rsidR="00012832">
        <w:rPr>
          <w:rFonts w:ascii="Times New Roman" w:hAnsi="Times New Roman"/>
          <w:sz w:val="28"/>
        </w:rPr>
        <w:t>tesks</w:t>
      </w:r>
      <w:proofErr w:type="spellEnd"/>
      <w:r w:rsidRPr="008364C4">
        <w:rPr>
          <w:rFonts w:ascii="Times New Roman" w:hAnsi="Times New Roman"/>
          <w:sz w:val="28"/>
        </w:rPr>
        <w:t>, o</w:t>
      </w:r>
      <w:r w:rsidR="00012832">
        <w:rPr>
          <w:rFonts w:ascii="Times New Roman" w:hAnsi="Times New Roman"/>
          <w:sz w:val="28"/>
        </w:rPr>
        <w:t>bjectives and priorities</w:t>
      </w:r>
      <w:r w:rsidRPr="008364C4">
        <w:rPr>
          <w:rFonts w:ascii="Times New Roman" w:hAnsi="Times New Roman"/>
          <w:sz w:val="28"/>
        </w:rPr>
        <w:t xml:space="preserve">.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 xml:space="preserve">Reporting on the </w:t>
      </w:r>
      <w:r w:rsidR="00740751">
        <w:rPr>
          <w:rFonts w:ascii="Times New Roman" w:hAnsi="Times New Roman"/>
          <w:sz w:val="28"/>
        </w:rPr>
        <w:t xml:space="preserve">training </w:t>
      </w:r>
      <w:r w:rsidRPr="008364C4">
        <w:rPr>
          <w:rFonts w:ascii="Times New Roman" w:hAnsi="Times New Roman"/>
          <w:sz w:val="28"/>
        </w:rPr>
        <w:t xml:space="preserve">efficiency under the OPAC project is provided as part of the activities </w:t>
      </w:r>
      <w:r w:rsidRPr="008963D6">
        <w:rPr>
          <w:rFonts w:ascii="Times New Roman" w:hAnsi="Times New Roman"/>
          <w:sz w:val="28"/>
        </w:rPr>
        <w:t xml:space="preserve">under the project, </w:t>
      </w:r>
      <w:r w:rsidRPr="008364C4">
        <w:rPr>
          <w:rFonts w:ascii="Times New Roman" w:hAnsi="Times New Roman"/>
          <w:sz w:val="28"/>
        </w:rPr>
        <w:t>which is scheduled to be completed in 2014.</w:t>
      </w:r>
    </w:p>
    <w:p w:rsidR="008C4A52" w:rsidRPr="008364C4" w:rsidRDefault="008C4A52" w:rsidP="008F6C33">
      <w:pPr>
        <w:numPr>
          <w:ilvl w:val="1"/>
          <w:numId w:val="14"/>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Training funding</w:t>
      </w:r>
    </w:p>
    <w:p w:rsidR="008C4A52" w:rsidRPr="008364C4" w:rsidRDefault="00740751" w:rsidP="00B112A9">
      <w:pPr>
        <w:spacing w:after="0" w:line="360" w:lineRule="auto"/>
        <w:ind w:firstLine="709"/>
        <w:jc w:val="both"/>
        <w:rPr>
          <w:rFonts w:ascii="Times New Roman" w:hAnsi="Times New Roman"/>
          <w:sz w:val="28"/>
          <w:szCs w:val="28"/>
        </w:rPr>
      </w:pPr>
      <w:r>
        <w:rPr>
          <w:rFonts w:ascii="Times New Roman" w:hAnsi="Times New Roman"/>
          <w:sz w:val="28"/>
        </w:rPr>
        <w:t xml:space="preserve">The training courses for CPDP’s </w:t>
      </w:r>
      <w:r w:rsidR="008C4A52" w:rsidRPr="008364C4">
        <w:rPr>
          <w:rFonts w:ascii="Times New Roman" w:hAnsi="Times New Roman"/>
          <w:sz w:val="28"/>
        </w:rPr>
        <w:t xml:space="preserve">employees scheduled under the Annual Training Plan are financed by the funds provided from the state budget.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The training on the project "Promoting the professional development of the </w:t>
      </w:r>
      <w:r w:rsidR="00740751">
        <w:rPr>
          <w:rFonts w:ascii="Times New Roman" w:hAnsi="Times New Roman"/>
          <w:sz w:val="28"/>
        </w:rPr>
        <w:t xml:space="preserve">CPDP’s employees </w:t>
      </w:r>
      <w:r w:rsidRPr="008364C4">
        <w:rPr>
          <w:rFonts w:ascii="Times New Roman" w:hAnsi="Times New Roman"/>
          <w:sz w:val="28"/>
        </w:rPr>
        <w:t>by applying a system of training in accordance wi</w:t>
      </w:r>
      <w:r w:rsidR="00740751">
        <w:rPr>
          <w:rFonts w:ascii="Times New Roman" w:hAnsi="Times New Roman"/>
          <w:sz w:val="28"/>
        </w:rPr>
        <w:t>th their professional duties" is</w:t>
      </w:r>
      <w:r w:rsidRPr="008364C4">
        <w:rPr>
          <w:rFonts w:ascii="Times New Roman" w:hAnsi="Times New Roman"/>
          <w:sz w:val="28"/>
        </w:rPr>
        <w:t xml:space="preserve"> financed by OPAC.</w:t>
      </w:r>
    </w:p>
    <w:p w:rsidR="008C4A52" w:rsidRPr="008364C4" w:rsidRDefault="008C4A52" w:rsidP="008F6C33">
      <w:pPr>
        <w:numPr>
          <w:ilvl w:val="1"/>
          <w:numId w:val="14"/>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 xml:space="preserve">Evaluation of the performance of the employees of the </w:t>
      </w:r>
      <w:r w:rsidR="00740751">
        <w:rPr>
          <w:rFonts w:ascii="Times New Roman" w:hAnsi="Times New Roman"/>
          <w:b/>
          <w:sz w:val="28"/>
        </w:rPr>
        <w:t xml:space="preserve">CPDP’s </w:t>
      </w:r>
      <w:r w:rsidRPr="008364C4">
        <w:rPr>
          <w:rFonts w:ascii="Times New Roman" w:hAnsi="Times New Roman"/>
          <w:b/>
          <w:sz w:val="28"/>
        </w:rPr>
        <w:t>administratio</w:t>
      </w:r>
      <w:r w:rsidR="00740751">
        <w:rPr>
          <w:rFonts w:ascii="Times New Roman" w:hAnsi="Times New Roman"/>
          <w:b/>
          <w:sz w:val="28"/>
        </w:rPr>
        <w:t xml:space="preserve">n </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evaluating of the performance of the CPDP employees takes place ann</w:t>
      </w:r>
      <w:r w:rsidR="00740751">
        <w:rPr>
          <w:rFonts w:ascii="Times New Roman" w:hAnsi="Times New Roman"/>
          <w:sz w:val="28"/>
        </w:rPr>
        <w:t>ually following the rules set in</w:t>
      </w:r>
      <w:r w:rsidRPr="008364C4">
        <w:rPr>
          <w:rFonts w:ascii="Times New Roman" w:hAnsi="Times New Roman"/>
          <w:sz w:val="28"/>
        </w:rPr>
        <w:t xml:space="preserve"> the Ordinance on the conditions and procedures for evaluating the performance of the employees in public administration (OCPEPEPA).</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process of evaluation of employees (under official and employment contracts) of the CPDP</w:t>
      </w:r>
      <w:r w:rsidR="00740751">
        <w:rPr>
          <w:rFonts w:ascii="Times New Roman" w:hAnsi="Times New Roman"/>
          <w:sz w:val="28"/>
        </w:rPr>
        <w:t>’s</w:t>
      </w:r>
      <w:r w:rsidRPr="008364C4">
        <w:rPr>
          <w:rFonts w:ascii="Times New Roman" w:hAnsi="Times New Roman"/>
          <w:sz w:val="28"/>
        </w:rPr>
        <w:t xml:space="preserve"> administration provides objective information to the evaluating manager on:</w:t>
      </w:r>
    </w:p>
    <w:p w:rsidR="0018713E" w:rsidRPr="008364C4" w:rsidRDefault="008C4A52" w:rsidP="000D3898">
      <w:pPr>
        <w:numPr>
          <w:ilvl w:val="0"/>
          <w:numId w:val="8"/>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the level of professional qualification of the staff in the manager's unit, and the conformity of the professional qualification with the requirements stipulated in the job descriptions;</w:t>
      </w:r>
    </w:p>
    <w:p w:rsidR="0018713E" w:rsidRPr="008364C4" w:rsidRDefault="008C4A52" w:rsidP="000D3898">
      <w:pPr>
        <w:numPr>
          <w:ilvl w:val="0"/>
          <w:numId w:val="8"/>
        </w:numPr>
        <w:tabs>
          <w:tab w:val="left" w:pos="1276"/>
        </w:tabs>
        <w:spacing w:after="0" w:line="360" w:lineRule="auto"/>
        <w:ind w:left="0" w:firstLine="993"/>
        <w:jc w:val="both"/>
        <w:rPr>
          <w:rFonts w:ascii="Times New Roman" w:hAnsi="Times New Roman"/>
          <w:sz w:val="28"/>
          <w:szCs w:val="28"/>
        </w:rPr>
      </w:pPr>
      <w:r w:rsidRPr="008364C4">
        <w:rPr>
          <w:rFonts w:ascii="Times New Roman" w:hAnsi="Times New Roman"/>
          <w:sz w:val="28"/>
        </w:rPr>
        <w:t>improving relationships in the work process, including between superiors and subordinates, and improving teamwork;</w:t>
      </w:r>
    </w:p>
    <w:p w:rsidR="008C4A52" w:rsidRPr="008364C4" w:rsidRDefault="008C4A52" w:rsidP="000D3898">
      <w:pPr>
        <w:numPr>
          <w:ilvl w:val="0"/>
          <w:numId w:val="8"/>
        </w:numPr>
        <w:tabs>
          <w:tab w:val="left" w:pos="1276"/>
        </w:tabs>
        <w:spacing w:after="0" w:line="360" w:lineRule="auto"/>
        <w:ind w:left="0" w:firstLine="993"/>
        <w:jc w:val="both"/>
        <w:rPr>
          <w:rFonts w:ascii="Times New Roman" w:hAnsi="Times New Roman"/>
          <w:sz w:val="28"/>
          <w:szCs w:val="28"/>
        </w:rPr>
      </w:pPr>
      <w:proofErr w:type="gramStart"/>
      <w:r w:rsidRPr="008364C4">
        <w:rPr>
          <w:rFonts w:ascii="Times New Roman" w:hAnsi="Times New Roman"/>
          <w:sz w:val="28"/>
        </w:rPr>
        <w:t>creating</w:t>
      </w:r>
      <w:proofErr w:type="gramEnd"/>
      <w:r w:rsidRPr="008364C4">
        <w:rPr>
          <w:rFonts w:ascii="Times New Roman" w:hAnsi="Times New Roman"/>
          <w:sz w:val="28"/>
        </w:rPr>
        <w:t xml:space="preserve"> conditions for the implementation of fair and transparent procedures for professional and career development of the </w:t>
      </w:r>
      <w:r w:rsidR="00740751">
        <w:rPr>
          <w:rFonts w:ascii="Times New Roman" w:hAnsi="Times New Roman"/>
          <w:sz w:val="28"/>
        </w:rPr>
        <w:t>CPDP’s employees</w:t>
      </w:r>
      <w:r w:rsidRPr="008364C4">
        <w:rPr>
          <w:rFonts w:ascii="Times New Roman" w:hAnsi="Times New Roman"/>
          <w:sz w:val="28"/>
        </w:rPr>
        <w:t>.</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During the reporting period, evaluations on the performance of 61 employees were prepared in 2012. Such evaluation was not carried out for 13 employees, because 6-month absence during the evaluation period.</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lastRenderedPageBreak/>
        <w:t>The individua</w:t>
      </w:r>
      <w:r w:rsidR="00740751">
        <w:rPr>
          <w:rFonts w:ascii="Times New Roman" w:hAnsi="Times New Roman"/>
          <w:sz w:val="28"/>
        </w:rPr>
        <w:t>l work plans of 70 employees were</w:t>
      </w:r>
      <w:r w:rsidRPr="008364C4">
        <w:rPr>
          <w:rFonts w:ascii="Times New Roman" w:hAnsi="Times New Roman"/>
          <w:sz w:val="28"/>
        </w:rPr>
        <w:t xml:space="preserve"> prepared</w:t>
      </w:r>
      <w:r w:rsidR="00740751">
        <w:rPr>
          <w:rFonts w:ascii="Times New Roman" w:hAnsi="Times New Roman"/>
          <w:sz w:val="28"/>
        </w:rPr>
        <w:t xml:space="preserve"> and coordinated, and no plan was</w:t>
      </w:r>
      <w:r w:rsidRPr="008364C4">
        <w:rPr>
          <w:rFonts w:ascii="Times New Roman" w:hAnsi="Times New Roman"/>
          <w:sz w:val="28"/>
        </w:rPr>
        <w:t xml:space="preserve"> prepared for 4 employees, because of their prolonged absence (maternity leave - 3, extended unpaid leave - 1).</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During the period from 1 July to 15 August 2013 an interim meeting was held between the evaluation manager</w:t>
      </w:r>
      <w:r w:rsidR="00740751">
        <w:rPr>
          <w:rFonts w:ascii="Times New Roman" w:hAnsi="Times New Roman"/>
          <w:sz w:val="28"/>
        </w:rPr>
        <w:t>s</w:t>
      </w:r>
      <w:r w:rsidRPr="008364C4">
        <w:rPr>
          <w:rFonts w:ascii="Times New Roman" w:hAnsi="Times New Roman"/>
          <w:sz w:val="28"/>
        </w:rPr>
        <w:t xml:space="preserve"> and the evaluated employee</w:t>
      </w:r>
      <w:r w:rsidR="00740751">
        <w:rPr>
          <w:rFonts w:ascii="Times New Roman" w:hAnsi="Times New Roman"/>
          <w:sz w:val="28"/>
        </w:rPr>
        <w:t>s</w:t>
      </w:r>
      <w:r w:rsidRPr="008364C4">
        <w:rPr>
          <w:rFonts w:ascii="Times New Roman" w:hAnsi="Times New Roman"/>
          <w:sz w:val="28"/>
        </w:rPr>
        <w:t xml:space="preserve"> (total 68 employees). Upon completion of the interim meeting, the completed evaluation forms were stored in the files of the employees.</w:t>
      </w:r>
    </w:p>
    <w:p w:rsidR="008C4A52" w:rsidRPr="008364C4" w:rsidRDefault="008C4A52" w:rsidP="008F6C33">
      <w:pPr>
        <w:numPr>
          <w:ilvl w:val="1"/>
          <w:numId w:val="14"/>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Conducting competition</w:t>
      </w:r>
      <w:r w:rsidR="00740751">
        <w:rPr>
          <w:rFonts w:ascii="Times New Roman" w:hAnsi="Times New Roman"/>
          <w:b/>
          <w:sz w:val="28"/>
        </w:rPr>
        <w:t>s for vacant positions in CPDP’s a</w:t>
      </w:r>
      <w:r w:rsidRPr="008364C4">
        <w:rPr>
          <w:rFonts w:ascii="Times New Roman" w:hAnsi="Times New Roman"/>
          <w:b/>
          <w:sz w:val="28"/>
        </w:rPr>
        <w:t>dministration</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During the reporting period, no new completions were announced for filling vacancies in the administration of CPDP.</w:t>
      </w:r>
    </w:p>
    <w:p w:rsidR="008C4A52" w:rsidRPr="008364C4" w:rsidRDefault="008C4A52" w:rsidP="008F6C33">
      <w:pPr>
        <w:numPr>
          <w:ilvl w:val="1"/>
          <w:numId w:val="14"/>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Job descriptions</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accordance with the Ordinance on the job descriptions of civil servants and the Ordinance implementing the unified classification of administrative positions, all administrative job positions in CPDP </w:t>
      </w:r>
      <w:r w:rsidR="008963D6" w:rsidRPr="008963D6">
        <w:rPr>
          <w:rFonts w:ascii="Times New Roman" w:hAnsi="Times New Roman"/>
          <w:sz w:val="28"/>
        </w:rPr>
        <w:t>have</w:t>
      </w:r>
      <w:r w:rsidRPr="008364C4">
        <w:rPr>
          <w:rFonts w:ascii="Times New Roman" w:hAnsi="Times New Roman"/>
          <w:sz w:val="28"/>
        </w:rPr>
        <w:t xml:space="preserve"> job descriptions. Their last update wa</w:t>
      </w:r>
      <w:r w:rsidR="00740751">
        <w:rPr>
          <w:rFonts w:ascii="Times New Roman" w:hAnsi="Times New Roman"/>
          <w:sz w:val="28"/>
        </w:rPr>
        <w:t xml:space="preserve">s as of August 2012, reflected </w:t>
      </w:r>
      <w:r w:rsidRPr="008364C4">
        <w:rPr>
          <w:rFonts w:ascii="Times New Roman" w:hAnsi="Times New Roman"/>
          <w:sz w:val="28"/>
        </w:rPr>
        <w:t xml:space="preserve">changes in the </w:t>
      </w:r>
      <w:r w:rsidR="00740751">
        <w:rPr>
          <w:rFonts w:ascii="Times New Roman" w:hAnsi="Times New Roman"/>
          <w:sz w:val="28"/>
        </w:rPr>
        <w:t xml:space="preserve">public administration </w:t>
      </w:r>
      <w:r w:rsidRPr="008364C4">
        <w:rPr>
          <w:rFonts w:ascii="Times New Roman" w:hAnsi="Times New Roman"/>
          <w:sz w:val="28"/>
        </w:rPr>
        <w:t xml:space="preserve">regulatory requirements. During the reporting period, 1 job description had to be </w:t>
      </w:r>
      <w:r w:rsidRPr="008963D6">
        <w:rPr>
          <w:rFonts w:ascii="Times New Roman" w:hAnsi="Times New Roman"/>
          <w:sz w:val="28"/>
        </w:rPr>
        <w:t>amended or supplemented</w:t>
      </w:r>
      <w:r w:rsidRPr="008364C4">
        <w:rPr>
          <w:rFonts w:ascii="Times New Roman" w:hAnsi="Times New Roman"/>
          <w:sz w:val="28"/>
        </w:rPr>
        <w:t>.</w:t>
      </w:r>
    </w:p>
    <w:p w:rsidR="008C4A52" w:rsidRPr="008364C4" w:rsidRDefault="008C4A52" w:rsidP="008F6C33">
      <w:pPr>
        <w:numPr>
          <w:ilvl w:val="1"/>
          <w:numId w:val="14"/>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Development of internal regulation documents</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During the reporting period significant amendments were made to the Public Procurement Act. In this regard, a draft of new rules governing the procedures of public procurements was developed and approved by the Chairperson of CPDP.</w:t>
      </w:r>
    </w:p>
    <w:p w:rsidR="008C4A52" w:rsidRPr="008364C4" w:rsidRDefault="008C4A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The lawful and proper implementation of the amendments to the regulations also required appropriate amendments to the CPDP’s internal regulation documents. In this regard, a draft of internal rules for human resources manageme</w:t>
      </w:r>
      <w:r w:rsidR="00740751">
        <w:rPr>
          <w:rFonts w:ascii="Times New Roman" w:hAnsi="Times New Roman"/>
          <w:sz w:val="28"/>
        </w:rPr>
        <w:t>nt and development was prepared</w:t>
      </w:r>
      <w:r w:rsidRPr="008364C4">
        <w:rPr>
          <w:rFonts w:ascii="Times New Roman" w:hAnsi="Times New Roman"/>
          <w:sz w:val="28"/>
        </w:rPr>
        <w:t xml:space="preserve"> in CPDP. </w:t>
      </w:r>
    </w:p>
    <w:p w:rsidR="00AA2D0F" w:rsidRPr="008364C4" w:rsidRDefault="00AA2D0F" w:rsidP="00EF678C">
      <w:pPr>
        <w:numPr>
          <w:ilvl w:val="1"/>
          <w:numId w:val="14"/>
        </w:numPr>
        <w:tabs>
          <w:tab w:val="left" w:pos="1276"/>
        </w:tabs>
        <w:spacing w:after="0" w:line="360" w:lineRule="auto"/>
        <w:ind w:left="0" w:firstLine="709"/>
        <w:jc w:val="both"/>
        <w:rPr>
          <w:rFonts w:ascii="Times New Roman" w:hAnsi="Times New Roman"/>
          <w:b/>
          <w:sz w:val="28"/>
          <w:szCs w:val="28"/>
        </w:rPr>
      </w:pPr>
      <w:r w:rsidRPr="008364C4">
        <w:rPr>
          <w:rFonts w:ascii="Times New Roman" w:hAnsi="Times New Roman"/>
          <w:b/>
          <w:sz w:val="28"/>
        </w:rPr>
        <w:t xml:space="preserve">Public Procurement </w:t>
      </w:r>
    </w:p>
    <w:p w:rsidR="008C4A52" w:rsidRPr="008364C4" w:rsidRDefault="00AA2D0F"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During the year the Commission carried out 9 procedures of public procurements in compliance with the requirements of the Law on Public </w:t>
      </w:r>
      <w:r w:rsidRPr="008364C4">
        <w:rPr>
          <w:rFonts w:ascii="Times New Roman" w:hAnsi="Times New Roman"/>
          <w:sz w:val="28"/>
        </w:rPr>
        <w:lastRenderedPageBreak/>
        <w:t xml:space="preserve">Procurement. Of these, 4 are related to the execution of approved projects under the Operational Programme "Administrative Capacity". </w:t>
      </w:r>
    </w:p>
    <w:p w:rsidR="008C4A52" w:rsidRPr="00740751" w:rsidRDefault="008C4A52" w:rsidP="00B112A9">
      <w:pPr>
        <w:spacing w:after="0" w:line="360" w:lineRule="auto"/>
        <w:ind w:firstLine="709"/>
        <w:jc w:val="both"/>
        <w:rPr>
          <w:rFonts w:ascii="Times New Roman" w:hAnsi="Times New Roman"/>
          <w:color w:val="FF0000"/>
          <w:sz w:val="28"/>
          <w:szCs w:val="28"/>
        </w:rPr>
      </w:pPr>
      <w:r w:rsidRPr="008364C4">
        <w:rPr>
          <w:rFonts w:ascii="Times New Roman" w:hAnsi="Times New Roman"/>
          <w:sz w:val="28"/>
        </w:rPr>
        <w:t xml:space="preserve">After the successful implementation of these procedures, contracts were executed with the selected contractors. The files of the completed public procurements are completed and archived in accordance with the requirements of LPP and </w:t>
      </w:r>
      <w:r w:rsidRPr="008963D6">
        <w:rPr>
          <w:rFonts w:ascii="Times New Roman" w:hAnsi="Times New Roman"/>
          <w:sz w:val="28"/>
        </w:rPr>
        <w:t>the Internal Rules of CPDP</w:t>
      </w:r>
      <w:r w:rsidRPr="00740751">
        <w:rPr>
          <w:rFonts w:ascii="Times New Roman" w:hAnsi="Times New Roman"/>
          <w:color w:val="FF0000"/>
          <w:sz w:val="28"/>
        </w:rPr>
        <w:t xml:space="preserve">. </w:t>
      </w:r>
    </w:p>
    <w:p w:rsidR="008C4A52" w:rsidRPr="008364C4" w:rsidRDefault="008C4A52" w:rsidP="00B112A9">
      <w:pPr>
        <w:spacing w:after="0" w:line="360" w:lineRule="auto"/>
        <w:ind w:firstLine="709"/>
        <w:jc w:val="both"/>
        <w:rPr>
          <w:rFonts w:ascii="Times New Roman" w:hAnsi="Times New Roman"/>
          <w:sz w:val="28"/>
          <w:szCs w:val="28"/>
        </w:rPr>
      </w:pPr>
    </w:p>
    <w:p w:rsidR="00E854DB" w:rsidRPr="008364C4" w:rsidRDefault="00E854DB" w:rsidP="00B112A9">
      <w:pPr>
        <w:tabs>
          <w:tab w:val="left" w:pos="993"/>
        </w:tabs>
        <w:spacing w:after="0" w:line="360" w:lineRule="auto"/>
        <w:ind w:firstLine="709"/>
        <w:jc w:val="both"/>
        <w:rPr>
          <w:rFonts w:ascii="Times New Roman" w:hAnsi="Times New Roman"/>
          <w:b/>
          <w:sz w:val="28"/>
          <w:szCs w:val="28"/>
        </w:rPr>
      </w:pPr>
      <w:r w:rsidRPr="008364C4">
        <w:rPr>
          <w:rFonts w:ascii="Times New Roman" w:hAnsi="Times New Roman"/>
          <w:b/>
          <w:sz w:val="28"/>
        </w:rPr>
        <w:t>2. Budget</w:t>
      </w:r>
    </w:p>
    <w:p w:rsidR="00E854DB" w:rsidRPr="008364C4" w:rsidRDefault="00E854DB" w:rsidP="00B112A9">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With the Law for the State Budget</w:t>
      </w:r>
      <w:r w:rsidR="00740751">
        <w:rPr>
          <w:rFonts w:ascii="Times New Roman" w:hAnsi="Times New Roman"/>
          <w:sz w:val="28"/>
        </w:rPr>
        <w:t xml:space="preserve"> of the Republic of Bulgaria</w:t>
      </w:r>
      <w:r w:rsidRPr="008364C4">
        <w:rPr>
          <w:rFonts w:ascii="Times New Roman" w:hAnsi="Times New Roman"/>
          <w:sz w:val="28"/>
        </w:rPr>
        <w:t xml:space="preserve"> (LSBRB) for 2013 and the Council of Ministers Decree No 1 dated 9 January 2013 on the implementation of the state budget of the Republic of Bulgaria for 2013, the operating budget of the CPDP was approved to the amount of BGN 2,700,000. </w:t>
      </w:r>
    </w:p>
    <w:p w:rsidR="00E854DB" w:rsidRPr="008364C4" w:rsidRDefault="00E854DB" w:rsidP="00B112A9">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 xml:space="preserve">During the year the budget of the Commission was increased by BGN 18,430 as it was adjusted by the Ministry of Finance in connection with concluded contracts for granting financial support for the projects Mobility and Partnership under </w:t>
      </w:r>
      <w:proofErr w:type="spellStart"/>
      <w:r w:rsidRPr="008364C4">
        <w:rPr>
          <w:rFonts w:ascii="Times New Roman" w:hAnsi="Times New Roman"/>
          <w:sz w:val="28"/>
        </w:rPr>
        <w:t>sectoral</w:t>
      </w:r>
      <w:proofErr w:type="spellEnd"/>
      <w:r w:rsidRPr="008364C4">
        <w:rPr>
          <w:rFonts w:ascii="Times New Roman" w:hAnsi="Times New Roman"/>
          <w:sz w:val="28"/>
        </w:rPr>
        <w:t xml:space="preserve"> programme "Leonardo ad Vinci", Lifelong Learning Programme of the European Union. </w:t>
      </w:r>
    </w:p>
    <w:p w:rsidR="00E854DB" w:rsidRPr="008364C4" w:rsidRDefault="00E854DB" w:rsidP="00B112A9">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Pursuant to the Council of Ministers Decree No. 75 dated 29 March 2013 on the restructuring of non-interest expenditures in the national budget for 2013, the budget of the CPDP was reduced by the amount of BGN 24,900.</w:t>
      </w:r>
    </w:p>
    <w:p w:rsidR="00E854DB" w:rsidRPr="008364C4" w:rsidRDefault="00E854DB" w:rsidP="00B112A9">
      <w:pPr>
        <w:tabs>
          <w:tab w:val="left" w:pos="993"/>
        </w:tabs>
        <w:spacing w:after="0" w:line="360" w:lineRule="auto"/>
        <w:ind w:firstLine="709"/>
        <w:jc w:val="both"/>
        <w:rPr>
          <w:rFonts w:ascii="Times New Roman" w:hAnsi="Times New Roman"/>
          <w:sz w:val="28"/>
          <w:szCs w:val="28"/>
        </w:rPr>
      </w:pPr>
      <w:r w:rsidRPr="008364C4">
        <w:rPr>
          <w:rFonts w:ascii="Times New Roman" w:hAnsi="Times New Roman"/>
          <w:sz w:val="28"/>
        </w:rPr>
        <w:t>After these adjustments the budget of the CPDP amounts to BGN 2,693,530.</w:t>
      </w:r>
    </w:p>
    <w:p w:rsidR="00E854DB" w:rsidRDefault="00E854DB" w:rsidP="00B112A9">
      <w:pPr>
        <w:tabs>
          <w:tab w:val="left" w:pos="993"/>
        </w:tabs>
        <w:spacing w:after="0" w:line="360" w:lineRule="auto"/>
        <w:ind w:firstLine="709"/>
        <w:jc w:val="both"/>
        <w:rPr>
          <w:rFonts w:ascii="Times New Roman" w:hAnsi="Times New Roman"/>
          <w:sz w:val="28"/>
        </w:rPr>
      </w:pPr>
      <w:r w:rsidRPr="008364C4">
        <w:rPr>
          <w:rFonts w:ascii="Times New Roman" w:hAnsi="Times New Roman"/>
          <w:sz w:val="28"/>
        </w:rPr>
        <w:t xml:space="preserve">The costs </w:t>
      </w:r>
      <w:r w:rsidRPr="008963D6">
        <w:rPr>
          <w:rFonts w:ascii="Times New Roman" w:hAnsi="Times New Roman"/>
          <w:sz w:val="28"/>
        </w:rPr>
        <w:t xml:space="preserve">incurred </w:t>
      </w:r>
      <w:r w:rsidR="008963D6" w:rsidRPr="008963D6">
        <w:rPr>
          <w:rFonts w:ascii="Times New Roman" w:hAnsi="Times New Roman"/>
          <w:sz w:val="28"/>
        </w:rPr>
        <w:t xml:space="preserve">for ensuring </w:t>
      </w:r>
      <w:r w:rsidRPr="008963D6">
        <w:rPr>
          <w:rFonts w:ascii="Times New Roman" w:hAnsi="Times New Roman"/>
          <w:sz w:val="28"/>
        </w:rPr>
        <w:t xml:space="preserve">the activity </w:t>
      </w:r>
      <w:r w:rsidRPr="008364C4">
        <w:rPr>
          <w:rFonts w:ascii="Times New Roman" w:hAnsi="Times New Roman"/>
          <w:sz w:val="28"/>
        </w:rPr>
        <w:t>of the Commission for Personal Data Protection and its administration amount to BGN 2,514,960, or 93.37 % of the appro</w:t>
      </w:r>
      <w:r w:rsidR="00997AD0">
        <w:rPr>
          <w:rFonts w:ascii="Times New Roman" w:hAnsi="Times New Roman"/>
          <w:sz w:val="28"/>
        </w:rPr>
        <w:t>ved estimated</w:t>
      </w:r>
      <w:r w:rsidRPr="008364C4">
        <w:rPr>
          <w:rFonts w:ascii="Times New Roman" w:hAnsi="Times New Roman"/>
          <w:sz w:val="28"/>
        </w:rPr>
        <w:t xml:space="preserve"> for the year. The types of costs distributed by sections of the Unified Budget Classification (UBC) are presented in the following table: </w:t>
      </w:r>
    </w:p>
    <w:p w:rsidR="004A59BE" w:rsidRDefault="004A59BE" w:rsidP="00B112A9">
      <w:pPr>
        <w:tabs>
          <w:tab w:val="left" w:pos="993"/>
        </w:tabs>
        <w:spacing w:after="0" w:line="360" w:lineRule="auto"/>
        <w:ind w:firstLine="709"/>
        <w:jc w:val="both"/>
        <w:rPr>
          <w:rFonts w:ascii="Times New Roman" w:hAnsi="Times New Roman"/>
          <w:sz w:val="28"/>
        </w:rPr>
      </w:pPr>
    </w:p>
    <w:p w:rsidR="004A59BE" w:rsidRDefault="004A59BE" w:rsidP="00B112A9">
      <w:pPr>
        <w:tabs>
          <w:tab w:val="left" w:pos="993"/>
        </w:tabs>
        <w:spacing w:after="0" w:line="360" w:lineRule="auto"/>
        <w:ind w:firstLine="709"/>
        <w:jc w:val="both"/>
        <w:rPr>
          <w:rFonts w:ascii="Times New Roman" w:hAnsi="Times New Roman"/>
          <w:sz w:val="28"/>
        </w:rPr>
      </w:pPr>
    </w:p>
    <w:p w:rsidR="004A59BE" w:rsidRDefault="004A59BE" w:rsidP="00B112A9">
      <w:pPr>
        <w:tabs>
          <w:tab w:val="left" w:pos="993"/>
        </w:tabs>
        <w:spacing w:after="0" w:line="360" w:lineRule="auto"/>
        <w:ind w:firstLine="709"/>
        <w:jc w:val="both"/>
        <w:rPr>
          <w:rFonts w:ascii="Times New Roman" w:hAnsi="Times New Roman"/>
          <w:sz w:val="28"/>
        </w:rPr>
      </w:pPr>
    </w:p>
    <w:p w:rsidR="004A59BE" w:rsidRPr="008364C4" w:rsidRDefault="004A59BE" w:rsidP="00B112A9">
      <w:pPr>
        <w:tabs>
          <w:tab w:val="left" w:pos="993"/>
        </w:tabs>
        <w:spacing w:after="0" w:line="360" w:lineRule="auto"/>
        <w:ind w:firstLine="709"/>
        <w:jc w:val="both"/>
        <w:rPr>
          <w:rFonts w:ascii="Times New Roman" w:hAnsi="Times New Roman"/>
          <w:sz w:val="28"/>
          <w:szCs w:val="28"/>
        </w:rPr>
      </w:pPr>
    </w:p>
    <w:tbl>
      <w:tblPr>
        <w:tblW w:w="9231" w:type="dxa"/>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5319"/>
        <w:gridCol w:w="2131"/>
      </w:tblGrid>
      <w:tr w:rsidR="00A65E18" w:rsidRPr="008364C4" w:rsidTr="00B35778">
        <w:trPr>
          <w:jc w:val="center"/>
        </w:trPr>
        <w:tc>
          <w:tcPr>
            <w:tcW w:w="178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tabs>
                <w:tab w:val="left" w:pos="993"/>
              </w:tabs>
              <w:spacing w:after="0" w:line="240" w:lineRule="auto"/>
              <w:ind w:firstLine="115"/>
              <w:jc w:val="center"/>
              <w:rPr>
                <w:rFonts w:ascii="Times New Roman" w:hAnsi="Times New Roman"/>
                <w:b/>
                <w:bCs/>
                <w:sz w:val="28"/>
                <w:szCs w:val="28"/>
              </w:rPr>
            </w:pPr>
            <w:r w:rsidRPr="008364C4">
              <w:rPr>
                <w:rFonts w:ascii="Times New Roman" w:hAnsi="Times New Roman"/>
                <w:b/>
                <w:sz w:val="28"/>
              </w:rPr>
              <w:lastRenderedPageBreak/>
              <w:t>Section</w:t>
            </w:r>
          </w:p>
        </w:tc>
        <w:tc>
          <w:tcPr>
            <w:tcW w:w="5319"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tabs>
                <w:tab w:val="left" w:pos="993"/>
              </w:tabs>
              <w:spacing w:after="0" w:line="240" w:lineRule="auto"/>
              <w:ind w:firstLine="709"/>
              <w:jc w:val="both"/>
              <w:rPr>
                <w:rFonts w:ascii="Times New Roman" w:hAnsi="Times New Roman"/>
                <w:b/>
                <w:bCs/>
                <w:sz w:val="28"/>
                <w:szCs w:val="28"/>
              </w:rPr>
            </w:pPr>
            <w:r w:rsidRPr="008364C4">
              <w:rPr>
                <w:rFonts w:ascii="Times New Roman" w:hAnsi="Times New Roman"/>
                <w:b/>
                <w:sz w:val="28"/>
              </w:rPr>
              <w:t>Name of expenses</w:t>
            </w:r>
          </w:p>
        </w:tc>
        <w:tc>
          <w:tcPr>
            <w:tcW w:w="213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jc w:val="center"/>
              <w:rPr>
                <w:rFonts w:ascii="Times New Roman" w:hAnsi="Times New Roman"/>
                <w:b/>
                <w:bCs/>
                <w:sz w:val="28"/>
                <w:szCs w:val="28"/>
              </w:rPr>
            </w:pPr>
            <w:r w:rsidRPr="008364C4">
              <w:rPr>
                <w:rFonts w:ascii="Times New Roman" w:hAnsi="Times New Roman"/>
                <w:b/>
                <w:sz w:val="28"/>
              </w:rPr>
              <w:t xml:space="preserve">Amount </w:t>
            </w:r>
          </w:p>
          <w:p w:rsidR="00E854DB" w:rsidRPr="008364C4" w:rsidRDefault="00E854DB" w:rsidP="003903FE">
            <w:pPr>
              <w:spacing w:after="0" w:line="240" w:lineRule="auto"/>
              <w:jc w:val="center"/>
              <w:rPr>
                <w:rFonts w:ascii="Times New Roman" w:hAnsi="Times New Roman"/>
                <w:b/>
                <w:bCs/>
                <w:sz w:val="28"/>
                <w:szCs w:val="28"/>
              </w:rPr>
            </w:pPr>
            <w:r w:rsidRPr="008364C4">
              <w:rPr>
                <w:rFonts w:ascii="Times New Roman" w:hAnsi="Times New Roman"/>
                <w:b/>
                <w:sz w:val="28"/>
              </w:rPr>
              <w:t>(BGN)</w:t>
            </w:r>
          </w:p>
        </w:tc>
      </w:tr>
      <w:tr w:rsidR="00A65E18" w:rsidRPr="008364C4" w:rsidTr="00B35778">
        <w:trPr>
          <w:trHeight w:val="993"/>
          <w:jc w:val="center"/>
        </w:trPr>
        <w:tc>
          <w:tcPr>
            <w:tcW w:w="178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tabs>
                <w:tab w:val="left" w:pos="993"/>
              </w:tabs>
              <w:spacing w:after="0" w:line="240" w:lineRule="auto"/>
              <w:jc w:val="both"/>
              <w:rPr>
                <w:rFonts w:ascii="Times New Roman" w:hAnsi="Times New Roman"/>
                <w:sz w:val="28"/>
                <w:szCs w:val="28"/>
              </w:rPr>
            </w:pPr>
            <w:r w:rsidRPr="008364C4">
              <w:rPr>
                <w:rFonts w:ascii="Times New Roman" w:hAnsi="Times New Roman"/>
                <w:sz w:val="28"/>
              </w:rPr>
              <w:t>01-00</w:t>
            </w:r>
          </w:p>
        </w:tc>
        <w:tc>
          <w:tcPr>
            <w:tcW w:w="5319"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ind w:firstLine="35"/>
              <w:jc w:val="both"/>
              <w:rPr>
                <w:rFonts w:ascii="Times New Roman" w:hAnsi="Times New Roman"/>
                <w:sz w:val="28"/>
                <w:szCs w:val="28"/>
              </w:rPr>
            </w:pPr>
            <w:r w:rsidRPr="008364C4">
              <w:rPr>
                <w:rFonts w:ascii="Times New Roman" w:hAnsi="Times New Roman"/>
                <w:sz w:val="28"/>
              </w:rPr>
              <w:t>Salaries and wages for staff employed under labour and official contracts</w:t>
            </w:r>
          </w:p>
        </w:tc>
        <w:tc>
          <w:tcPr>
            <w:tcW w:w="213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jc w:val="right"/>
              <w:rPr>
                <w:rFonts w:ascii="Times New Roman" w:hAnsi="Times New Roman"/>
                <w:sz w:val="28"/>
                <w:szCs w:val="28"/>
              </w:rPr>
            </w:pPr>
          </w:p>
          <w:p w:rsidR="00E854DB" w:rsidRPr="008364C4" w:rsidRDefault="00E854DB" w:rsidP="003903FE">
            <w:pPr>
              <w:spacing w:after="0" w:line="240" w:lineRule="auto"/>
              <w:jc w:val="right"/>
              <w:rPr>
                <w:rFonts w:ascii="Times New Roman" w:hAnsi="Times New Roman"/>
                <w:sz w:val="28"/>
                <w:szCs w:val="28"/>
              </w:rPr>
            </w:pPr>
            <w:r w:rsidRPr="008364C4">
              <w:rPr>
                <w:rFonts w:ascii="Times New Roman" w:hAnsi="Times New Roman"/>
                <w:sz w:val="28"/>
              </w:rPr>
              <w:t xml:space="preserve">1,040,847  </w:t>
            </w:r>
          </w:p>
        </w:tc>
      </w:tr>
      <w:tr w:rsidR="00A65E18" w:rsidRPr="008364C4" w:rsidTr="00B35778">
        <w:trPr>
          <w:jc w:val="center"/>
        </w:trPr>
        <w:tc>
          <w:tcPr>
            <w:tcW w:w="1781" w:type="dxa"/>
            <w:tcBorders>
              <w:top w:val="single" w:sz="4" w:space="0" w:color="auto"/>
              <w:left w:val="single" w:sz="4" w:space="0" w:color="auto"/>
              <w:bottom w:val="single" w:sz="4" w:space="0" w:color="auto"/>
              <w:right w:val="single" w:sz="4" w:space="0" w:color="auto"/>
            </w:tcBorders>
          </w:tcPr>
          <w:p w:rsidR="00E854DB" w:rsidRPr="008364C4" w:rsidRDefault="00E854DB" w:rsidP="00261515">
            <w:pPr>
              <w:tabs>
                <w:tab w:val="left" w:pos="993"/>
              </w:tabs>
              <w:spacing w:after="0" w:line="360" w:lineRule="auto"/>
              <w:jc w:val="both"/>
              <w:rPr>
                <w:rFonts w:ascii="Times New Roman" w:hAnsi="Times New Roman"/>
                <w:sz w:val="28"/>
                <w:szCs w:val="28"/>
              </w:rPr>
            </w:pPr>
            <w:r w:rsidRPr="008364C4">
              <w:rPr>
                <w:rFonts w:ascii="Times New Roman" w:hAnsi="Times New Roman"/>
                <w:sz w:val="28"/>
              </w:rPr>
              <w:t>02-00</w:t>
            </w:r>
          </w:p>
        </w:tc>
        <w:tc>
          <w:tcPr>
            <w:tcW w:w="5319" w:type="dxa"/>
            <w:tcBorders>
              <w:top w:val="single" w:sz="4" w:space="0" w:color="auto"/>
              <w:left w:val="single" w:sz="4" w:space="0" w:color="auto"/>
              <w:bottom w:val="single" w:sz="4" w:space="0" w:color="auto"/>
              <w:right w:val="single" w:sz="4" w:space="0" w:color="auto"/>
            </w:tcBorders>
          </w:tcPr>
          <w:p w:rsidR="00E854DB" w:rsidRPr="008364C4" w:rsidRDefault="00E854DB" w:rsidP="00997AD0">
            <w:pPr>
              <w:spacing w:after="0" w:line="240" w:lineRule="auto"/>
              <w:ind w:firstLine="35"/>
              <w:jc w:val="both"/>
              <w:rPr>
                <w:rFonts w:ascii="Times New Roman" w:hAnsi="Times New Roman"/>
                <w:sz w:val="28"/>
                <w:szCs w:val="28"/>
              </w:rPr>
            </w:pPr>
            <w:r w:rsidRPr="008364C4">
              <w:rPr>
                <w:rFonts w:ascii="Times New Roman" w:hAnsi="Times New Roman"/>
                <w:sz w:val="28"/>
              </w:rPr>
              <w:t xml:space="preserve">Other remunerations and </w:t>
            </w:r>
            <w:r w:rsidR="00997AD0">
              <w:rPr>
                <w:rFonts w:ascii="Times New Roman" w:hAnsi="Times New Roman"/>
                <w:sz w:val="28"/>
              </w:rPr>
              <w:t xml:space="preserve">staff </w:t>
            </w:r>
            <w:r w:rsidRPr="008364C4">
              <w:rPr>
                <w:rFonts w:ascii="Times New Roman" w:hAnsi="Times New Roman"/>
                <w:sz w:val="28"/>
              </w:rPr>
              <w:t xml:space="preserve">payments </w:t>
            </w:r>
          </w:p>
        </w:tc>
        <w:tc>
          <w:tcPr>
            <w:tcW w:w="213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jc w:val="right"/>
              <w:rPr>
                <w:rFonts w:ascii="Times New Roman" w:hAnsi="Times New Roman"/>
                <w:sz w:val="28"/>
                <w:szCs w:val="28"/>
              </w:rPr>
            </w:pPr>
          </w:p>
          <w:p w:rsidR="00E854DB" w:rsidRPr="008364C4" w:rsidRDefault="00E854DB" w:rsidP="003903FE">
            <w:pPr>
              <w:spacing w:after="0" w:line="240" w:lineRule="auto"/>
              <w:jc w:val="right"/>
              <w:rPr>
                <w:rFonts w:ascii="Times New Roman" w:hAnsi="Times New Roman"/>
                <w:sz w:val="28"/>
                <w:szCs w:val="28"/>
              </w:rPr>
            </w:pPr>
            <w:r w:rsidRPr="008364C4">
              <w:rPr>
                <w:rFonts w:ascii="Times New Roman" w:hAnsi="Times New Roman"/>
                <w:sz w:val="28"/>
              </w:rPr>
              <w:t>72,037</w:t>
            </w:r>
          </w:p>
        </w:tc>
      </w:tr>
      <w:tr w:rsidR="00A65E18" w:rsidRPr="008364C4" w:rsidTr="00B35778">
        <w:trPr>
          <w:jc w:val="center"/>
        </w:trPr>
        <w:tc>
          <w:tcPr>
            <w:tcW w:w="1781" w:type="dxa"/>
            <w:tcBorders>
              <w:top w:val="single" w:sz="4" w:space="0" w:color="auto"/>
              <w:left w:val="single" w:sz="4" w:space="0" w:color="auto"/>
              <w:bottom w:val="single" w:sz="4" w:space="0" w:color="auto"/>
              <w:right w:val="single" w:sz="4" w:space="0" w:color="auto"/>
            </w:tcBorders>
          </w:tcPr>
          <w:p w:rsidR="00E854DB" w:rsidRPr="008364C4" w:rsidRDefault="00E854DB" w:rsidP="00261515">
            <w:pPr>
              <w:tabs>
                <w:tab w:val="left" w:pos="993"/>
              </w:tabs>
              <w:spacing w:after="0" w:line="360" w:lineRule="auto"/>
              <w:jc w:val="both"/>
              <w:rPr>
                <w:rFonts w:ascii="Times New Roman" w:hAnsi="Times New Roman"/>
                <w:sz w:val="28"/>
                <w:szCs w:val="28"/>
              </w:rPr>
            </w:pPr>
            <w:r w:rsidRPr="008364C4">
              <w:rPr>
                <w:rFonts w:ascii="Times New Roman" w:hAnsi="Times New Roman"/>
                <w:sz w:val="28"/>
              </w:rPr>
              <w:t>05-00</w:t>
            </w:r>
          </w:p>
        </w:tc>
        <w:tc>
          <w:tcPr>
            <w:tcW w:w="5319"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ind w:firstLine="35"/>
              <w:jc w:val="both"/>
              <w:rPr>
                <w:rFonts w:ascii="Times New Roman" w:hAnsi="Times New Roman"/>
                <w:sz w:val="28"/>
                <w:szCs w:val="28"/>
              </w:rPr>
            </w:pPr>
            <w:r w:rsidRPr="008364C4">
              <w:rPr>
                <w:rFonts w:ascii="Times New Roman" w:hAnsi="Times New Roman"/>
                <w:sz w:val="28"/>
              </w:rPr>
              <w:t xml:space="preserve">Compulsory social </w:t>
            </w:r>
            <w:proofErr w:type="spellStart"/>
            <w:r w:rsidRPr="008364C4">
              <w:rPr>
                <w:rFonts w:ascii="Times New Roman" w:hAnsi="Times New Roman"/>
                <w:sz w:val="28"/>
              </w:rPr>
              <w:t>securities</w:t>
            </w:r>
            <w:proofErr w:type="spellEnd"/>
            <w:r w:rsidRPr="008364C4">
              <w:rPr>
                <w:rFonts w:ascii="Times New Roman" w:hAnsi="Times New Roman"/>
                <w:sz w:val="28"/>
              </w:rPr>
              <w:t xml:space="preserve"> paid by employers</w:t>
            </w:r>
          </w:p>
        </w:tc>
        <w:tc>
          <w:tcPr>
            <w:tcW w:w="213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jc w:val="right"/>
              <w:rPr>
                <w:rFonts w:ascii="Times New Roman" w:hAnsi="Times New Roman"/>
                <w:sz w:val="28"/>
                <w:szCs w:val="28"/>
              </w:rPr>
            </w:pPr>
          </w:p>
          <w:p w:rsidR="00E854DB" w:rsidRPr="008364C4" w:rsidRDefault="00E854DB" w:rsidP="003903FE">
            <w:pPr>
              <w:spacing w:after="0" w:line="240" w:lineRule="auto"/>
              <w:jc w:val="right"/>
              <w:rPr>
                <w:rFonts w:ascii="Times New Roman" w:hAnsi="Times New Roman"/>
                <w:sz w:val="28"/>
                <w:szCs w:val="28"/>
              </w:rPr>
            </w:pPr>
            <w:r w:rsidRPr="008364C4">
              <w:rPr>
                <w:rFonts w:ascii="Times New Roman" w:hAnsi="Times New Roman"/>
                <w:sz w:val="28"/>
              </w:rPr>
              <w:t>268,028</w:t>
            </w:r>
          </w:p>
        </w:tc>
      </w:tr>
      <w:tr w:rsidR="00A65E18" w:rsidRPr="008364C4" w:rsidTr="00B35778">
        <w:trPr>
          <w:jc w:val="center"/>
        </w:trPr>
        <w:tc>
          <w:tcPr>
            <w:tcW w:w="1781" w:type="dxa"/>
            <w:tcBorders>
              <w:top w:val="single" w:sz="4" w:space="0" w:color="auto"/>
              <w:left w:val="single" w:sz="4" w:space="0" w:color="auto"/>
              <w:bottom w:val="single" w:sz="4" w:space="0" w:color="auto"/>
              <w:right w:val="single" w:sz="4" w:space="0" w:color="auto"/>
            </w:tcBorders>
          </w:tcPr>
          <w:p w:rsidR="00E854DB" w:rsidRPr="008364C4" w:rsidRDefault="00E854DB" w:rsidP="00261515">
            <w:pPr>
              <w:tabs>
                <w:tab w:val="left" w:pos="993"/>
              </w:tabs>
              <w:spacing w:after="0" w:line="360" w:lineRule="auto"/>
              <w:jc w:val="both"/>
              <w:rPr>
                <w:rFonts w:ascii="Times New Roman" w:hAnsi="Times New Roman"/>
                <w:sz w:val="28"/>
                <w:szCs w:val="28"/>
              </w:rPr>
            </w:pPr>
            <w:r w:rsidRPr="008364C4">
              <w:rPr>
                <w:rFonts w:ascii="Times New Roman" w:hAnsi="Times New Roman"/>
                <w:sz w:val="28"/>
              </w:rPr>
              <w:t>10-00</w:t>
            </w:r>
          </w:p>
        </w:tc>
        <w:tc>
          <w:tcPr>
            <w:tcW w:w="5319"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ind w:firstLine="35"/>
              <w:jc w:val="both"/>
              <w:rPr>
                <w:rFonts w:ascii="Times New Roman" w:hAnsi="Times New Roman"/>
                <w:sz w:val="28"/>
                <w:szCs w:val="28"/>
              </w:rPr>
            </w:pPr>
            <w:r w:rsidRPr="008364C4">
              <w:rPr>
                <w:rFonts w:ascii="Times New Roman" w:hAnsi="Times New Roman"/>
                <w:sz w:val="28"/>
              </w:rPr>
              <w:t>Allowance</w:t>
            </w:r>
          </w:p>
        </w:tc>
        <w:tc>
          <w:tcPr>
            <w:tcW w:w="213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jc w:val="right"/>
              <w:rPr>
                <w:rFonts w:ascii="Times New Roman" w:hAnsi="Times New Roman"/>
                <w:sz w:val="28"/>
                <w:szCs w:val="28"/>
              </w:rPr>
            </w:pPr>
            <w:r w:rsidRPr="008364C4">
              <w:rPr>
                <w:rFonts w:ascii="Times New Roman" w:hAnsi="Times New Roman"/>
                <w:sz w:val="28"/>
              </w:rPr>
              <w:t>1,117,178</w:t>
            </w:r>
          </w:p>
        </w:tc>
      </w:tr>
      <w:tr w:rsidR="00A65E18" w:rsidRPr="008364C4" w:rsidTr="00B35778">
        <w:trPr>
          <w:jc w:val="center"/>
        </w:trPr>
        <w:tc>
          <w:tcPr>
            <w:tcW w:w="1781" w:type="dxa"/>
            <w:tcBorders>
              <w:top w:val="single" w:sz="4" w:space="0" w:color="auto"/>
              <w:left w:val="single" w:sz="4" w:space="0" w:color="auto"/>
              <w:bottom w:val="single" w:sz="4" w:space="0" w:color="auto"/>
              <w:right w:val="single" w:sz="4" w:space="0" w:color="auto"/>
            </w:tcBorders>
          </w:tcPr>
          <w:p w:rsidR="00E854DB" w:rsidRPr="008364C4" w:rsidRDefault="00E854DB" w:rsidP="00261515">
            <w:pPr>
              <w:tabs>
                <w:tab w:val="left" w:pos="993"/>
              </w:tabs>
              <w:spacing w:after="0" w:line="360" w:lineRule="auto"/>
              <w:jc w:val="both"/>
              <w:rPr>
                <w:rFonts w:ascii="Times New Roman" w:hAnsi="Times New Roman"/>
                <w:sz w:val="28"/>
                <w:szCs w:val="28"/>
              </w:rPr>
            </w:pPr>
            <w:r w:rsidRPr="008364C4">
              <w:rPr>
                <w:rFonts w:ascii="Times New Roman" w:hAnsi="Times New Roman"/>
                <w:sz w:val="28"/>
              </w:rPr>
              <w:t xml:space="preserve">52-00 </w:t>
            </w:r>
          </w:p>
        </w:tc>
        <w:tc>
          <w:tcPr>
            <w:tcW w:w="5319"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ind w:firstLine="35"/>
              <w:jc w:val="both"/>
              <w:rPr>
                <w:rFonts w:ascii="Times New Roman" w:hAnsi="Times New Roman"/>
                <w:sz w:val="28"/>
                <w:szCs w:val="28"/>
              </w:rPr>
            </w:pPr>
            <w:r w:rsidRPr="008364C4">
              <w:rPr>
                <w:rFonts w:ascii="Times New Roman" w:hAnsi="Times New Roman"/>
                <w:sz w:val="28"/>
              </w:rPr>
              <w:t>Acquisition of tangible fixed assets</w:t>
            </w:r>
          </w:p>
        </w:tc>
        <w:tc>
          <w:tcPr>
            <w:tcW w:w="213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jc w:val="right"/>
              <w:rPr>
                <w:rFonts w:ascii="Times New Roman" w:hAnsi="Times New Roman"/>
                <w:sz w:val="28"/>
                <w:szCs w:val="28"/>
              </w:rPr>
            </w:pPr>
          </w:p>
          <w:p w:rsidR="00E854DB" w:rsidRPr="008364C4" w:rsidRDefault="00E854DB" w:rsidP="003903FE">
            <w:pPr>
              <w:spacing w:after="0" w:line="240" w:lineRule="auto"/>
              <w:jc w:val="right"/>
              <w:rPr>
                <w:rFonts w:ascii="Times New Roman" w:hAnsi="Times New Roman"/>
                <w:sz w:val="28"/>
                <w:szCs w:val="28"/>
              </w:rPr>
            </w:pPr>
            <w:r w:rsidRPr="008364C4">
              <w:rPr>
                <w:rFonts w:ascii="Times New Roman" w:hAnsi="Times New Roman"/>
                <w:sz w:val="28"/>
              </w:rPr>
              <w:t>16,870</w:t>
            </w:r>
          </w:p>
        </w:tc>
      </w:tr>
      <w:tr w:rsidR="00A65E18" w:rsidRPr="008364C4" w:rsidTr="00B35778">
        <w:trPr>
          <w:trHeight w:val="824"/>
          <w:jc w:val="center"/>
        </w:trPr>
        <w:tc>
          <w:tcPr>
            <w:tcW w:w="1781" w:type="dxa"/>
            <w:tcBorders>
              <w:top w:val="single" w:sz="4" w:space="0" w:color="auto"/>
              <w:left w:val="single" w:sz="4" w:space="0" w:color="auto"/>
              <w:bottom w:val="single" w:sz="4" w:space="0" w:color="auto"/>
              <w:right w:val="single" w:sz="4" w:space="0" w:color="auto"/>
            </w:tcBorders>
          </w:tcPr>
          <w:p w:rsidR="00E854DB" w:rsidRPr="008364C4" w:rsidRDefault="00E854DB" w:rsidP="00B112A9">
            <w:pPr>
              <w:tabs>
                <w:tab w:val="left" w:pos="993"/>
              </w:tabs>
              <w:spacing w:after="0" w:line="360" w:lineRule="auto"/>
              <w:ind w:firstLine="709"/>
              <w:jc w:val="both"/>
              <w:rPr>
                <w:rFonts w:ascii="Times New Roman" w:hAnsi="Times New Roman"/>
                <w:sz w:val="28"/>
                <w:szCs w:val="28"/>
              </w:rPr>
            </w:pPr>
          </w:p>
        </w:tc>
        <w:tc>
          <w:tcPr>
            <w:tcW w:w="5319"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spacing w:after="0" w:line="240" w:lineRule="auto"/>
              <w:ind w:firstLine="35"/>
              <w:jc w:val="both"/>
              <w:rPr>
                <w:rFonts w:ascii="Times New Roman" w:hAnsi="Times New Roman"/>
                <w:sz w:val="28"/>
                <w:szCs w:val="28"/>
              </w:rPr>
            </w:pPr>
            <w:r w:rsidRPr="008364C4">
              <w:rPr>
                <w:rFonts w:ascii="Times New Roman" w:hAnsi="Times New Roman"/>
                <w:sz w:val="28"/>
              </w:rPr>
              <w:t>Total budget expenditures</w:t>
            </w:r>
          </w:p>
        </w:tc>
        <w:tc>
          <w:tcPr>
            <w:tcW w:w="2131" w:type="dxa"/>
            <w:tcBorders>
              <w:top w:val="single" w:sz="4" w:space="0" w:color="auto"/>
              <w:left w:val="single" w:sz="4" w:space="0" w:color="auto"/>
              <w:bottom w:val="single" w:sz="4" w:space="0" w:color="auto"/>
              <w:right w:val="single" w:sz="4" w:space="0" w:color="auto"/>
            </w:tcBorders>
          </w:tcPr>
          <w:p w:rsidR="00E854DB" w:rsidRPr="008364C4" w:rsidRDefault="00E854DB" w:rsidP="003903FE">
            <w:pPr>
              <w:tabs>
                <w:tab w:val="left" w:pos="993"/>
              </w:tabs>
              <w:spacing w:after="0" w:line="240" w:lineRule="auto"/>
              <w:ind w:firstLine="709"/>
              <w:jc w:val="right"/>
              <w:rPr>
                <w:rFonts w:ascii="Times New Roman" w:hAnsi="Times New Roman"/>
                <w:sz w:val="28"/>
                <w:szCs w:val="28"/>
              </w:rPr>
            </w:pPr>
          </w:p>
          <w:p w:rsidR="00E854DB" w:rsidRPr="008364C4" w:rsidRDefault="00BA3CFE" w:rsidP="003903FE">
            <w:pPr>
              <w:tabs>
                <w:tab w:val="left" w:pos="993"/>
              </w:tabs>
              <w:spacing w:after="0" w:line="240" w:lineRule="auto"/>
              <w:ind w:firstLine="709"/>
              <w:jc w:val="right"/>
              <w:rPr>
                <w:rFonts w:ascii="Times New Roman" w:hAnsi="Times New Roman"/>
                <w:sz w:val="28"/>
                <w:szCs w:val="28"/>
              </w:rPr>
            </w:pPr>
            <w:r>
              <w:rPr>
                <w:rFonts w:ascii="Times New Roman" w:hAnsi="Times New Roman"/>
                <w:sz w:val="28"/>
              </w:rPr>
              <w:t>2,514,960</w:t>
            </w:r>
          </w:p>
        </w:tc>
      </w:tr>
    </w:tbl>
    <w:p w:rsidR="00EF678C" w:rsidRPr="008364C4" w:rsidRDefault="00EF678C" w:rsidP="00B112A9">
      <w:pPr>
        <w:tabs>
          <w:tab w:val="left" w:pos="993"/>
        </w:tabs>
        <w:spacing w:after="0" w:line="360" w:lineRule="auto"/>
        <w:ind w:firstLine="709"/>
        <w:jc w:val="both"/>
        <w:rPr>
          <w:rFonts w:ascii="Times New Roman" w:hAnsi="Times New Roman"/>
          <w:b/>
          <w:sz w:val="28"/>
          <w:szCs w:val="28"/>
        </w:rPr>
      </w:pPr>
    </w:p>
    <w:p w:rsidR="00047FA5" w:rsidRPr="008364C4" w:rsidRDefault="00EF678C" w:rsidP="003D726B">
      <w:pPr>
        <w:pStyle w:val="Heading1"/>
      </w:pPr>
      <w:r w:rsidRPr="008364C4">
        <w:br w:type="page"/>
      </w:r>
      <w:bookmarkStart w:id="26" w:name="_Toc380595218"/>
      <w:bookmarkStart w:id="27" w:name="_Toc380740754"/>
      <w:r w:rsidRPr="008364C4">
        <w:lastRenderedPageBreak/>
        <w:t>XIV. Conclusion</w:t>
      </w:r>
      <w:bookmarkEnd w:id="26"/>
      <w:bookmarkEnd w:id="27"/>
    </w:p>
    <w:p w:rsidR="001B0DF9" w:rsidRPr="008364C4" w:rsidRDefault="00763452"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In the context of the activities carried out by the Commission for Personal Data Protection in 2013, the focus of future work shall be to finalize the European </w:t>
      </w:r>
      <w:r w:rsidR="00544D37">
        <w:rPr>
          <w:rFonts w:ascii="Times New Roman" w:hAnsi="Times New Roman"/>
          <w:sz w:val="28"/>
        </w:rPr>
        <w:t xml:space="preserve">data protection </w:t>
      </w:r>
      <w:r w:rsidRPr="008364C4">
        <w:rPr>
          <w:rFonts w:ascii="Times New Roman" w:hAnsi="Times New Roman"/>
          <w:sz w:val="28"/>
        </w:rPr>
        <w:t xml:space="preserve">reform at international level and to ensure its implementation - nationwide. </w:t>
      </w:r>
    </w:p>
    <w:p w:rsidR="00614D3E" w:rsidRPr="008364C4" w:rsidRDefault="00D467F6"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This involves the implementation of targeted information and training activities for raising awareness of the public about the expected trends in the European </w:t>
      </w:r>
      <w:r w:rsidR="00544D37">
        <w:rPr>
          <w:rFonts w:ascii="Times New Roman" w:hAnsi="Times New Roman"/>
          <w:sz w:val="28"/>
        </w:rPr>
        <w:t xml:space="preserve">data protection </w:t>
      </w:r>
      <w:r w:rsidRPr="008364C4">
        <w:rPr>
          <w:rFonts w:ascii="Times New Roman" w:hAnsi="Times New Roman"/>
          <w:sz w:val="28"/>
        </w:rPr>
        <w:t xml:space="preserve">policy: introduction of the position of "data protection officer", providing services to individuals and businesses on the "one stop shop" principle; self-reporting of data controllers. </w:t>
      </w:r>
    </w:p>
    <w:p w:rsidR="00537DD0" w:rsidRPr="008364C4" w:rsidRDefault="00AC1378" w:rsidP="00B112A9">
      <w:pPr>
        <w:spacing w:after="0" w:line="360" w:lineRule="auto"/>
        <w:ind w:firstLine="709"/>
        <w:jc w:val="both"/>
        <w:rPr>
          <w:rFonts w:ascii="Times New Roman" w:hAnsi="Times New Roman"/>
          <w:sz w:val="28"/>
          <w:szCs w:val="28"/>
        </w:rPr>
      </w:pPr>
      <w:r w:rsidRPr="008364C4">
        <w:rPr>
          <w:rFonts w:ascii="Times New Roman" w:hAnsi="Times New Roman"/>
          <w:sz w:val="28"/>
        </w:rPr>
        <w:t xml:space="preserve">As before, for the implementation of this preventive policy, the Commission for Personal Data Protection will rely on good cooperation with partner institutions and stakeholders. </w:t>
      </w:r>
    </w:p>
    <w:p w:rsidR="00037DF5" w:rsidRPr="008364C4" w:rsidRDefault="00037DF5" w:rsidP="00B112A9">
      <w:pPr>
        <w:spacing w:after="0" w:line="360" w:lineRule="auto"/>
        <w:ind w:firstLine="709"/>
        <w:jc w:val="both"/>
        <w:rPr>
          <w:rFonts w:ascii="Times New Roman" w:hAnsi="Times New Roman"/>
          <w:sz w:val="28"/>
          <w:szCs w:val="28"/>
        </w:rPr>
      </w:pPr>
    </w:p>
    <w:p w:rsidR="005D63AD" w:rsidRPr="008364C4" w:rsidRDefault="00BF7BBD" w:rsidP="00B112A9">
      <w:pPr>
        <w:spacing w:after="0" w:line="360" w:lineRule="auto"/>
        <w:ind w:firstLine="709"/>
        <w:jc w:val="both"/>
        <w:rPr>
          <w:rFonts w:ascii="Times New Roman" w:hAnsi="Times New Roman"/>
          <w:sz w:val="28"/>
          <w:szCs w:val="28"/>
        </w:rPr>
      </w:pPr>
      <w:r w:rsidRPr="008364C4">
        <w:br w:type="page"/>
      </w:r>
    </w:p>
    <w:p w:rsidR="00FD74E8" w:rsidRPr="008364C4" w:rsidRDefault="00FD74E8" w:rsidP="003138CC">
      <w:pPr>
        <w:tabs>
          <w:tab w:val="left" w:pos="708"/>
        </w:tabs>
        <w:spacing w:after="0" w:line="360" w:lineRule="auto"/>
        <w:ind w:firstLine="709"/>
        <w:jc w:val="both"/>
        <w:rPr>
          <w:rFonts w:ascii="Times New Roman" w:hAnsi="Times New Roman"/>
          <w:sz w:val="28"/>
          <w:szCs w:val="28"/>
        </w:rPr>
      </w:pPr>
      <w:r w:rsidRPr="008364C4">
        <w:rPr>
          <w:rFonts w:ascii="Times New Roman" w:hAnsi="Times New Roman"/>
          <w:b/>
          <w:sz w:val="28"/>
        </w:rPr>
        <w:lastRenderedPageBreak/>
        <w:t>The annual report for the activity of the Commission for Personal Data Protection in 2013 was adopted by a decision of the Commission at a meeting held on 15 January 2014 (Minutes of meeting No.</w:t>
      </w:r>
      <w:r w:rsidR="00231EEE">
        <w:rPr>
          <w:rFonts w:ascii="Times New Roman" w:hAnsi="Times New Roman"/>
          <w:b/>
          <w:sz w:val="28"/>
        </w:rPr>
        <w:t>1</w:t>
      </w:r>
      <w:bookmarkStart w:id="28" w:name="_GoBack"/>
      <w:bookmarkEnd w:id="28"/>
      <w:r w:rsidRPr="008364C4">
        <w:rPr>
          <w:rFonts w:ascii="Times New Roman" w:hAnsi="Times New Roman"/>
          <w:b/>
          <w:sz w:val="28"/>
        </w:rPr>
        <w:t>).</w:t>
      </w:r>
    </w:p>
    <w:p w:rsidR="00FD74E8" w:rsidRPr="008364C4" w:rsidRDefault="00FD74E8" w:rsidP="00B112A9">
      <w:pPr>
        <w:tabs>
          <w:tab w:val="left" w:pos="708"/>
        </w:tabs>
        <w:spacing w:after="0" w:line="360" w:lineRule="auto"/>
        <w:ind w:firstLine="709"/>
        <w:rPr>
          <w:rFonts w:ascii="Times New Roman" w:hAnsi="Times New Roman"/>
          <w:b/>
          <w:bCs/>
          <w:sz w:val="28"/>
          <w:szCs w:val="28"/>
        </w:rPr>
      </w:pPr>
    </w:p>
    <w:p w:rsidR="00FD74E8" w:rsidRPr="008364C4" w:rsidRDefault="00FD74E8" w:rsidP="00B112A9">
      <w:pPr>
        <w:tabs>
          <w:tab w:val="left" w:pos="708"/>
        </w:tabs>
        <w:spacing w:after="0" w:line="360" w:lineRule="auto"/>
        <w:ind w:firstLine="709"/>
        <w:rPr>
          <w:rFonts w:ascii="Times New Roman" w:hAnsi="Times New Roman"/>
          <w:b/>
          <w:bCs/>
          <w:sz w:val="28"/>
          <w:szCs w:val="28"/>
        </w:rPr>
      </w:pPr>
    </w:p>
    <w:p w:rsidR="00FD74E8" w:rsidRPr="008364C4" w:rsidRDefault="00FD74E8" w:rsidP="00EF678C">
      <w:pPr>
        <w:spacing w:line="360" w:lineRule="auto"/>
        <w:ind w:firstLine="709"/>
        <w:rPr>
          <w:rFonts w:ascii="Times New Roman" w:hAnsi="Times New Roman"/>
          <w:b/>
          <w:sz w:val="28"/>
          <w:szCs w:val="28"/>
        </w:rPr>
      </w:pPr>
      <w:r w:rsidRPr="008364C4">
        <w:rPr>
          <w:rFonts w:ascii="Times New Roman" w:hAnsi="Times New Roman"/>
          <w:b/>
          <w:sz w:val="28"/>
        </w:rPr>
        <w:t>CHAIRPERSON:</w:t>
      </w:r>
      <w:r w:rsidRPr="008364C4">
        <w:tab/>
      </w:r>
      <w:r w:rsidRPr="008364C4">
        <w:rPr>
          <w:rFonts w:ascii="Times New Roman" w:hAnsi="Times New Roman"/>
          <w:b/>
          <w:sz w:val="28"/>
        </w:rPr>
        <w:t xml:space="preserve">                            MEMBERS:</w:t>
      </w:r>
    </w:p>
    <w:p w:rsidR="00FD74E8" w:rsidRPr="008364C4" w:rsidRDefault="00362568" w:rsidP="004A59BE">
      <w:pPr>
        <w:tabs>
          <w:tab w:val="left" w:pos="1418"/>
          <w:tab w:val="left" w:pos="6237"/>
        </w:tabs>
        <w:spacing w:line="360" w:lineRule="auto"/>
        <w:ind w:right="-427" w:firstLine="709"/>
        <w:rPr>
          <w:rFonts w:ascii="Times New Roman" w:hAnsi="Times New Roman"/>
          <w:b/>
          <w:sz w:val="28"/>
          <w:szCs w:val="28"/>
        </w:rPr>
      </w:pPr>
      <w:r>
        <w:rPr>
          <w:rFonts w:ascii="Times New Roman" w:hAnsi="Times New Roman"/>
          <w:b/>
          <w:sz w:val="28"/>
        </w:rPr>
        <w:tab/>
      </w:r>
      <w:r w:rsidR="00FD74E8" w:rsidRPr="008364C4">
        <w:rPr>
          <w:rFonts w:ascii="Times New Roman" w:hAnsi="Times New Roman"/>
          <w:b/>
          <w:sz w:val="28"/>
        </w:rPr>
        <w:t xml:space="preserve">Veneta </w:t>
      </w:r>
      <w:proofErr w:type="gramStart"/>
      <w:r w:rsidR="00FD74E8" w:rsidRPr="008364C4">
        <w:rPr>
          <w:rFonts w:ascii="Times New Roman" w:hAnsi="Times New Roman"/>
          <w:b/>
          <w:sz w:val="28"/>
        </w:rPr>
        <w:t>Shopova  /</w:t>
      </w:r>
      <w:proofErr w:type="gramEnd"/>
      <w:r w:rsidR="00FD74E8" w:rsidRPr="008364C4">
        <w:rPr>
          <w:rFonts w:ascii="Times New Roman" w:hAnsi="Times New Roman"/>
          <w:b/>
          <w:sz w:val="28"/>
        </w:rPr>
        <w:t>Signed/</w:t>
      </w:r>
      <w:r w:rsidR="00FD74E8" w:rsidRPr="008364C4">
        <w:tab/>
      </w:r>
      <w:r w:rsidR="00FD74E8" w:rsidRPr="008364C4">
        <w:rPr>
          <w:rFonts w:ascii="Times New Roman" w:hAnsi="Times New Roman"/>
          <w:b/>
          <w:sz w:val="28"/>
        </w:rPr>
        <w:t>Krasimir Dimitrov</w:t>
      </w:r>
      <w:r w:rsidR="004A59BE">
        <w:rPr>
          <w:rFonts w:ascii="Times New Roman" w:hAnsi="Times New Roman"/>
          <w:b/>
          <w:sz w:val="28"/>
        </w:rPr>
        <w:t xml:space="preserve"> </w:t>
      </w:r>
      <w:r w:rsidR="00FD74E8" w:rsidRPr="008364C4">
        <w:rPr>
          <w:rFonts w:ascii="Times New Roman" w:hAnsi="Times New Roman"/>
          <w:b/>
          <w:sz w:val="28"/>
        </w:rPr>
        <w:t xml:space="preserve"> /Signed/</w:t>
      </w:r>
    </w:p>
    <w:p w:rsidR="00FD74E8" w:rsidRPr="008364C4" w:rsidRDefault="00FD74E8" w:rsidP="00386CD1">
      <w:pPr>
        <w:spacing w:line="360" w:lineRule="auto"/>
        <w:ind w:firstLine="6237"/>
        <w:rPr>
          <w:rFonts w:ascii="Times New Roman" w:hAnsi="Times New Roman"/>
          <w:b/>
          <w:sz w:val="28"/>
          <w:szCs w:val="28"/>
        </w:rPr>
      </w:pPr>
      <w:r w:rsidRPr="008364C4">
        <w:rPr>
          <w:rFonts w:ascii="Times New Roman" w:hAnsi="Times New Roman"/>
          <w:b/>
          <w:sz w:val="28"/>
        </w:rPr>
        <w:t xml:space="preserve">Valentin </w:t>
      </w:r>
      <w:proofErr w:type="gramStart"/>
      <w:r w:rsidRPr="008364C4">
        <w:rPr>
          <w:rFonts w:ascii="Times New Roman" w:hAnsi="Times New Roman"/>
          <w:b/>
          <w:sz w:val="28"/>
        </w:rPr>
        <w:t xml:space="preserve">Enev </w:t>
      </w:r>
      <w:r w:rsidR="004A59BE">
        <w:rPr>
          <w:rFonts w:ascii="Times New Roman" w:hAnsi="Times New Roman"/>
          <w:b/>
          <w:sz w:val="28"/>
        </w:rPr>
        <w:t xml:space="preserve"> </w:t>
      </w:r>
      <w:r w:rsidRPr="008364C4">
        <w:rPr>
          <w:rFonts w:ascii="Times New Roman" w:hAnsi="Times New Roman"/>
          <w:b/>
          <w:sz w:val="28"/>
        </w:rPr>
        <w:t>/</w:t>
      </w:r>
      <w:proofErr w:type="gramEnd"/>
      <w:r w:rsidRPr="008364C4">
        <w:rPr>
          <w:rFonts w:ascii="Times New Roman" w:hAnsi="Times New Roman"/>
          <w:b/>
          <w:sz w:val="28"/>
        </w:rPr>
        <w:t>Signed/</w:t>
      </w:r>
    </w:p>
    <w:p w:rsidR="00FD74E8" w:rsidRPr="008364C4" w:rsidRDefault="00FD74E8" w:rsidP="00386CD1">
      <w:pPr>
        <w:spacing w:line="360" w:lineRule="auto"/>
        <w:ind w:firstLine="6237"/>
        <w:rPr>
          <w:rFonts w:ascii="Times New Roman" w:hAnsi="Times New Roman"/>
          <w:b/>
          <w:sz w:val="28"/>
          <w:szCs w:val="28"/>
        </w:rPr>
      </w:pPr>
      <w:r w:rsidRPr="008364C4">
        <w:rPr>
          <w:rFonts w:ascii="Times New Roman" w:hAnsi="Times New Roman"/>
          <w:b/>
          <w:sz w:val="28"/>
        </w:rPr>
        <w:t>Mari</w:t>
      </w:r>
      <w:r w:rsidR="00362568">
        <w:rPr>
          <w:rFonts w:ascii="Times New Roman" w:hAnsi="Times New Roman"/>
          <w:b/>
          <w:sz w:val="28"/>
          <w:lang w:val="en-US"/>
        </w:rPr>
        <w:t>y</w:t>
      </w:r>
      <w:r w:rsidRPr="008364C4">
        <w:rPr>
          <w:rFonts w:ascii="Times New Roman" w:hAnsi="Times New Roman"/>
          <w:b/>
          <w:sz w:val="28"/>
        </w:rPr>
        <w:t xml:space="preserve">a </w:t>
      </w:r>
      <w:proofErr w:type="gramStart"/>
      <w:r w:rsidRPr="008364C4">
        <w:rPr>
          <w:rFonts w:ascii="Times New Roman" w:hAnsi="Times New Roman"/>
          <w:b/>
          <w:sz w:val="28"/>
        </w:rPr>
        <w:t xml:space="preserve">Mateva </w:t>
      </w:r>
      <w:r w:rsidR="004A59BE">
        <w:rPr>
          <w:rFonts w:ascii="Times New Roman" w:hAnsi="Times New Roman"/>
          <w:b/>
          <w:sz w:val="28"/>
        </w:rPr>
        <w:t xml:space="preserve"> </w:t>
      </w:r>
      <w:r w:rsidRPr="008364C4">
        <w:rPr>
          <w:rFonts w:ascii="Times New Roman" w:hAnsi="Times New Roman"/>
          <w:b/>
          <w:sz w:val="28"/>
        </w:rPr>
        <w:t>/</w:t>
      </w:r>
      <w:proofErr w:type="gramEnd"/>
      <w:r w:rsidRPr="008364C4">
        <w:rPr>
          <w:rFonts w:ascii="Times New Roman" w:hAnsi="Times New Roman"/>
          <w:b/>
          <w:sz w:val="28"/>
        </w:rPr>
        <w:t xml:space="preserve">Signed/ </w:t>
      </w:r>
    </w:p>
    <w:p w:rsidR="009F457C" w:rsidRPr="008364C4" w:rsidRDefault="00FD74E8" w:rsidP="00386CD1">
      <w:pPr>
        <w:spacing w:line="360" w:lineRule="auto"/>
        <w:ind w:firstLine="6237"/>
        <w:jc w:val="both"/>
        <w:rPr>
          <w:rFonts w:ascii="Times New Roman" w:hAnsi="Times New Roman"/>
          <w:sz w:val="28"/>
          <w:szCs w:val="28"/>
        </w:rPr>
      </w:pPr>
      <w:r w:rsidRPr="008364C4">
        <w:rPr>
          <w:rFonts w:ascii="Times New Roman" w:hAnsi="Times New Roman"/>
          <w:b/>
          <w:sz w:val="28"/>
        </w:rPr>
        <w:t xml:space="preserve">Veselin </w:t>
      </w:r>
      <w:proofErr w:type="spellStart"/>
      <w:proofErr w:type="gramStart"/>
      <w:r w:rsidRPr="008364C4">
        <w:rPr>
          <w:rFonts w:ascii="Times New Roman" w:hAnsi="Times New Roman"/>
          <w:b/>
          <w:sz w:val="28"/>
        </w:rPr>
        <w:t>Tsekov</w:t>
      </w:r>
      <w:proofErr w:type="spellEnd"/>
      <w:r w:rsidRPr="008364C4">
        <w:rPr>
          <w:rFonts w:ascii="Times New Roman" w:hAnsi="Times New Roman"/>
          <w:b/>
          <w:sz w:val="28"/>
        </w:rPr>
        <w:t xml:space="preserve">  /</w:t>
      </w:r>
      <w:proofErr w:type="gramEnd"/>
      <w:r w:rsidRPr="008364C4">
        <w:rPr>
          <w:rFonts w:ascii="Times New Roman" w:hAnsi="Times New Roman"/>
          <w:b/>
          <w:sz w:val="28"/>
        </w:rPr>
        <w:t>Signed/</w:t>
      </w:r>
    </w:p>
    <w:sectPr w:rsidR="009F457C" w:rsidRPr="008364C4" w:rsidSect="0077741D">
      <w:footerReference w:type="default" r:id="rId19"/>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7C" w:rsidRDefault="0071677C" w:rsidP="005670FD">
      <w:pPr>
        <w:spacing w:after="0" w:line="240" w:lineRule="auto"/>
      </w:pPr>
      <w:r>
        <w:separator/>
      </w:r>
    </w:p>
  </w:endnote>
  <w:endnote w:type="continuationSeparator" w:id="0">
    <w:p w:rsidR="0071677C" w:rsidRDefault="0071677C" w:rsidP="0056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51" w:rsidRDefault="00740751" w:rsidP="00897B65">
    <w:pPr>
      <w:pStyle w:val="Footer"/>
      <w:jc w:val="right"/>
    </w:pPr>
    <w:r>
      <w:fldChar w:fldCharType="begin"/>
    </w:r>
    <w:r>
      <w:instrText xml:space="preserve"> PAGE   \* MERGEFORMAT </w:instrText>
    </w:r>
    <w:r>
      <w:fldChar w:fldCharType="separate"/>
    </w:r>
    <w:r w:rsidR="00A9010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7C" w:rsidRDefault="0071677C" w:rsidP="005670FD">
      <w:pPr>
        <w:spacing w:after="0" w:line="240" w:lineRule="auto"/>
      </w:pPr>
      <w:r>
        <w:separator/>
      </w:r>
    </w:p>
  </w:footnote>
  <w:footnote w:type="continuationSeparator" w:id="0">
    <w:p w:rsidR="0071677C" w:rsidRDefault="0071677C" w:rsidP="005670FD">
      <w:pPr>
        <w:spacing w:after="0" w:line="240" w:lineRule="auto"/>
      </w:pPr>
      <w:r>
        <w:continuationSeparator/>
      </w:r>
    </w:p>
  </w:footnote>
  <w:footnote w:id="1">
    <w:p w:rsidR="00740751" w:rsidRPr="007D35FB" w:rsidRDefault="00740751" w:rsidP="00507B5F">
      <w:pPr>
        <w:jc w:val="both"/>
        <w:rPr>
          <w:rFonts w:ascii="Times New Roman" w:hAnsi="Times New Roman"/>
          <w:noProof/>
        </w:rPr>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Regulation on the protection of individuals with regard to the processing of their personal data and the free movement of such data (General Regulation on Data Protection)</w:t>
      </w:r>
    </w:p>
  </w:footnote>
  <w:footnote w:id="2">
    <w:p w:rsidR="00740751" w:rsidRPr="00B401A0" w:rsidRDefault="00740751" w:rsidP="00507B5F">
      <w:pPr>
        <w:jc w:val="both"/>
      </w:pPr>
      <w:r>
        <w:rPr>
          <w:rStyle w:val="FootnoteReference"/>
          <w:rFonts w:ascii="Times New Roman" w:hAnsi="Times New Roman"/>
        </w:rPr>
        <w:footnoteRef/>
      </w:r>
      <w:r>
        <w:rPr>
          <w:rFonts w:ascii="Times New Roman" w:hAnsi="Times New Roman"/>
        </w:rPr>
        <w:t xml:space="preserve"> </w:t>
      </w:r>
      <w:r>
        <w:rPr>
          <w:rFonts w:ascii="Times New Roman" w:hAnsi="Times New Roman"/>
          <w:sz w:val="20"/>
        </w:rPr>
        <w:t>Directive on the protection of individuals with regard to the processing of their personal data by competent authorities for the purposes of prevention, investigation, detection or prosecution of criminal offences or the execution of criminal penalties, and the free movement of such data</w:t>
      </w:r>
    </w:p>
  </w:footnote>
  <w:footnote w:id="3">
    <w:p w:rsidR="00740751" w:rsidRPr="007D35FB" w:rsidRDefault="00740751" w:rsidP="00507B5F">
      <w:pPr>
        <w:rPr>
          <w:rFonts w:ascii="Times New Roman" w:hAnsi="Times New Roman"/>
          <w:sz w:val="20"/>
          <w:szCs w:val="20"/>
        </w:rPr>
      </w:pPr>
      <w:r>
        <w:rPr>
          <w:rStyle w:val="FootnoteReference"/>
          <w:rFonts w:ascii="Times New Roman" w:hAnsi="Times New Roman"/>
          <w:sz w:val="20"/>
        </w:rPr>
        <w:footnoteRef/>
      </w:r>
      <w:r>
        <w:rPr>
          <w:rFonts w:ascii="Times New Roman" w:hAnsi="Times New Roman"/>
          <w:sz w:val="20"/>
        </w:rPr>
        <w:t xml:space="preserve"> Directive 95/46/EC of the European Parliament and of the Council of 24 October 1995 on the protection of individuals with regard to processing of personal data and on the free movement of such data</w:t>
      </w:r>
      <w:r>
        <w:rPr>
          <w:rFonts w:ascii="Times New Roman" w:hAnsi="Times New Roman"/>
          <w:b/>
          <w:sz w:val="20"/>
        </w:rPr>
        <w:t> </w:t>
      </w:r>
    </w:p>
  </w:footnote>
  <w:footnote w:id="4">
    <w:p w:rsidR="00740751" w:rsidRPr="007D35FB" w:rsidRDefault="00740751" w:rsidP="00507B5F">
      <w:pPr>
        <w:rPr>
          <w:rFonts w:ascii="Times New Roman" w:hAnsi="Times New Roman"/>
          <w:sz w:val="20"/>
          <w:szCs w:val="20"/>
        </w:rPr>
      </w:pPr>
      <w:r>
        <w:rPr>
          <w:rStyle w:val="FootnoteReference"/>
          <w:rFonts w:ascii="Times New Roman" w:hAnsi="Times New Roman"/>
          <w:sz w:val="20"/>
        </w:rPr>
        <w:footnoteRef/>
      </w:r>
      <w:r>
        <w:rPr>
          <w:rFonts w:ascii="Times New Roman" w:hAnsi="Times New Roman"/>
          <w:sz w:val="20"/>
        </w:rPr>
        <w:t xml:space="preserve"> Convention 108 of the Council of Europe of 28 January 1981 for the protection of Individuals with regard to automatic processing of personal data</w:t>
      </w:r>
    </w:p>
    <w:p w:rsidR="00740751" w:rsidRDefault="00740751" w:rsidP="00507B5F">
      <w:pPr>
        <w:pStyle w:val="FootnoteText"/>
      </w:pPr>
    </w:p>
  </w:footnote>
  <w:footnote w:id="5">
    <w:p w:rsidR="00740751" w:rsidRDefault="00740751" w:rsidP="000C328C">
      <w:pPr>
        <w:pStyle w:val="Heading1"/>
      </w:pPr>
      <w:r>
        <w:rPr>
          <w:rStyle w:val="FootnoteReference"/>
          <w:sz w:val="20"/>
        </w:rPr>
        <w:footnoteRef/>
      </w:r>
      <w:r>
        <w:rPr>
          <w:vertAlign w:val="superscript"/>
        </w:rPr>
        <w:t xml:space="preserve"> </w:t>
      </w:r>
      <w:r w:rsidRPr="000C328C">
        <w:rPr>
          <w:b w:val="0"/>
          <w:sz w:val="20"/>
        </w:rPr>
        <w:t>Regulation 611/2013 of the European Commission on measures applicable to the notification of security breaches of personal data under Directive 2002/58/ for the right to privacy and electronic communications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3C5"/>
    <w:multiLevelType w:val="hybridMultilevel"/>
    <w:tmpl w:val="87CE8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6727A7"/>
    <w:multiLevelType w:val="hybridMultilevel"/>
    <w:tmpl w:val="A74C7FBC"/>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BEA3F82"/>
    <w:multiLevelType w:val="hybridMultilevel"/>
    <w:tmpl w:val="643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253D1"/>
    <w:multiLevelType w:val="hybridMultilevel"/>
    <w:tmpl w:val="47A4F530"/>
    <w:lvl w:ilvl="0" w:tplc="1C02F89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758399C"/>
    <w:multiLevelType w:val="hybridMultilevel"/>
    <w:tmpl w:val="C3AE9FC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FA37428"/>
    <w:multiLevelType w:val="hybridMultilevel"/>
    <w:tmpl w:val="A79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32E2E"/>
    <w:multiLevelType w:val="hybridMultilevel"/>
    <w:tmpl w:val="DDBAB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87A08A1"/>
    <w:multiLevelType w:val="hybridMultilevel"/>
    <w:tmpl w:val="15B06020"/>
    <w:lvl w:ilvl="0" w:tplc="3CA8804A">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ABA59AA"/>
    <w:multiLevelType w:val="hybridMultilevel"/>
    <w:tmpl w:val="6C0201B8"/>
    <w:lvl w:ilvl="0" w:tplc="C492A5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B922C81"/>
    <w:multiLevelType w:val="hybridMultilevel"/>
    <w:tmpl w:val="C5CE1542"/>
    <w:lvl w:ilvl="0" w:tplc="B5B68F8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2272ED3"/>
    <w:multiLevelType w:val="hybridMultilevel"/>
    <w:tmpl w:val="034E2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8FD7B82"/>
    <w:multiLevelType w:val="multilevel"/>
    <w:tmpl w:val="E60E2B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9F52A5D"/>
    <w:multiLevelType w:val="hybridMultilevel"/>
    <w:tmpl w:val="A6BAA7FC"/>
    <w:lvl w:ilvl="0" w:tplc="06369438">
      <w:start w:val="1"/>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nsid w:val="40B94C91"/>
    <w:multiLevelType w:val="hybridMultilevel"/>
    <w:tmpl w:val="302C976A"/>
    <w:lvl w:ilvl="0" w:tplc="04020001">
      <w:start w:val="1"/>
      <w:numFmt w:val="bullet"/>
      <w:lvlText w:val=""/>
      <w:lvlJc w:val="left"/>
      <w:pPr>
        <w:ind w:left="436" w:hanging="360"/>
      </w:pPr>
      <w:rPr>
        <w:rFonts w:ascii="Symbol" w:hAnsi="Symbol"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4">
    <w:nsid w:val="427426F7"/>
    <w:multiLevelType w:val="hybridMultilevel"/>
    <w:tmpl w:val="AABEE0D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43CB075D"/>
    <w:multiLevelType w:val="hybridMultilevel"/>
    <w:tmpl w:val="5C7EDFCE"/>
    <w:lvl w:ilvl="0" w:tplc="04020001">
      <w:start w:val="1"/>
      <w:numFmt w:val="bullet"/>
      <w:lvlText w:val=""/>
      <w:lvlJc w:val="left"/>
      <w:pPr>
        <w:ind w:left="436" w:hanging="360"/>
      </w:pPr>
      <w:rPr>
        <w:rFonts w:ascii="Symbol" w:hAnsi="Symbol"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6">
    <w:nsid w:val="56E43E54"/>
    <w:multiLevelType w:val="hybridMultilevel"/>
    <w:tmpl w:val="0ACC9238"/>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57F06681"/>
    <w:multiLevelType w:val="hybridMultilevel"/>
    <w:tmpl w:val="38E03D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8D1121C"/>
    <w:multiLevelType w:val="hybridMultilevel"/>
    <w:tmpl w:val="CB1A22EC"/>
    <w:lvl w:ilvl="0" w:tplc="C584DF72">
      <w:start w:val="3"/>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5E995666"/>
    <w:multiLevelType w:val="hybridMultilevel"/>
    <w:tmpl w:val="289C636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66FD4090"/>
    <w:multiLevelType w:val="hybridMultilevel"/>
    <w:tmpl w:val="51023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BEA3C4E"/>
    <w:multiLevelType w:val="hybridMultilevel"/>
    <w:tmpl w:val="A6BE30D2"/>
    <w:lvl w:ilvl="0" w:tplc="1BA4C136">
      <w:start w:val="1"/>
      <w:numFmt w:val="decimal"/>
      <w:lvlText w:val="%1."/>
      <w:lvlJc w:val="left"/>
      <w:pPr>
        <w:ind w:left="2752" w:hanging="360"/>
      </w:pPr>
      <w:rPr>
        <w:rFonts w:hint="default"/>
      </w:rPr>
    </w:lvl>
    <w:lvl w:ilvl="1" w:tplc="04090019" w:tentative="1">
      <w:start w:val="1"/>
      <w:numFmt w:val="lowerLetter"/>
      <w:lvlText w:val="%2."/>
      <w:lvlJc w:val="left"/>
      <w:pPr>
        <w:ind w:left="3472" w:hanging="360"/>
      </w:pPr>
    </w:lvl>
    <w:lvl w:ilvl="2" w:tplc="0409001B" w:tentative="1">
      <w:start w:val="1"/>
      <w:numFmt w:val="lowerRoman"/>
      <w:lvlText w:val="%3."/>
      <w:lvlJc w:val="right"/>
      <w:pPr>
        <w:ind w:left="4192" w:hanging="180"/>
      </w:pPr>
    </w:lvl>
    <w:lvl w:ilvl="3" w:tplc="0409000F" w:tentative="1">
      <w:start w:val="1"/>
      <w:numFmt w:val="decimal"/>
      <w:lvlText w:val="%4."/>
      <w:lvlJc w:val="left"/>
      <w:pPr>
        <w:ind w:left="4912" w:hanging="360"/>
      </w:pPr>
    </w:lvl>
    <w:lvl w:ilvl="4" w:tplc="04090019" w:tentative="1">
      <w:start w:val="1"/>
      <w:numFmt w:val="lowerLetter"/>
      <w:lvlText w:val="%5."/>
      <w:lvlJc w:val="left"/>
      <w:pPr>
        <w:ind w:left="5632" w:hanging="360"/>
      </w:pPr>
    </w:lvl>
    <w:lvl w:ilvl="5" w:tplc="0409001B" w:tentative="1">
      <w:start w:val="1"/>
      <w:numFmt w:val="lowerRoman"/>
      <w:lvlText w:val="%6."/>
      <w:lvlJc w:val="right"/>
      <w:pPr>
        <w:ind w:left="6352" w:hanging="180"/>
      </w:pPr>
    </w:lvl>
    <w:lvl w:ilvl="6" w:tplc="0409000F" w:tentative="1">
      <w:start w:val="1"/>
      <w:numFmt w:val="decimal"/>
      <w:lvlText w:val="%7."/>
      <w:lvlJc w:val="left"/>
      <w:pPr>
        <w:ind w:left="7072" w:hanging="360"/>
      </w:pPr>
    </w:lvl>
    <w:lvl w:ilvl="7" w:tplc="04090019" w:tentative="1">
      <w:start w:val="1"/>
      <w:numFmt w:val="lowerLetter"/>
      <w:lvlText w:val="%8."/>
      <w:lvlJc w:val="left"/>
      <w:pPr>
        <w:ind w:left="7792" w:hanging="360"/>
      </w:pPr>
    </w:lvl>
    <w:lvl w:ilvl="8" w:tplc="0409001B" w:tentative="1">
      <w:start w:val="1"/>
      <w:numFmt w:val="lowerRoman"/>
      <w:lvlText w:val="%9."/>
      <w:lvlJc w:val="right"/>
      <w:pPr>
        <w:ind w:left="8512" w:hanging="180"/>
      </w:pPr>
    </w:lvl>
  </w:abstractNum>
  <w:abstractNum w:abstractNumId="22">
    <w:nsid w:val="6CBC4663"/>
    <w:multiLevelType w:val="multilevel"/>
    <w:tmpl w:val="53F44E2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6DFA5597"/>
    <w:multiLevelType w:val="hybridMultilevel"/>
    <w:tmpl w:val="A852DF86"/>
    <w:lvl w:ilvl="0" w:tplc="04020001">
      <w:start w:val="1"/>
      <w:numFmt w:val="bullet"/>
      <w:lvlText w:val=""/>
      <w:lvlJc w:val="left"/>
      <w:pPr>
        <w:ind w:left="4046"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CAC2AED"/>
    <w:multiLevelType w:val="hybridMultilevel"/>
    <w:tmpl w:val="6BD660E8"/>
    <w:lvl w:ilvl="0" w:tplc="EF5058DC">
      <w:start w:val="1"/>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5">
    <w:nsid w:val="7F704862"/>
    <w:multiLevelType w:val="hybridMultilevel"/>
    <w:tmpl w:val="5680E30C"/>
    <w:lvl w:ilvl="0" w:tplc="04090001">
      <w:start w:val="1"/>
      <w:numFmt w:val="bullet"/>
      <w:lvlText w:val=""/>
      <w:lvlJc w:val="left"/>
      <w:pPr>
        <w:ind w:left="3154" w:hanging="360"/>
      </w:pPr>
      <w:rPr>
        <w:rFonts w:ascii="Symbol" w:hAnsi="Symbol" w:hint="default"/>
      </w:rPr>
    </w:lvl>
    <w:lvl w:ilvl="1" w:tplc="04020003" w:tentative="1">
      <w:start w:val="1"/>
      <w:numFmt w:val="bullet"/>
      <w:lvlText w:val="o"/>
      <w:lvlJc w:val="left"/>
      <w:pPr>
        <w:ind w:left="3557" w:hanging="360"/>
      </w:pPr>
      <w:rPr>
        <w:rFonts w:ascii="Courier New" w:hAnsi="Courier New" w:cs="Courier New" w:hint="default"/>
      </w:rPr>
    </w:lvl>
    <w:lvl w:ilvl="2" w:tplc="04020005" w:tentative="1">
      <w:start w:val="1"/>
      <w:numFmt w:val="bullet"/>
      <w:lvlText w:val=""/>
      <w:lvlJc w:val="left"/>
      <w:pPr>
        <w:ind w:left="4277" w:hanging="360"/>
      </w:pPr>
      <w:rPr>
        <w:rFonts w:ascii="Wingdings" w:hAnsi="Wingdings" w:hint="default"/>
      </w:rPr>
    </w:lvl>
    <w:lvl w:ilvl="3" w:tplc="04020001" w:tentative="1">
      <w:start w:val="1"/>
      <w:numFmt w:val="bullet"/>
      <w:lvlText w:val=""/>
      <w:lvlJc w:val="left"/>
      <w:pPr>
        <w:ind w:left="4997" w:hanging="360"/>
      </w:pPr>
      <w:rPr>
        <w:rFonts w:ascii="Symbol" w:hAnsi="Symbol" w:hint="default"/>
      </w:rPr>
    </w:lvl>
    <w:lvl w:ilvl="4" w:tplc="04020003" w:tentative="1">
      <w:start w:val="1"/>
      <w:numFmt w:val="bullet"/>
      <w:lvlText w:val="o"/>
      <w:lvlJc w:val="left"/>
      <w:pPr>
        <w:ind w:left="5717" w:hanging="360"/>
      </w:pPr>
      <w:rPr>
        <w:rFonts w:ascii="Courier New" w:hAnsi="Courier New" w:cs="Courier New" w:hint="default"/>
      </w:rPr>
    </w:lvl>
    <w:lvl w:ilvl="5" w:tplc="04020005" w:tentative="1">
      <w:start w:val="1"/>
      <w:numFmt w:val="bullet"/>
      <w:lvlText w:val=""/>
      <w:lvlJc w:val="left"/>
      <w:pPr>
        <w:ind w:left="6437" w:hanging="360"/>
      </w:pPr>
      <w:rPr>
        <w:rFonts w:ascii="Wingdings" w:hAnsi="Wingdings" w:hint="default"/>
      </w:rPr>
    </w:lvl>
    <w:lvl w:ilvl="6" w:tplc="04020001" w:tentative="1">
      <w:start w:val="1"/>
      <w:numFmt w:val="bullet"/>
      <w:lvlText w:val=""/>
      <w:lvlJc w:val="left"/>
      <w:pPr>
        <w:ind w:left="7157" w:hanging="360"/>
      </w:pPr>
      <w:rPr>
        <w:rFonts w:ascii="Symbol" w:hAnsi="Symbol" w:hint="default"/>
      </w:rPr>
    </w:lvl>
    <w:lvl w:ilvl="7" w:tplc="04020003" w:tentative="1">
      <w:start w:val="1"/>
      <w:numFmt w:val="bullet"/>
      <w:lvlText w:val="o"/>
      <w:lvlJc w:val="left"/>
      <w:pPr>
        <w:ind w:left="7877" w:hanging="360"/>
      </w:pPr>
      <w:rPr>
        <w:rFonts w:ascii="Courier New" w:hAnsi="Courier New" w:cs="Courier New" w:hint="default"/>
      </w:rPr>
    </w:lvl>
    <w:lvl w:ilvl="8" w:tplc="04020005" w:tentative="1">
      <w:start w:val="1"/>
      <w:numFmt w:val="bullet"/>
      <w:lvlText w:val=""/>
      <w:lvlJc w:val="left"/>
      <w:pPr>
        <w:ind w:left="8597" w:hanging="360"/>
      </w:pPr>
      <w:rPr>
        <w:rFonts w:ascii="Wingdings" w:hAnsi="Wingdings" w:hint="default"/>
      </w:rPr>
    </w:lvl>
  </w:abstractNum>
  <w:num w:numId="1">
    <w:abstractNumId w:val="7"/>
  </w:num>
  <w:num w:numId="2">
    <w:abstractNumId w:val="23"/>
  </w:num>
  <w:num w:numId="3">
    <w:abstractNumId w:val="20"/>
  </w:num>
  <w:num w:numId="4">
    <w:abstractNumId w:val="13"/>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5"/>
  </w:num>
  <w:num w:numId="10">
    <w:abstractNumId w:val="2"/>
  </w:num>
  <w:num w:numId="11">
    <w:abstractNumId w:val="19"/>
  </w:num>
  <w:num w:numId="12">
    <w:abstractNumId w:val="24"/>
  </w:num>
  <w:num w:numId="13">
    <w:abstractNumId w:val="4"/>
  </w:num>
  <w:num w:numId="14">
    <w:abstractNumId w:val="22"/>
  </w:num>
  <w:num w:numId="15">
    <w:abstractNumId w:val="17"/>
  </w:num>
  <w:num w:numId="16">
    <w:abstractNumId w:val="1"/>
  </w:num>
  <w:num w:numId="17">
    <w:abstractNumId w:val="10"/>
  </w:num>
  <w:num w:numId="18">
    <w:abstractNumId w:val="14"/>
  </w:num>
  <w:num w:numId="19">
    <w:abstractNumId w:val="21"/>
  </w:num>
  <w:num w:numId="20">
    <w:abstractNumId w:val="12"/>
  </w:num>
  <w:num w:numId="21">
    <w:abstractNumId w:val="8"/>
  </w:num>
  <w:num w:numId="22">
    <w:abstractNumId w:val="16"/>
  </w:num>
  <w:num w:numId="23">
    <w:abstractNumId w:val="11"/>
  </w:num>
  <w:num w:numId="24">
    <w:abstractNumId w:val="9"/>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A"/>
    <w:rsid w:val="00004E22"/>
    <w:rsid w:val="00012832"/>
    <w:rsid w:val="0001309E"/>
    <w:rsid w:val="00017069"/>
    <w:rsid w:val="00017A9C"/>
    <w:rsid w:val="00030BD4"/>
    <w:rsid w:val="000335EE"/>
    <w:rsid w:val="0003524C"/>
    <w:rsid w:val="000362B1"/>
    <w:rsid w:val="000377CC"/>
    <w:rsid w:val="00037806"/>
    <w:rsid w:val="00037DF5"/>
    <w:rsid w:val="000432A8"/>
    <w:rsid w:val="000454D0"/>
    <w:rsid w:val="00047FA5"/>
    <w:rsid w:val="00051DF9"/>
    <w:rsid w:val="000542BD"/>
    <w:rsid w:val="00055D0D"/>
    <w:rsid w:val="00062033"/>
    <w:rsid w:val="00064D62"/>
    <w:rsid w:val="00067230"/>
    <w:rsid w:val="00076479"/>
    <w:rsid w:val="0007677E"/>
    <w:rsid w:val="00080C78"/>
    <w:rsid w:val="00082236"/>
    <w:rsid w:val="00091605"/>
    <w:rsid w:val="000A03A4"/>
    <w:rsid w:val="000A759E"/>
    <w:rsid w:val="000B0771"/>
    <w:rsid w:val="000B26CD"/>
    <w:rsid w:val="000B7755"/>
    <w:rsid w:val="000C0C75"/>
    <w:rsid w:val="000C1B96"/>
    <w:rsid w:val="000C328C"/>
    <w:rsid w:val="000D1DA9"/>
    <w:rsid w:val="000D3898"/>
    <w:rsid w:val="000E42CD"/>
    <w:rsid w:val="000E6140"/>
    <w:rsid w:val="000F22A9"/>
    <w:rsid w:val="000F4003"/>
    <w:rsid w:val="001022EA"/>
    <w:rsid w:val="00102F11"/>
    <w:rsid w:val="00103418"/>
    <w:rsid w:val="0010449D"/>
    <w:rsid w:val="00107FA6"/>
    <w:rsid w:val="001105F7"/>
    <w:rsid w:val="00113706"/>
    <w:rsid w:val="00115825"/>
    <w:rsid w:val="00121075"/>
    <w:rsid w:val="00122E78"/>
    <w:rsid w:val="00126C8B"/>
    <w:rsid w:val="00137509"/>
    <w:rsid w:val="00140EDF"/>
    <w:rsid w:val="00141D91"/>
    <w:rsid w:val="0014321F"/>
    <w:rsid w:val="001453B3"/>
    <w:rsid w:val="001471A7"/>
    <w:rsid w:val="00153CC8"/>
    <w:rsid w:val="001551C5"/>
    <w:rsid w:val="0015715E"/>
    <w:rsid w:val="00161BBA"/>
    <w:rsid w:val="00166BA1"/>
    <w:rsid w:val="00172F15"/>
    <w:rsid w:val="00173091"/>
    <w:rsid w:val="001831E4"/>
    <w:rsid w:val="00186FF3"/>
    <w:rsid w:val="0018713E"/>
    <w:rsid w:val="001915B5"/>
    <w:rsid w:val="00197CFC"/>
    <w:rsid w:val="001A3F90"/>
    <w:rsid w:val="001A4270"/>
    <w:rsid w:val="001A7E9F"/>
    <w:rsid w:val="001B0DF9"/>
    <w:rsid w:val="001B1F05"/>
    <w:rsid w:val="001B2316"/>
    <w:rsid w:val="001B29AD"/>
    <w:rsid w:val="001B6BDA"/>
    <w:rsid w:val="001B7350"/>
    <w:rsid w:val="001C0BE8"/>
    <w:rsid w:val="001C2198"/>
    <w:rsid w:val="001C6613"/>
    <w:rsid w:val="001D2FD1"/>
    <w:rsid w:val="001E1DEF"/>
    <w:rsid w:val="001E3A0A"/>
    <w:rsid w:val="00206AB2"/>
    <w:rsid w:val="00210C94"/>
    <w:rsid w:val="00210DD2"/>
    <w:rsid w:val="00215E14"/>
    <w:rsid w:val="0022124C"/>
    <w:rsid w:val="0022285A"/>
    <w:rsid w:val="00225032"/>
    <w:rsid w:val="00231EEE"/>
    <w:rsid w:val="002338CB"/>
    <w:rsid w:val="00233EF2"/>
    <w:rsid w:val="0023795E"/>
    <w:rsid w:val="00241B14"/>
    <w:rsid w:val="00242965"/>
    <w:rsid w:val="00245DB4"/>
    <w:rsid w:val="002460F3"/>
    <w:rsid w:val="0024739F"/>
    <w:rsid w:val="00247514"/>
    <w:rsid w:val="00252C36"/>
    <w:rsid w:val="00253FC1"/>
    <w:rsid w:val="00256330"/>
    <w:rsid w:val="00261515"/>
    <w:rsid w:val="002620EB"/>
    <w:rsid w:val="00263723"/>
    <w:rsid w:val="002649FC"/>
    <w:rsid w:val="0027051C"/>
    <w:rsid w:val="002833B5"/>
    <w:rsid w:val="0028732B"/>
    <w:rsid w:val="00287EF5"/>
    <w:rsid w:val="002A58E9"/>
    <w:rsid w:val="002A64D9"/>
    <w:rsid w:val="002A72D6"/>
    <w:rsid w:val="002B016C"/>
    <w:rsid w:val="002B7B00"/>
    <w:rsid w:val="002C5BE1"/>
    <w:rsid w:val="002D1FBA"/>
    <w:rsid w:val="002D2843"/>
    <w:rsid w:val="002D2BC7"/>
    <w:rsid w:val="002E4745"/>
    <w:rsid w:val="002F209F"/>
    <w:rsid w:val="003028EF"/>
    <w:rsid w:val="00303874"/>
    <w:rsid w:val="00304349"/>
    <w:rsid w:val="0030790D"/>
    <w:rsid w:val="00307F8C"/>
    <w:rsid w:val="00311CE5"/>
    <w:rsid w:val="003138CC"/>
    <w:rsid w:val="0032222A"/>
    <w:rsid w:val="003329C0"/>
    <w:rsid w:val="00344ADC"/>
    <w:rsid w:val="003515DC"/>
    <w:rsid w:val="00352462"/>
    <w:rsid w:val="0035345B"/>
    <w:rsid w:val="00362568"/>
    <w:rsid w:val="003628B7"/>
    <w:rsid w:val="003653EF"/>
    <w:rsid w:val="00367D52"/>
    <w:rsid w:val="003732E8"/>
    <w:rsid w:val="00373822"/>
    <w:rsid w:val="00374DB1"/>
    <w:rsid w:val="00375618"/>
    <w:rsid w:val="00386CD1"/>
    <w:rsid w:val="00387274"/>
    <w:rsid w:val="003903FE"/>
    <w:rsid w:val="003921DF"/>
    <w:rsid w:val="00392240"/>
    <w:rsid w:val="00395C5A"/>
    <w:rsid w:val="003A16F5"/>
    <w:rsid w:val="003B2CDC"/>
    <w:rsid w:val="003B58EE"/>
    <w:rsid w:val="003C4FE3"/>
    <w:rsid w:val="003C5E1D"/>
    <w:rsid w:val="003D6CAF"/>
    <w:rsid w:val="003D726B"/>
    <w:rsid w:val="003E0FFC"/>
    <w:rsid w:val="003E5AC6"/>
    <w:rsid w:val="003F0C55"/>
    <w:rsid w:val="003F1D84"/>
    <w:rsid w:val="003F536F"/>
    <w:rsid w:val="003F5BF1"/>
    <w:rsid w:val="003F6103"/>
    <w:rsid w:val="003F6A22"/>
    <w:rsid w:val="0040264A"/>
    <w:rsid w:val="00403496"/>
    <w:rsid w:val="0040730C"/>
    <w:rsid w:val="00410910"/>
    <w:rsid w:val="00413860"/>
    <w:rsid w:val="00417194"/>
    <w:rsid w:val="00425FF4"/>
    <w:rsid w:val="00426B47"/>
    <w:rsid w:val="00426E63"/>
    <w:rsid w:val="004339D3"/>
    <w:rsid w:val="00440446"/>
    <w:rsid w:val="00445EAF"/>
    <w:rsid w:val="00447592"/>
    <w:rsid w:val="00447DDC"/>
    <w:rsid w:val="00450FC6"/>
    <w:rsid w:val="00464933"/>
    <w:rsid w:val="00467F92"/>
    <w:rsid w:val="00470A66"/>
    <w:rsid w:val="00470BD2"/>
    <w:rsid w:val="00470BD7"/>
    <w:rsid w:val="00470C08"/>
    <w:rsid w:val="00472DB3"/>
    <w:rsid w:val="00473BDD"/>
    <w:rsid w:val="00474348"/>
    <w:rsid w:val="004752E3"/>
    <w:rsid w:val="00475A8E"/>
    <w:rsid w:val="004808D6"/>
    <w:rsid w:val="0048386C"/>
    <w:rsid w:val="00484D01"/>
    <w:rsid w:val="004954F8"/>
    <w:rsid w:val="004A35A4"/>
    <w:rsid w:val="004A51B4"/>
    <w:rsid w:val="004A5501"/>
    <w:rsid w:val="004A59BE"/>
    <w:rsid w:val="004B0002"/>
    <w:rsid w:val="004B6AE5"/>
    <w:rsid w:val="004B6F6F"/>
    <w:rsid w:val="004B7CAD"/>
    <w:rsid w:val="004D105D"/>
    <w:rsid w:val="004D1C69"/>
    <w:rsid w:val="004D273E"/>
    <w:rsid w:val="004D4DB2"/>
    <w:rsid w:val="004D5F56"/>
    <w:rsid w:val="004F72C7"/>
    <w:rsid w:val="004F78BD"/>
    <w:rsid w:val="005032D7"/>
    <w:rsid w:val="0050401C"/>
    <w:rsid w:val="00507B5F"/>
    <w:rsid w:val="00510322"/>
    <w:rsid w:val="00510721"/>
    <w:rsid w:val="005165B4"/>
    <w:rsid w:val="00525699"/>
    <w:rsid w:val="00537DD0"/>
    <w:rsid w:val="005411D0"/>
    <w:rsid w:val="005414B3"/>
    <w:rsid w:val="00543F07"/>
    <w:rsid w:val="0054422C"/>
    <w:rsid w:val="00544D37"/>
    <w:rsid w:val="0054657C"/>
    <w:rsid w:val="00550D9B"/>
    <w:rsid w:val="00553DEB"/>
    <w:rsid w:val="00556862"/>
    <w:rsid w:val="00566B45"/>
    <w:rsid w:val="005670FD"/>
    <w:rsid w:val="00571C56"/>
    <w:rsid w:val="00574F21"/>
    <w:rsid w:val="00576141"/>
    <w:rsid w:val="005774DB"/>
    <w:rsid w:val="005809EF"/>
    <w:rsid w:val="00587384"/>
    <w:rsid w:val="00587B7F"/>
    <w:rsid w:val="00592C74"/>
    <w:rsid w:val="005A03A0"/>
    <w:rsid w:val="005B1B14"/>
    <w:rsid w:val="005B21C5"/>
    <w:rsid w:val="005B4BF1"/>
    <w:rsid w:val="005C2DAA"/>
    <w:rsid w:val="005C3DB5"/>
    <w:rsid w:val="005D51BB"/>
    <w:rsid w:val="005D63AD"/>
    <w:rsid w:val="005D6E6F"/>
    <w:rsid w:val="005E568F"/>
    <w:rsid w:val="005E6949"/>
    <w:rsid w:val="005F11FD"/>
    <w:rsid w:val="005F234B"/>
    <w:rsid w:val="005F4058"/>
    <w:rsid w:val="005F4B3A"/>
    <w:rsid w:val="00604242"/>
    <w:rsid w:val="00604474"/>
    <w:rsid w:val="006054AA"/>
    <w:rsid w:val="006072FA"/>
    <w:rsid w:val="00614BAB"/>
    <w:rsid w:val="00614D3E"/>
    <w:rsid w:val="006150A4"/>
    <w:rsid w:val="006155C7"/>
    <w:rsid w:val="00616C47"/>
    <w:rsid w:val="006177E4"/>
    <w:rsid w:val="00622CF5"/>
    <w:rsid w:val="0062579E"/>
    <w:rsid w:val="00626596"/>
    <w:rsid w:val="00627E8A"/>
    <w:rsid w:val="00633967"/>
    <w:rsid w:val="00644889"/>
    <w:rsid w:val="00645253"/>
    <w:rsid w:val="00646070"/>
    <w:rsid w:val="00646712"/>
    <w:rsid w:val="006502AB"/>
    <w:rsid w:val="00650E83"/>
    <w:rsid w:val="006538E4"/>
    <w:rsid w:val="0065623D"/>
    <w:rsid w:val="00667684"/>
    <w:rsid w:val="00672E12"/>
    <w:rsid w:val="006749EC"/>
    <w:rsid w:val="00677D09"/>
    <w:rsid w:val="0068131D"/>
    <w:rsid w:val="00685789"/>
    <w:rsid w:val="00694C54"/>
    <w:rsid w:val="006B1748"/>
    <w:rsid w:val="006B1818"/>
    <w:rsid w:val="006B3833"/>
    <w:rsid w:val="006C08A0"/>
    <w:rsid w:val="006D2977"/>
    <w:rsid w:val="006D2E20"/>
    <w:rsid w:val="006D6E01"/>
    <w:rsid w:val="006D7348"/>
    <w:rsid w:val="006E1491"/>
    <w:rsid w:val="006E1C41"/>
    <w:rsid w:val="006E2689"/>
    <w:rsid w:val="006F0606"/>
    <w:rsid w:val="006F39D0"/>
    <w:rsid w:val="007004CC"/>
    <w:rsid w:val="007121D5"/>
    <w:rsid w:val="0071677C"/>
    <w:rsid w:val="00720146"/>
    <w:rsid w:val="00721169"/>
    <w:rsid w:val="0072735D"/>
    <w:rsid w:val="00732913"/>
    <w:rsid w:val="00740751"/>
    <w:rsid w:val="00741975"/>
    <w:rsid w:val="00743321"/>
    <w:rsid w:val="007435F0"/>
    <w:rsid w:val="0074385A"/>
    <w:rsid w:val="00746426"/>
    <w:rsid w:val="007464F0"/>
    <w:rsid w:val="007523A5"/>
    <w:rsid w:val="007551A6"/>
    <w:rsid w:val="00755BEA"/>
    <w:rsid w:val="00763452"/>
    <w:rsid w:val="00764180"/>
    <w:rsid w:val="0076472C"/>
    <w:rsid w:val="00774632"/>
    <w:rsid w:val="0077741D"/>
    <w:rsid w:val="00781589"/>
    <w:rsid w:val="00782EB8"/>
    <w:rsid w:val="00791AAE"/>
    <w:rsid w:val="00791BD2"/>
    <w:rsid w:val="00797034"/>
    <w:rsid w:val="007972F4"/>
    <w:rsid w:val="007A160B"/>
    <w:rsid w:val="007A2719"/>
    <w:rsid w:val="007B00CD"/>
    <w:rsid w:val="007B43BA"/>
    <w:rsid w:val="007C234A"/>
    <w:rsid w:val="007C678E"/>
    <w:rsid w:val="007C6F9D"/>
    <w:rsid w:val="007D35FB"/>
    <w:rsid w:val="007D4B33"/>
    <w:rsid w:val="007E2CC1"/>
    <w:rsid w:val="007E436A"/>
    <w:rsid w:val="00806B04"/>
    <w:rsid w:val="00810107"/>
    <w:rsid w:val="00811B1D"/>
    <w:rsid w:val="00811D42"/>
    <w:rsid w:val="00813F87"/>
    <w:rsid w:val="008146F0"/>
    <w:rsid w:val="00814D8F"/>
    <w:rsid w:val="00815E4C"/>
    <w:rsid w:val="00816222"/>
    <w:rsid w:val="0081643E"/>
    <w:rsid w:val="00820222"/>
    <w:rsid w:val="00823D8E"/>
    <w:rsid w:val="0082482E"/>
    <w:rsid w:val="008323BB"/>
    <w:rsid w:val="008352D0"/>
    <w:rsid w:val="008364C4"/>
    <w:rsid w:val="0083669B"/>
    <w:rsid w:val="00836CA5"/>
    <w:rsid w:val="0083788D"/>
    <w:rsid w:val="00837D50"/>
    <w:rsid w:val="0084042B"/>
    <w:rsid w:val="00840F7D"/>
    <w:rsid w:val="00841583"/>
    <w:rsid w:val="00844226"/>
    <w:rsid w:val="00851FA3"/>
    <w:rsid w:val="00861B25"/>
    <w:rsid w:val="008642FA"/>
    <w:rsid w:val="008654B3"/>
    <w:rsid w:val="0087143D"/>
    <w:rsid w:val="00874053"/>
    <w:rsid w:val="00893905"/>
    <w:rsid w:val="00894DED"/>
    <w:rsid w:val="008963D6"/>
    <w:rsid w:val="008972D6"/>
    <w:rsid w:val="00897874"/>
    <w:rsid w:val="00897B65"/>
    <w:rsid w:val="008B51E9"/>
    <w:rsid w:val="008B57A4"/>
    <w:rsid w:val="008B5F78"/>
    <w:rsid w:val="008C180A"/>
    <w:rsid w:val="008C1E35"/>
    <w:rsid w:val="008C3431"/>
    <w:rsid w:val="008C4A52"/>
    <w:rsid w:val="008C512A"/>
    <w:rsid w:val="008C536C"/>
    <w:rsid w:val="008C5A7D"/>
    <w:rsid w:val="008C7B1C"/>
    <w:rsid w:val="008D1158"/>
    <w:rsid w:val="008E144E"/>
    <w:rsid w:val="008E16EC"/>
    <w:rsid w:val="008E2DFF"/>
    <w:rsid w:val="008E4A2C"/>
    <w:rsid w:val="008F1880"/>
    <w:rsid w:val="008F6A30"/>
    <w:rsid w:val="008F6C33"/>
    <w:rsid w:val="008F724B"/>
    <w:rsid w:val="008F7269"/>
    <w:rsid w:val="00901C2A"/>
    <w:rsid w:val="0090341D"/>
    <w:rsid w:val="0090452F"/>
    <w:rsid w:val="00910077"/>
    <w:rsid w:val="009165DA"/>
    <w:rsid w:val="00924D2B"/>
    <w:rsid w:val="009319D9"/>
    <w:rsid w:val="0093717F"/>
    <w:rsid w:val="00937C1D"/>
    <w:rsid w:val="00937E09"/>
    <w:rsid w:val="00943B96"/>
    <w:rsid w:val="00946A7B"/>
    <w:rsid w:val="00946CE4"/>
    <w:rsid w:val="009504EC"/>
    <w:rsid w:val="00951430"/>
    <w:rsid w:val="00953DDB"/>
    <w:rsid w:val="00960523"/>
    <w:rsid w:val="009609D7"/>
    <w:rsid w:val="009616FA"/>
    <w:rsid w:val="00963B01"/>
    <w:rsid w:val="00964A7F"/>
    <w:rsid w:val="0097650A"/>
    <w:rsid w:val="00977AFC"/>
    <w:rsid w:val="009876FD"/>
    <w:rsid w:val="0099091B"/>
    <w:rsid w:val="0099124E"/>
    <w:rsid w:val="00995014"/>
    <w:rsid w:val="009956C2"/>
    <w:rsid w:val="00996D4E"/>
    <w:rsid w:val="00997AD0"/>
    <w:rsid w:val="009A4CA8"/>
    <w:rsid w:val="009A587F"/>
    <w:rsid w:val="009A723E"/>
    <w:rsid w:val="009B5036"/>
    <w:rsid w:val="009B5377"/>
    <w:rsid w:val="009B5B26"/>
    <w:rsid w:val="009B658B"/>
    <w:rsid w:val="009C3C32"/>
    <w:rsid w:val="009C439A"/>
    <w:rsid w:val="009C51F7"/>
    <w:rsid w:val="009D1307"/>
    <w:rsid w:val="009D163A"/>
    <w:rsid w:val="009D6AF1"/>
    <w:rsid w:val="009D7A1A"/>
    <w:rsid w:val="009E75B0"/>
    <w:rsid w:val="009F457C"/>
    <w:rsid w:val="009F45A9"/>
    <w:rsid w:val="009F66CA"/>
    <w:rsid w:val="009F7D32"/>
    <w:rsid w:val="00A00AF5"/>
    <w:rsid w:val="00A033F5"/>
    <w:rsid w:val="00A068C6"/>
    <w:rsid w:val="00A07676"/>
    <w:rsid w:val="00A07E8F"/>
    <w:rsid w:val="00A148EE"/>
    <w:rsid w:val="00A16638"/>
    <w:rsid w:val="00A21018"/>
    <w:rsid w:val="00A26608"/>
    <w:rsid w:val="00A33640"/>
    <w:rsid w:val="00A35C4F"/>
    <w:rsid w:val="00A42EBD"/>
    <w:rsid w:val="00A45687"/>
    <w:rsid w:val="00A46C80"/>
    <w:rsid w:val="00A50670"/>
    <w:rsid w:val="00A52B46"/>
    <w:rsid w:val="00A56939"/>
    <w:rsid w:val="00A56C49"/>
    <w:rsid w:val="00A56E1A"/>
    <w:rsid w:val="00A574B6"/>
    <w:rsid w:val="00A64BC9"/>
    <w:rsid w:val="00A65E18"/>
    <w:rsid w:val="00A73020"/>
    <w:rsid w:val="00A80F68"/>
    <w:rsid w:val="00A81C48"/>
    <w:rsid w:val="00A829CA"/>
    <w:rsid w:val="00A83926"/>
    <w:rsid w:val="00A90103"/>
    <w:rsid w:val="00A928DA"/>
    <w:rsid w:val="00A9331B"/>
    <w:rsid w:val="00A9402F"/>
    <w:rsid w:val="00A947E6"/>
    <w:rsid w:val="00A973E9"/>
    <w:rsid w:val="00A978CF"/>
    <w:rsid w:val="00A97DC3"/>
    <w:rsid w:val="00AA1340"/>
    <w:rsid w:val="00AA21C1"/>
    <w:rsid w:val="00AA2D0F"/>
    <w:rsid w:val="00AB5566"/>
    <w:rsid w:val="00AB7823"/>
    <w:rsid w:val="00AC1378"/>
    <w:rsid w:val="00AC3256"/>
    <w:rsid w:val="00AC4A42"/>
    <w:rsid w:val="00AD5BDD"/>
    <w:rsid w:val="00AF3407"/>
    <w:rsid w:val="00AF6E01"/>
    <w:rsid w:val="00B0007D"/>
    <w:rsid w:val="00B0142B"/>
    <w:rsid w:val="00B03046"/>
    <w:rsid w:val="00B032B1"/>
    <w:rsid w:val="00B112A9"/>
    <w:rsid w:val="00B146B8"/>
    <w:rsid w:val="00B15BE7"/>
    <w:rsid w:val="00B169F3"/>
    <w:rsid w:val="00B17641"/>
    <w:rsid w:val="00B17A3A"/>
    <w:rsid w:val="00B203F3"/>
    <w:rsid w:val="00B204BC"/>
    <w:rsid w:val="00B22B93"/>
    <w:rsid w:val="00B30201"/>
    <w:rsid w:val="00B3270D"/>
    <w:rsid w:val="00B32885"/>
    <w:rsid w:val="00B33755"/>
    <w:rsid w:val="00B35778"/>
    <w:rsid w:val="00B36018"/>
    <w:rsid w:val="00B4415A"/>
    <w:rsid w:val="00B51E62"/>
    <w:rsid w:val="00B53F46"/>
    <w:rsid w:val="00B648C9"/>
    <w:rsid w:val="00B67443"/>
    <w:rsid w:val="00B72309"/>
    <w:rsid w:val="00B83E11"/>
    <w:rsid w:val="00B9202A"/>
    <w:rsid w:val="00B970F2"/>
    <w:rsid w:val="00B97350"/>
    <w:rsid w:val="00BA1549"/>
    <w:rsid w:val="00BA1ABD"/>
    <w:rsid w:val="00BA3CFE"/>
    <w:rsid w:val="00BA4754"/>
    <w:rsid w:val="00BB061C"/>
    <w:rsid w:val="00BB11BC"/>
    <w:rsid w:val="00BC1E1B"/>
    <w:rsid w:val="00BC5049"/>
    <w:rsid w:val="00BC649E"/>
    <w:rsid w:val="00BE374D"/>
    <w:rsid w:val="00BF7BBD"/>
    <w:rsid w:val="00C015E8"/>
    <w:rsid w:val="00C021D7"/>
    <w:rsid w:val="00C03C10"/>
    <w:rsid w:val="00C042DA"/>
    <w:rsid w:val="00C061C2"/>
    <w:rsid w:val="00C06E8E"/>
    <w:rsid w:val="00C12934"/>
    <w:rsid w:val="00C149BC"/>
    <w:rsid w:val="00C15AC2"/>
    <w:rsid w:val="00C16B65"/>
    <w:rsid w:val="00C21328"/>
    <w:rsid w:val="00C22CB9"/>
    <w:rsid w:val="00C27716"/>
    <w:rsid w:val="00C32FE9"/>
    <w:rsid w:val="00C3312E"/>
    <w:rsid w:val="00C409F5"/>
    <w:rsid w:val="00C43712"/>
    <w:rsid w:val="00C4381B"/>
    <w:rsid w:val="00C450AB"/>
    <w:rsid w:val="00C509EE"/>
    <w:rsid w:val="00C527B6"/>
    <w:rsid w:val="00C52D67"/>
    <w:rsid w:val="00C54523"/>
    <w:rsid w:val="00C5458D"/>
    <w:rsid w:val="00C567AC"/>
    <w:rsid w:val="00C613FC"/>
    <w:rsid w:val="00C657B5"/>
    <w:rsid w:val="00C66638"/>
    <w:rsid w:val="00C66B9C"/>
    <w:rsid w:val="00C71977"/>
    <w:rsid w:val="00C72151"/>
    <w:rsid w:val="00C74D9F"/>
    <w:rsid w:val="00C769DE"/>
    <w:rsid w:val="00C80C14"/>
    <w:rsid w:val="00C8220C"/>
    <w:rsid w:val="00C833A3"/>
    <w:rsid w:val="00C838F2"/>
    <w:rsid w:val="00C8453D"/>
    <w:rsid w:val="00C9315A"/>
    <w:rsid w:val="00C94C72"/>
    <w:rsid w:val="00C953D9"/>
    <w:rsid w:val="00CA040C"/>
    <w:rsid w:val="00CA0D92"/>
    <w:rsid w:val="00CA26D9"/>
    <w:rsid w:val="00CA7399"/>
    <w:rsid w:val="00CB1520"/>
    <w:rsid w:val="00CB3888"/>
    <w:rsid w:val="00CC2A4A"/>
    <w:rsid w:val="00CD2099"/>
    <w:rsid w:val="00CD2169"/>
    <w:rsid w:val="00CD49D5"/>
    <w:rsid w:val="00CD6089"/>
    <w:rsid w:val="00CD6D82"/>
    <w:rsid w:val="00CE39DB"/>
    <w:rsid w:val="00CE3C35"/>
    <w:rsid w:val="00CE419F"/>
    <w:rsid w:val="00CE7611"/>
    <w:rsid w:val="00CF4D3D"/>
    <w:rsid w:val="00CF4E97"/>
    <w:rsid w:val="00D00ACB"/>
    <w:rsid w:val="00D03BB8"/>
    <w:rsid w:val="00D06D2E"/>
    <w:rsid w:val="00D06F83"/>
    <w:rsid w:val="00D16805"/>
    <w:rsid w:val="00D23638"/>
    <w:rsid w:val="00D26111"/>
    <w:rsid w:val="00D3083C"/>
    <w:rsid w:val="00D40FC8"/>
    <w:rsid w:val="00D41D55"/>
    <w:rsid w:val="00D461E9"/>
    <w:rsid w:val="00D467F6"/>
    <w:rsid w:val="00D514FE"/>
    <w:rsid w:val="00D53B10"/>
    <w:rsid w:val="00D61396"/>
    <w:rsid w:val="00D621E8"/>
    <w:rsid w:val="00D64B8B"/>
    <w:rsid w:val="00D65550"/>
    <w:rsid w:val="00D7434F"/>
    <w:rsid w:val="00D76DA8"/>
    <w:rsid w:val="00D848E3"/>
    <w:rsid w:val="00D8782A"/>
    <w:rsid w:val="00D87CCF"/>
    <w:rsid w:val="00D94664"/>
    <w:rsid w:val="00D9626E"/>
    <w:rsid w:val="00DA6FC9"/>
    <w:rsid w:val="00DA72A1"/>
    <w:rsid w:val="00DC0F5D"/>
    <w:rsid w:val="00DC433B"/>
    <w:rsid w:val="00DD35A2"/>
    <w:rsid w:val="00DD55E9"/>
    <w:rsid w:val="00DD5D32"/>
    <w:rsid w:val="00DE08A6"/>
    <w:rsid w:val="00DE2F7E"/>
    <w:rsid w:val="00DE5122"/>
    <w:rsid w:val="00DE53D9"/>
    <w:rsid w:val="00DE5A34"/>
    <w:rsid w:val="00DE6881"/>
    <w:rsid w:val="00DE7D5D"/>
    <w:rsid w:val="00DF44BB"/>
    <w:rsid w:val="00DF6C0D"/>
    <w:rsid w:val="00DF7554"/>
    <w:rsid w:val="00E03A3B"/>
    <w:rsid w:val="00E127DD"/>
    <w:rsid w:val="00E14EFD"/>
    <w:rsid w:val="00E14F5C"/>
    <w:rsid w:val="00E17A37"/>
    <w:rsid w:val="00E210C1"/>
    <w:rsid w:val="00E42AAB"/>
    <w:rsid w:val="00E476C4"/>
    <w:rsid w:val="00E51198"/>
    <w:rsid w:val="00E57E49"/>
    <w:rsid w:val="00E60660"/>
    <w:rsid w:val="00E64508"/>
    <w:rsid w:val="00E65989"/>
    <w:rsid w:val="00E6792A"/>
    <w:rsid w:val="00E742EA"/>
    <w:rsid w:val="00E75876"/>
    <w:rsid w:val="00E77042"/>
    <w:rsid w:val="00E773F3"/>
    <w:rsid w:val="00E82E1F"/>
    <w:rsid w:val="00E854DB"/>
    <w:rsid w:val="00E90B9A"/>
    <w:rsid w:val="00E9230C"/>
    <w:rsid w:val="00E96F06"/>
    <w:rsid w:val="00EA0954"/>
    <w:rsid w:val="00EA4369"/>
    <w:rsid w:val="00EA5442"/>
    <w:rsid w:val="00EA615B"/>
    <w:rsid w:val="00EB5AC6"/>
    <w:rsid w:val="00EC06C0"/>
    <w:rsid w:val="00EC0E4B"/>
    <w:rsid w:val="00EC1285"/>
    <w:rsid w:val="00ED0A33"/>
    <w:rsid w:val="00ED1C77"/>
    <w:rsid w:val="00ED2356"/>
    <w:rsid w:val="00ED27AE"/>
    <w:rsid w:val="00ED5C96"/>
    <w:rsid w:val="00ED6DFA"/>
    <w:rsid w:val="00EE0EF7"/>
    <w:rsid w:val="00EE1E37"/>
    <w:rsid w:val="00EE2462"/>
    <w:rsid w:val="00EE543A"/>
    <w:rsid w:val="00EF2E60"/>
    <w:rsid w:val="00EF678C"/>
    <w:rsid w:val="00F13B7C"/>
    <w:rsid w:val="00F14A9D"/>
    <w:rsid w:val="00F20C58"/>
    <w:rsid w:val="00F21A8B"/>
    <w:rsid w:val="00F21E3B"/>
    <w:rsid w:val="00F33118"/>
    <w:rsid w:val="00F3408E"/>
    <w:rsid w:val="00F421D5"/>
    <w:rsid w:val="00F43CEA"/>
    <w:rsid w:val="00F4421D"/>
    <w:rsid w:val="00F55128"/>
    <w:rsid w:val="00F56AA1"/>
    <w:rsid w:val="00F5773F"/>
    <w:rsid w:val="00F60466"/>
    <w:rsid w:val="00F639A9"/>
    <w:rsid w:val="00F63D73"/>
    <w:rsid w:val="00F66561"/>
    <w:rsid w:val="00F729A2"/>
    <w:rsid w:val="00F72F00"/>
    <w:rsid w:val="00F74C85"/>
    <w:rsid w:val="00F76330"/>
    <w:rsid w:val="00F7759C"/>
    <w:rsid w:val="00F82486"/>
    <w:rsid w:val="00F85713"/>
    <w:rsid w:val="00F87C45"/>
    <w:rsid w:val="00F90CD2"/>
    <w:rsid w:val="00F9127B"/>
    <w:rsid w:val="00FA10D0"/>
    <w:rsid w:val="00FA477C"/>
    <w:rsid w:val="00FB29B1"/>
    <w:rsid w:val="00FB64A3"/>
    <w:rsid w:val="00FC1D85"/>
    <w:rsid w:val="00FC2499"/>
    <w:rsid w:val="00FD02F3"/>
    <w:rsid w:val="00FD74E8"/>
    <w:rsid w:val="00FE29E9"/>
    <w:rsid w:val="00FE3A17"/>
    <w:rsid w:val="00FE4AE4"/>
    <w:rsid w:val="00FE6EFC"/>
    <w:rsid w:val="00FF1305"/>
    <w:rsid w:val="00FF4D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9A"/>
    <w:pPr>
      <w:spacing w:after="200" w:line="276" w:lineRule="auto"/>
    </w:pPr>
    <w:rPr>
      <w:sz w:val="22"/>
      <w:szCs w:val="22"/>
    </w:rPr>
  </w:style>
  <w:style w:type="paragraph" w:styleId="Heading1">
    <w:name w:val="heading 1"/>
    <w:basedOn w:val="Normal"/>
    <w:next w:val="Normal"/>
    <w:link w:val="Heading1Char"/>
    <w:qFormat/>
    <w:rsid w:val="003D726B"/>
    <w:pPr>
      <w:tabs>
        <w:tab w:val="left" w:pos="993"/>
      </w:tabs>
      <w:spacing w:after="0" w:line="360" w:lineRule="auto"/>
      <w:ind w:firstLine="709"/>
      <w:jc w:val="both"/>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0B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90B9A"/>
    <w:pPr>
      <w:spacing w:after="0" w:line="240" w:lineRule="auto"/>
    </w:pPr>
    <w:rPr>
      <w:rFonts w:ascii="Consolas" w:hAnsi="Consolas"/>
      <w:sz w:val="21"/>
      <w:szCs w:val="21"/>
    </w:rPr>
  </w:style>
  <w:style w:type="character" w:customStyle="1" w:styleId="PlainTextChar">
    <w:name w:val="Plain Text Char"/>
    <w:link w:val="PlainText"/>
    <w:uiPriority w:val="99"/>
    <w:rsid w:val="00E90B9A"/>
    <w:rPr>
      <w:rFonts w:ascii="Consolas" w:hAnsi="Consolas"/>
      <w:sz w:val="21"/>
      <w:szCs w:val="21"/>
      <w:lang w:val="en-GB"/>
    </w:rPr>
  </w:style>
  <w:style w:type="paragraph" w:customStyle="1" w:styleId="Style">
    <w:name w:val="Style"/>
    <w:uiPriority w:val="99"/>
    <w:rsid w:val="00E90B9A"/>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0C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0C94"/>
    <w:rPr>
      <w:rFonts w:ascii="Tahoma" w:eastAsia="Calibri" w:hAnsi="Tahoma" w:cs="Tahoma"/>
      <w:sz w:val="16"/>
      <w:szCs w:val="16"/>
    </w:rPr>
  </w:style>
  <w:style w:type="paragraph" w:styleId="ListParagraph">
    <w:name w:val="List Paragraph"/>
    <w:basedOn w:val="Normal"/>
    <w:uiPriority w:val="34"/>
    <w:qFormat/>
    <w:rsid w:val="008C4A52"/>
    <w:pPr>
      <w:ind w:left="720"/>
      <w:contextualSpacing/>
    </w:pPr>
  </w:style>
  <w:style w:type="character" w:styleId="Hyperlink">
    <w:name w:val="Hyperlink"/>
    <w:uiPriority w:val="99"/>
    <w:unhideWhenUsed/>
    <w:rsid w:val="00587384"/>
    <w:rPr>
      <w:color w:val="0000FF"/>
      <w:u w:val="single"/>
    </w:rPr>
  </w:style>
  <w:style w:type="paragraph" w:styleId="FootnoteText">
    <w:name w:val="footnote text"/>
    <w:basedOn w:val="Normal"/>
    <w:link w:val="FootnoteTextChar"/>
    <w:uiPriority w:val="99"/>
    <w:semiHidden/>
    <w:unhideWhenUsed/>
    <w:rsid w:val="005670FD"/>
    <w:rPr>
      <w:sz w:val="20"/>
      <w:szCs w:val="20"/>
    </w:rPr>
  </w:style>
  <w:style w:type="character" w:customStyle="1" w:styleId="FootnoteTextChar">
    <w:name w:val="Footnote Text Char"/>
    <w:link w:val="FootnoteText"/>
    <w:uiPriority w:val="99"/>
    <w:semiHidden/>
    <w:rsid w:val="005670FD"/>
    <w:rPr>
      <w:lang w:eastAsia="en-GB"/>
    </w:rPr>
  </w:style>
  <w:style w:type="character" w:styleId="FootnoteReference">
    <w:name w:val="footnote reference"/>
    <w:uiPriority w:val="99"/>
    <w:semiHidden/>
    <w:unhideWhenUsed/>
    <w:rsid w:val="005670FD"/>
    <w:rPr>
      <w:vertAlign w:val="superscript"/>
    </w:rPr>
  </w:style>
  <w:style w:type="character" w:customStyle="1" w:styleId="Heading1Char">
    <w:name w:val="Heading 1 Char"/>
    <w:link w:val="Heading1"/>
    <w:rsid w:val="003D726B"/>
    <w:rPr>
      <w:rFonts w:ascii="Times New Roman" w:hAnsi="Times New Roman"/>
      <w:b/>
      <w:sz w:val="28"/>
      <w:szCs w:val="28"/>
      <w:lang w:val="en-GB" w:eastAsia="en-GB"/>
    </w:rPr>
  </w:style>
  <w:style w:type="character" w:styleId="CommentReference">
    <w:name w:val="annotation reference"/>
    <w:uiPriority w:val="99"/>
    <w:semiHidden/>
    <w:unhideWhenUsed/>
    <w:rsid w:val="00A829CA"/>
    <w:rPr>
      <w:sz w:val="16"/>
      <w:szCs w:val="16"/>
    </w:rPr>
  </w:style>
  <w:style w:type="paragraph" w:styleId="CommentText">
    <w:name w:val="annotation text"/>
    <w:basedOn w:val="Normal"/>
    <w:link w:val="CommentTextChar"/>
    <w:uiPriority w:val="99"/>
    <w:semiHidden/>
    <w:unhideWhenUsed/>
    <w:rsid w:val="00A829CA"/>
    <w:rPr>
      <w:sz w:val="20"/>
      <w:szCs w:val="20"/>
    </w:rPr>
  </w:style>
  <w:style w:type="character" w:customStyle="1" w:styleId="CommentTextChar">
    <w:name w:val="Comment Text Char"/>
    <w:link w:val="CommentText"/>
    <w:uiPriority w:val="99"/>
    <w:semiHidden/>
    <w:rsid w:val="00A829CA"/>
    <w:rPr>
      <w:lang w:eastAsia="en-GB"/>
    </w:rPr>
  </w:style>
  <w:style w:type="paragraph" w:styleId="CommentSubject">
    <w:name w:val="annotation subject"/>
    <w:basedOn w:val="CommentText"/>
    <w:next w:val="CommentText"/>
    <w:link w:val="CommentSubjectChar"/>
    <w:uiPriority w:val="99"/>
    <w:semiHidden/>
    <w:unhideWhenUsed/>
    <w:rsid w:val="00A829CA"/>
    <w:rPr>
      <w:b/>
      <w:bCs/>
    </w:rPr>
  </w:style>
  <w:style w:type="character" w:customStyle="1" w:styleId="CommentSubjectChar">
    <w:name w:val="Comment Subject Char"/>
    <w:link w:val="CommentSubject"/>
    <w:uiPriority w:val="99"/>
    <w:semiHidden/>
    <w:rsid w:val="00A829CA"/>
    <w:rPr>
      <w:b/>
      <w:bCs/>
      <w:lang w:eastAsia="en-GB"/>
    </w:rPr>
  </w:style>
  <w:style w:type="paragraph" w:styleId="Header">
    <w:name w:val="header"/>
    <w:basedOn w:val="Normal"/>
    <w:link w:val="HeaderChar"/>
    <w:uiPriority w:val="99"/>
    <w:unhideWhenUsed/>
    <w:rsid w:val="0077741D"/>
    <w:pPr>
      <w:tabs>
        <w:tab w:val="center" w:pos="4536"/>
        <w:tab w:val="right" w:pos="9072"/>
      </w:tabs>
    </w:pPr>
  </w:style>
  <w:style w:type="character" w:customStyle="1" w:styleId="HeaderChar">
    <w:name w:val="Header Char"/>
    <w:link w:val="Header"/>
    <w:uiPriority w:val="99"/>
    <w:rsid w:val="0077741D"/>
    <w:rPr>
      <w:sz w:val="22"/>
      <w:szCs w:val="22"/>
      <w:lang w:eastAsia="en-GB"/>
    </w:rPr>
  </w:style>
  <w:style w:type="paragraph" w:styleId="Footer">
    <w:name w:val="footer"/>
    <w:basedOn w:val="Normal"/>
    <w:link w:val="FooterChar"/>
    <w:uiPriority w:val="99"/>
    <w:unhideWhenUsed/>
    <w:rsid w:val="0077741D"/>
    <w:pPr>
      <w:tabs>
        <w:tab w:val="center" w:pos="4536"/>
        <w:tab w:val="right" w:pos="9072"/>
      </w:tabs>
    </w:pPr>
  </w:style>
  <w:style w:type="character" w:customStyle="1" w:styleId="FooterChar">
    <w:name w:val="Footer Char"/>
    <w:link w:val="Footer"/>
    <w:uiPriority w:val="99"/>
    <w:rsid w:val="0077741D"/>
    <w:rPr>
      <w:sz w:val="22"/>
      <w:szCs w:val="22"/>
      <w:lang w:eastAsia="en-GB"/>
    </w:rPr>
  </w:style>
  <w:style w:type="paragraph" w:styleId="NoSpacing">
    <w:name w:val="No Spacing"/>
    <w:uiPriority w:val="1"/>
    <w:qFormat/>
    <w:rsid w:val="00556862"/>
    <w:rPr>
      <w:sz w:val="22"/>
      <w:szCs w:val="22"/>
    </w:rPr>
  </w:style>
  <w:style w:type="paragraph" w:styleId="TOCHeading">
    <w:name w:val="TOC Heading"/>
    <w:basedOn w:val="Heading1"/>
    <w:next w:val="Normal"/>
    <w:uiPriority w:val="39"/>
    <w:semiHidden/>
    <w:unhideWhenUsed/>
    <w:qFormat/>
    <w:rsid w:val="003D726B"/>
    <w:pPr>
      <w:keepNext/>
      <w:keepLines/>
      <w:tabs>
        <w:tab w:val="clear" w:pos="993"/>
      </w:tab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3D726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9A"/>
    <w:pPr>
      <w:spacing w:after="200" w:line="276" w:lineRule="auto"/>
    </w:pPr>
    <w:rPr>
      <w:sz w:val="22"/>
      <w:szCs w:val="22"/>
    </w:rPr>
  </w:style>
  <w:style w:type="paragraph" w:styleId="Heading1">
    <w:name w:val="heading 1"/>
    <w:basedOn w:val="Normal"/>
    <w:next w:val="Normal"/>
    <w:link w:val="Heading1Char"/>
    <w:qFormat/>
    <w:rsid w:val="003D726B"/>
    <w:pPr>
      <w:tabs>
        <w:tab w:val="left" w:pos="993"/>
      </w:tabs>
      <w:spacing w:after="0" w:line="360" w:lineRule="auto"/>
      <w:ind w:firstLine="709"/>
      <w:jc w:val="both"/>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0B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90B9A"/>
    <w:pPr>
      <w:spacing w:after="0" w:line="240" w:lineRule="auto"/>
    </w:pPr>
    <w:rPr>
      <w:rFonts w:ascii="Consolas" w:hAnsi="Consolas"/>
      <w:sz w:val="21"/>
      <w:szCs w:val="21"/>
    </w:rPr>
  </w:style>
  <w:style w:type="character" w:customStyle="1" w:styleId="PlainTextChar">
    <w:name w:val="Plain Text Char"/>
    <w:link w:val="PlainText"/>
    <w:uiPriority w:val="99"/>
    <w:rsid w:val="00E90B9A"/>
    <w:rPr>
      <w:rFonts w:ascii="Consolas" w:hAnsi="Consolas"/>
      <w:sz w:val="21"/>
      <w:szCs w:val="21"/>
      <w:lang w:val="en-GB"/>
    </w:rPr>
  </w:style>
  <w:style w:type="paragraph" w:customStyle="1" w:styleId="Style">
    <w:name w:val="Style"/>
    <w:uiPriority w:val="99"/>
    <w:rsid w:val="00E90B9A"/>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0C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0C94"/>
    <w:rPr>
      <w:rFonts w:ascii="Tahoma" w:eastAsia="Calibri" w:hAnsi="Tahoma" w:cs="Tahoma"/>
      <w:sz w:val="16"/>
      <w:szCs w:val="16"/>
    </w:rPr>
  </w:style>
  <w:style w:type="paragraph" w:styleId="ListParagraph">
    <w:name w:val="List Paragraph"/>
    <w:basedOn w:val="Normal"/>
    <w:uiPriority w:val="34"/>
    <w:qFormat/>
    <w:rsid w:val="008C4A52"/>
    <w:pPr>
      <w:ind w:left="720"/>
      <w:contextualSpacing/>
    </w:pPr>
  </w:style>
  <w:style w:type="character" w:styleId="Hyperlink">
    <w:name w:val="Hyperlink"/>
    <w:uiPriority w:val="99"/>
    <w:unhideWhenUsed/>
    <w:rsid w:val="00587384"/>
    <w:rPr>
      <w:color w:val="0000FF"/>
      <w:u w:val="single"/>
    </w:rPr>
  </w:style>
  <w:style w:type="paragraph" w:styleId="FootnoteText">
    <w:name w:val="footnote text"/>
    <w:basedOn w:val="Normal"/>
    <w:link w:val="FootnoteTextChar"/>
    <w:uiPriority w:val="99"/>
    <w:semiHidden/>
    <w:unhideWhenUsed/>
    <w:rsid w:val="005670FD"/>
    <w:rPr>
      <w:sz w:val="20"/>
      <w:szCs w:val="20"/>
    </w:rPr>
  </w:style>
  <w:style w:type="character" w:customStyle="1" w:styleId="FootnoteTextChar">
    <w:name w:val="Footnote Text Char"/>
    <w:link w:val="FootnoteText"/>
    <w:uiPriority w:val="99"/>
    <w:semiHidden/>
    <w:rsid w:val="005670FD"/>
    <w:rPr>
      <w:lang w:eastAsia="en-GB"/>
    </w:rPr>
  </w:style>
  <w:style w:type="character" w:styleId="FootnoteReference">
    <w:name w:val="footnote reference"/>
    <w:uiPriority w:val="99"/>
    <w:semiHidden/>
    <w:unhideWhenUsed/>
    <w:rsid w:val="005670FD"/>
    <w:rPr>
      <w:vertAlign w:val="superscript"/>
    </w:rPr>
  </w:style>
  <w:style w:type="character" w:customStyle="1" w:styleId="Heading1Char">
    <w:name w:val="Heading 1 Char"/>
    <w:link w:val="Heading1"/>
    <w:rsid w:val="003D726B"/>
    <w:rPr>
      <w:rFonts w:ascii="Times New Roman" w:hAnsi="Times New Roman"/>
      <w:b/>
      <w:sz w:val="28"/>
      <w:szCs w:val="28"/>
      <w:lang w:val="en-GB" w:eastAsia="en-GB"/>
    </w:rPr>
  </w:style>
  <w:style w:type="character" w:styleId="CommentReference">
    <w:name w:val="annotation reference"/>
    <w:uiPriority w:val="99"/>
    <w:semiHidden/>
    <w:unhideWhenUsed/>
    <w:rsid w:val="00A829CA"/>
    <w:rPr>
      <w:sz w:val="16"/>
      <w:szCs w:val="16"/>
    </w:rPr>
  </w:style>
  <w:style w:type="paragraph" w:styleId="CommentText">
    <w:name w:val="annotation text"/>
    <w:basedOn w:val="Normal"/>
    <w:link w:val="CommentTextChar"/>
    <w:uiPriority w:val="99"/>
    <w:semiHidden/>
    <w:unhideWhenUsed/>
    <w:rsid w:val="00A829CA"/>
    <w:rPr>
      <w:sz w:val="20"/>
      <w:szCs w:val="20"/>
    </w:rPr>
  </w:style>
  <w:style w:type="character" w:customStyle="1" w:styleId="CommentTextChar">
    <w:name w:val="Comment Text Char"/>
    <w:link w:val="CommentText"/>
    <w:uiPriority w:val="99"/>
    <w:semiHidden/>
    <w:rsid w:val="00A829CA"/>
    <w:rPr>
      <w:lang w:eastAsia="en-GB"/>
    </w:rPr>
  </w:style>
  <w:style w:type="paragraph" w:styleId="CommentSubject">
    <w:name w:val="annotation subject"/>
    <w:basedOn w:val="CommentText"/>
    <w:next w:val="CommentText"/>
    <w:link w:val="CommentSubjectChar"/>
    <w:uiPriority w:val="99"/>
    <w:semiHidden/>
    <w:unhideWhenUsed/>
    <w:rsid w:val="00A829CA"/>
    <w:rPr>
      <w:b/>
      <w:bCs/>
    </w:rPr>
  </w:style>
  <w:style w:type="character" w:customStyle="1" w:styleId="CommentSubjectChar">
    <w:name w:val="Comment Subject Char"/>
    <w:link w:val="CommentSubject"/>
    <w:uiPriority w:val="99"/>
    <w:semiHidden/>
    <w:rsid w:val="00A829CA"/>
    <w:rPr>
      <w:b/>
      <w:bCs/>
      <w:lang w:eastAsia="en-GB"/>
    </w:rPr>
  </w:style>
  <w:style w:type="paragraph" w:styleId="Header">
    <w:name w:val="header"/>
    <w:basedOn w:val="Normal"/>
    <w:link w:val="HeaderChar"/>
    <w:uiPriority w:val="99"/>
    <w:unhideWhenUsed/>
    <w:rsid w:val="0077741D"/>
    <w:pPr>
      <w:tabs>
        <w:tab w:val="center" w:pos="4536"/>
        <w:tab w:val="right" w:pos="9072"/>
      </w:tabs>
    </w:pPr>
  </w:style>
  <w:style w:type="character" w:customStyle="1" w:styleId="HeaderChar">
    <w:name w:val="Header Char"/>
    <w:link w:val="Header"/>
    <w:uiPriority w:val="99"/>
    <w:rsid w:val="0077741D"/>
    <w:rPr>
      <w:sz w:val="22"/>
      <w:szCs w:val="22"/>
      <w:lang w:eastAsia="en-GB"/>
    </w:rPr>
  </w:style>
  <w:style w:type="paragraph" w:styleId="Footer">
    <w:name w:val="footer"/>
    <w:basedOn w:val="Normal"/>
    <w:link w:val="FooterChar"/>
    <w:uiPriority w:val="99"/>
    <w:unhideWhenUsed/>
    <w:rsid w:val="0077741D"/>
    <w:pPr>
      <w:tabs>
        <w:tab w:val="center" w:pos="4536"/>
        <w:tab w:val="right" w:pos="9072"/>
      </w:tabs>
    </w:pPr>
  </w:style>
  <w:style w:type="character" w:customStyle="1" w:styleId="FooterChar">
    <w:name w:val="Footer Char"/>
    <w:link w:val="Footer"/>
    <w:uiPriority w:val="99"/>
    <w:rsid w:val="0077741D"/>
    <w:rPr>
      <w:sz w:val="22"/>
      <w:szCs w:val="22"/>
      <w:lang w:eastAsia="en-GB"/>
    </w:rPr>
  </w:style>
  <w:style w:type="paragraph" w:styleId="NoSpacing">
    <w:name w:val="No Spacing"/>
    <w:uiPriority w:val="1"/>
    <w:qFormat/>
    <w:rsid w:val="00556862"/>
    <w:rPr>
      <w:sz w:val="22"/>
      <w:szCs w:val="22"/>
    </w:rPr>
  </w:style>
  <w:style w:type="paragraph" w:styleId="TOCHeading">
    <w:name w:val="TOC Heading"/>
    <w:basedOn w:val="Heading1"/>
    <w:next w:val="Normal"/>
    <w:uiPriority w:val="39"/>
    <w:semiHidden/>
    <w:unhideWhenUsed/>
    <w:qFormat/>
    <w:rsid w:val="003D726B"/>
    <w:pPr>
      <w:keepNext/>
      <w:keepLines/>
      <w:tabs>
        <w:tab w:val="clear" w:pos="993"/>
      </w:tabs>
      <w:spacing w:before="480" w:line="276" w:lineRule="auto"/>
      <w:ind w:firstLine="0"/>
      <w:jc w:val="left"/>
      <w:outlineLvl w:val="9"/>
    </w:pPr>
    <w:rPr>
      <w:rFonts w:asciiTheme="majorHAnsi" w:eastAsiaTheme="majorEastAsia" w:hAnsiTheme="majorHAnsi" w:cstheme="majorBidi"/>
      <w:bCs/>
      <w:color w:val="365F91" w:themeColor="accent1" w:themeShade="BF"/>
    </w:rPr>
  </w:style>
  <w:style w:type="paragraph" w:styleId="TOC1">
    <w:name w:val="toc 1"/>
    <w:basedOn w:val="Normal"/>
    <w:next w:val="Normal"/>
    <w:autoRedefine/>
    <w:uiPriority w:val="39"/>
    <w:unhideWhenUsed/>
    <w:rsid w:val="003D72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322">
      <w:bodyDiv w:val="1"/>
      <w:marLeft w:val="0"/>
      <w:marRight w:val="0"/>
      <w:marTop w:val="0"/>
      <w:marBottom w:val="0"/>
      <w:divBdr>
        <w:top w:val="none" w:sz="0" w:space="0" w:color="auto"/>
        <w:left w:val="none" w:sz="0" w:space="0" w:color="auto"/>
        <w:bottom w:val="none" w:sz="0" w:space="0" w:color="auto"/>
        <w:right w:val="none" w:sz="0" w:space="0" w:color="auto"/>
      </w:divBdr>
    </w:div>
    <w:div w:id="1481924517">
      <w:bodyDiv w:val="1"/>
      <w:marLeft w:val="0"/>
      <w:marRight w:val="0"/>
      <w:marTop w:val="0"/>
      <w:marBottom w:val="0"/>
      <w:divBdr>
        <w:top w:val="none" w:sz="0" w:space="0" w:color="auto"/>
        <w:left w:val="none" w:sz="0" w:space="0" w:color="auto"/>
        <w:bottom w:val="none" w:sz="0" w:space="0" w:color="auto"/>
        <w:right w:val="none" w:sz="0" w:space="0" w:color="auto"/>
      </w:divBdr>
    </w:div>
    <w:div w:id="1661734008">
      <w:bodyDiv w:val="1"/>
      <w:marLeft w:val="0"/>
      <w:marRight w:val="0"/>
      <w:marTop w:val="0"/>
      <w:marBottom w:val="0"/>
      <w:divBdr>
        <w:top w:val="none" w:sz="0" w:space="0" w:color="auto"/>
        <w:left w:val="none" w:sz="0" w:space="0" w:color="auto"/>
        <w:bottom w:val="none" w:sz="0" w:space="0" w:color="auto"/>
        <w:right w:val="none" w:sz="0" w:space="0" w:color="auto"/>
      </w:divBdr>
    </w:div>
    <w:div w:id="17495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www.cpdp.bg/userfiles/file/Rezume_Annual%20Report_2012_CPDP.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nborisova\Documents\Report%202013\AL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nborisova\Documents\Report%202013\ALD_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nborisova\Documents\Report%202013\ALD_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68"/>
      <c:rAngAx val="0"/>
      <c:perspective val="30"/>
    </c:view3D>
    <c:floor>
      <c:thickness val="0"/>
    </c:floor>
    <c:sideWall>
      <c:thickness val="0"/>
    </c:sideWall>
    <c:backWall>
      <c:thickness val="0"/>
    </c:backWall>
    <c:plotArea>
      <c:layout>
        <c:manualLayout>
          <c:layoutTarget val="inner"/>
          <c:xMode val="edge"/>
          <c:yMode val="edge"/>
          <c:x val="2.058664692782956E-2"/>
          <c:y val="8.5978940132483861E-2"/>
          <c:w val="0.63438690423393351"/>
          <c:h val="0.91402105986751669"/>
        </c:manualLayout>
      </c:layout>
      <c:pie3DChart>
        <c:varyColors val="1"/>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plosion val="29"/>
          <c:dPt>
            <c:idx val="0"/>
            <c:bubble3D val="0"/>
            <c:spPr>
              <a:gradFill>
                <a:gsLst>
                  <a:gs pos="0">
                    <a:srgbClr val="FFF200"/>
                  </a:gs>
                  <a:gs pos="45000">
                    <a:srgbClr val="FF7A00"/>
                  </a:gs>
                  <a:gs pos="70000">
                    <a:srgbClr val="FF0300"/>
                  </a:gs>
                  <a:gs pos="100000">
                    <a:srgbClr val="4D0808"/>
                  </a:gs>
                </a:gsLst>
                <a:lin ang="5400000" scaled="0"/>
              </a:gradFill>
            </c:spPr>
          </c:dPt>
          <c:dPt>
            <c:idx val="1"/>
            <c:bubble3D val="0"/>
            <c:spPr>
              <a:gradFill>
                <a:gsLst>
                  <a:gs pos="0">
                    <a:srgbClr val="03D4A8"/>
                  </a:gs>
                  <a:gs pos="25000">
                    <a:srgbClr val="21D6E0"/>
                  </a:gs>
                  <a:gs pos="75000">
                    <a:srgbClr val="0087E6"/>
                  </a:gs>
                  <a:gs pos="100000">
                    <a:srgbClr val="005CBF"/>
                  </a:gs>
                </a:gsLst>
                <a:lin ang="5400000" scaled="0"/>
              </a:gradFill>
            </c:spPr>
          </c:dPt>
          <c:dLbls>
            <c:dLbl>
              <c:idx val="0"/>
              <c:layout>
                <c:manualLayout>
                  <c:x val="0.31323595608128729"/>
                  <c:y val="0.14366398334286448"/>
                </c:manualLayout>
              </c:layout>
              <c:tx>
                <c:rich>
                  <a:bodyPr/>
                  <a:lstStyle/>
                  <a:p>
                    <a:r>
                      <a:rPr lang="en-US"/>
                      <a:t>For registration</a:t>
                    </a:r>
                  </a:p>
                  <a:p>
                    <a:r>
                      <a:rPr lang="bg-BG"/>
                      <a:t>287025</a:t>
                    </a:r>
                  </a:p>
                  <a:p>
                    <a:r>
                      <a:rPr lang="bg-BG"/>
                      <a:t> 91%</a:t>
                    </a:r>
                  </a:p>
                </c:rich>
              </c:tx>
              <c:showLegendKey val="0"/>
              <c:showVal val="1"/>
              <c:showCatName val="1"/>
              <c:showSerName val="0"/>
              <c:showPercent val="1"/>
              <c:showBubbleSize val="0"/>
            </c:dLbl>
            <c:dLbl>
              <c:idx val="1"/>
              <c:layout>
                <c:manualLayout>
                  <c:x val="4.5932749387353117E-2"/>
                  <c:y val="5.4734820158653441E-2"/>
                </c:manualLayout>
              </c:layout>
              <c:tx>
                <c:rich>
                  <a:bodyPr/>
                  <a:lstStyle/>
                  <a:p>
                    <a:r>
                      <a:rPr lang="en-US"/>
                      <a:t>For exemption</a:t>
                    </a:r>
                  </a:p>
                  <a:p>
                    <a:r>
                      <a:rPr lang="en-US"/>
                      <a:t>29968</a:t>
                    </a:r>
                    <a:endParaRPr lang="bg-BG"/>
                  </a:p>
                  <a:p>
                    <a:r>
                      <a:rPr lang="bg-BG"/>
                      <a:t> 9%</a:t>
                    </a:r>
                  </a:p>
                </c:rich>
              </c:tx>
              <c:showLegendKey val="0"/>
              <c:showVal val="1"/>
              <c:showCatName val="1"/>
              <c:showSerName val="0"/>
              <c:showPercent val="1"/>
              <c:showBubbleSize val="0"/>
            </c:dLbl>
            <c:dLbl>
              <c:idx val="2"/>
              <c:layout>
                <c:manualLayout>
                  <c:x val="5.2607498458013983E-2"/>
                  <c:y val="1.3766666666666682E-2"/>
                </c:manualLayout>
              </c:layout>
              <c:showLegendKey val="0"/>
              <c:showVal val="1"/>
              <c:showCatName val="1"/>
              <c:showSerName val="0"/>
              <c:showPercent val="1"/>
              <c:showBubbleSize val="0"/>
            </c:dLbl>
            <c:txPr>
              <a:bodyPr/>
              <a:lstStyle/>
              <a:p>
                <a:pPr>
                  <a:defRPr sz="1200" baseline="0">
                    <a:latin typeface="Arial" pitchFamily="34" charset="0"/>
                    <a:cs typeface="Times New Roman" pitchFamily="18" charset="0"/>
                  </a:defRPr>
                </a:pPr>
                <a:endParaRPr lang="bg-BG"/>
              </a:p>
            </c:txPr>
            <c:showLegendKey val="0"/>
            <c:showVal val="1"/>
            <c:showCatName val="1"/>
            <c:showSerName val="0"/>
            <c:showPercent val="1"/>
            <c:showBubbleSize val="0"/>
            <c:showLeaderLines val="0"/>
          </c:dLbls>
          <c:cat>
            <c:strRef>
              <c:f>Sheet1!$A$1:$A$2</c:f>
              <c:strCache>
                <c:ptCount val="2"/>
                <c:pt idx="0">
                  <c:v>За вписване</c:v>
                </c:pt>
                <c:pt idx="1">
                  <c:v>За освобождаване</c:v>
                </c:pt>
              </c:strCache>
            </c:strRef>
          </c:cat>
          <c:val>
            <c:numRef>
              <c:f>Sheet1!$B$1:$B$2</c:f>
              <c:numCache>
                <c:formatCode>General</c:formatCode>
                <c:ptCount val="2"/>
                <c:pt idx="0">
                  <c:v>287025</c:v>
                </c:pt>
                <c:pt idx="1">
                  <c:v>29968</c:v>
                </c:pt>
              </c:numCache>
            </c:numRef>
          </c:val>
        </c:ser>
        <c:dLbls>
          <c:showLegendKey val="0"/>
          <c:showVal val="0"/>
          <c:showCatName val="0"/>
          <c:showSerName val="0"/>
          <c:showPercent val="0"/>
          <c:showBubbleSize val="0"/>
          <c:showLeaderLines val="0"/>
        </c:dLbls>
      </c:pie3DChart>
    </c:plotArea>
    <c:plotVisOnly val="1"/>
    <c:dispBlanksAs val="zero"/>
    <c:showDLblsOverMax val="0"/>
  </c:chart>
  <c:spPr>
    <a:gradFill>
      <a:gsLst>
        <a:gs pos="0">
          <a:srgbClr val="FFEFD1"/>
        </a:gs>
        <a:gs pos="64999">
          <a:srgbClr val="F0EBD5"/>
        </a:gs>
        <a:gs pos="100000">
          <a:srgbClr val="D1C39F"/>
        </a:gs>
      </a:gsLst>
      <a:lin ang="5400000" scaled="0"/>
    </a:grad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130"/>
      <c:rAngAx val="0"/>
      <c:perspective val="30"/>
    </c:view3D>
    <c:floor>
      <c:thickness val="0"/>
    </c:floor>
    <c:sideWall>
      <c:thickness val="0"/>
    </c:sideWall>
    <c:backWall>
      <c:thickness val="0"/>
    </c:backWall>
    <c:plotArea>
      <c:layout>
        <c:manualLayout>
          <c:layoutTarget val="inner"/>
          <c:xMode val="edge"/>
          <c:yMode val="edge"/>
          <c:x val="2.058664692782956E-2"/>
          <c:y val="8.5978940132483861E-2"/>
          <c:w val="0.63438690423393351"/>
          <c:h val="0.91402105986751669"/>
        </c:manualLayout>
      </c:layout>
      <c:pie3DChart>
        <c:varyColors val="1"/>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plosion val="6"/>
          <c:dPt>
            <c:idx val="0"/>
            <c:bubble3D val="0"/>
            <c:spPr>
              <a:gradFill>
                <a:gsLst>
                  <a:gs pos="0">
                    <a:srgbClr val="FFF200"/>
                  </a:gs>
                  <a:gs pos="45000">
                    <a:srgbClr val="FF7A00"/>
                  </a:gs>
                  <a:gs pos="70000">
                    <a:srgbClr val="FF0300"/>
                  </a:gs>
                  <a:gs pos="100000">
                    <a:srgbClr val="4D0808"/>
                  </a:gs>
                </a:gsLst>
                <a:lin ang="5400000" scaled="0"/>
              </a:gradFill>
            </c:spPr>
          </c:dPt>
          <c:dPt>
            <c:idx val="1"/>
            <c:bubble3D val="0"/>
            <c:spPr>
              <a:gradFill>
                <a:gsLst>
                  <a:gs pos="0">
                    <a:srgbClr val="03D4A8"/>
                  </a:gs>
                  <a:gs pos="25000">
                    <a:srgbClr val="21D6E0"/>
                  </a:gs>
                  <a:gs pos="75000">
                    <a:srgbClr val="0087E6"/>
                  </a:gs>
                  <a:gs pos="100000">
                    <a:srgbClr val="005CBF"/>
                  </a:gs>
                </a:gsLst>
                <a:lin ang="5400000" scaled="0"/>
              </a:gradFill>
            </c:spPr>
          </c:dPt>
          <c:dLbls>
            <c:dLbl>
              <c:idx val="0"/>
              <c:layout>
                <c:manualLayout>
                  <c:x val="0.11515262000868086"/>
                  <c:y val="2.8894851830671997E-3"/>
                </c:manualLayout>
              </c:layout>
              <c:tx>
                <c:rich>
                  <a:bodyPr/>
                  <a:lstStyle/>
                  <a:p>
                    <a:pPr>
                      <a:defRPr sz="1200" baseline="0">
                        <a:latin typeface="Arial" pitchFamily="34" charset="0"/>
                        <a:cs typeface="Times New Roman" pitchFamily="18" charset="0"/>
                      </a:defRPr>
                    </a:pPr>
                    <a:r>
                      <a:rPr lang="en-US" sz="1100" baseline="0">
                        <a:latin typeface="Arial" pitchFamily="34" charset="0"/>
                      </a:rPr>
                      <a:t>Total by </a:t>
                    </a:r>
                    <a:r>
                      <a:rPr lang="bg-BG" sz="1100" baseline="0">
                        <a:latin typeface="Arial" pitchFamily="34" charset="0"/>
                      </a:rPr>
                      <a:t>2013 246382</a:t>
                    </a:r>
                  </a:p>
                  <a:p>
                    <a:pPr>
                      <a:defRPr sz="1200" baseline="0">
                        <a:latin typeface="Arial" pitchFamily="34" charset="0"/>
                        <a:cs typeface="Times New Roman" pitchFamily="18" charset="0"/>
                      </a:defRPr>
                    </a:pPr>
                    <a:r>
                      <a:rPr lang="bg-BG" sz="1100" baseline="0">
                        <a:latin typeface="Arial" pitchFamily="34" charset="0"/>
                      </a:rPr>
                      <a:t>85%</a:t>
                    </a:r>
                  </a:p>
                </c:rich>
              </c:tx>
              <c:spPr/>
              <c:showLegendKey val="0"/>
              <c:showVal val="1"/>
              <c:showCatName val="1"/>
              <c:showSerName val="0"/>
              <c:showPercent val="1"/>
              <c:showBubbleSize val="0"/>
            </c:dLbl>
            <c:dLbl>
              <c:idx val="1"/>
              <c:layout>
                <c:manualLayout>
                  <c:x val="-0.16279987495496961"/>
                  <c:y val="-0.12031144151673778"/>
                </c:manualLayout>
              </c:layout>
              <c:tx>
                <c:rich>
                  <a:bodyPr/>
                  <a:lstStyle/>
                  <a:p>
                    <a:r>
                      <a:rPr lang="en-US" sz="1100" baseline="0">
                        <a:latin typeface="Arial" pitchFamily="34" charset="0"/>
                      </a:rPr>
                      <a:t>In </a:t>
                    </a:r>
                    <a:r>
                      <a:rPr lang="bg-BG" sz="1100" baseline="0">
                        <a:latin typeface="Arial" pitchFamily="34" charset="0"/>
                      </a:rPr>
                      <a:t>2013</a:t>
                    </a:r>
                  </a:p>
                  <a:p>
                    <a:r>
                      <a:rPr lang="bg-BG" sz="1100" baseline="0">
                        <a:latin typeface="Arial" pitchFamily="34" charset="0"/>
                      </a:rPr>
                      <a:t> 42308</a:t>
                    </a:r>
                  </a:p>
                  <a:p>
                    <a:r>
                      <a:rPr lang="bg-BG" sz="1100" baseline="0">
                        <a:latin typeface="Arial" pitchFamily="34" charset="0"/>
                      </a:rPr>
                      <a:t> 15%</a:t>
                    </a:r>
                  </a:p>
                </c:rich>
              </c:tx>
              <c:showLegendKey val="0"/>
              <c:showVal val="1"/>
              <c:showCatName val="1"/>
              <c:showSerName val="0"/>
              <c:showPercent val="1"/>
              <c:showBubbleSize val="0"/>
            </c:dLbl>
            <c:dLbl>
              <c:idx val="2"/>
              <c:layout>
                <c:manualLayout>
                  <c:x val="5.2607498458013983E-2"/>
                  <c:y val="1.3766666666666682E-2"/>
                </c:manualLayout>
              </c:layout>
              <c:showLegendKey val="0"/>
              <c:showVal val="1"/>
              <c:showCatName val="1"/>
              <c:showSerName val="0"/>
              <c:showPercent val="1"/>
              <c:showBubbleSize val="0"/>
            </c:dLbl>
            <c:txPr>
              <a:bodyPr/>
              <a:lstStyle/>
              <a:p>
                <a:pPr>
                  <a:defRPr sz="1400">
                    <a:latin typeface="Times New Roman" pitchFamily="18" charset="0"/>
                    <a:cs typeface="Times New Roman" pitchFamily="18" charset="0"/>
                  </a:defRPr>
                </a:pPr>
                <a:endParaRPr lang="bg-BG"/>
              </a:p>
            </c:txPr>
            <c:showLegendKey val="0"/>
            <c:showVal val="1"/>
            <c:showCatName val="1"/>
            <c:showSerName val="0"/>
            <c:showPercent val="1"/>
            <c:showBubbleSize val="0"/>
            <c:showLeaderLines val="0"/>
          </c:dLbls>
          <c:cat>
            <c:strRef>
              <c:f>[ALD_2.xlsx]Sheet1!$A$1:$A$2</c:f>
              <c:strCache>
                <c:ptCount val="2"/>
                <c:pt idx="0">
                  <c:v>Общо до 2013 г.</c:v>
                </c:pt>
                <c:pt idx="1">
                  <c:v>През 2013 г.</c:v>
                </c:pt>
              </c:strCache>
            </c:strRef>
          </c:cat>
          <c:val>
            <c:numRef>
              <c:f>[ALD_2.xlsx]Sheet1!$B$1:$B$2</c:f>
              <c:numCache>
                <c:formatCode>General</c:formatCode>
                <c:ptCount val="2"/>
                <c:pt idx="0">
                  <c:v>246382</c:v>
                </c:pt>
                <c:pt idx="1">
                  <c:v>42308</c:v>
                </c:pt>
              </c:numCache>
            </c:numRef>
          </c:val>
        </c:ser>
        <c:dLbls>
          <c:showLegendKey val="0"/>
          <c:showVal val="0"/>
          <c:showCatName val="0"/>
          <c:showSerName val="0"/>
          <c:showPercent val="0"/>
          <c:showBubbleSize val="0"/>
          <c:showLeaderLines val="0"/>
        </c:dLbls>
      </c:pie3DChart>
    </c:plotArea>
    <c:plotVisOnly val="1"/>
    <c:dispBlanksAs val="zero"/>
    <c:showDLblsOverMax val="0"/>
  </c:chart>
  <c:spPr>
    <a:gradFill>
      <a:gsLst>
        <a:gs pos="0">
          <a:srgbClr val="FFEFD1"/>
        </a:gs>
        <a:gs pos="64999">
          <a:srgbClr val="F0EBD5"/>
        </a:gs>
        <a:gs pos="100000">
          <a:srgbClr val="D1C39F"/>
        </a:gs>
      </a:gsLst>
      <a:lin ang="5400000" scaled="0"/>
    </a:gradFill>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0"/>
      <c:rAngAx val="0"/>
      <c:perspective val="30"/>
    </c:view3D>
    <c:floor>
      <c:thickness val="0"/>
    </c:floor>
    <c:sideWall>
      <c:thickness val="0"/>
    </c:sideWall>
    <c:backWall>
      <c:thickness val="0"/>
    </c:backWall>
    <c:plotArea>
      <c:layout>
        <c:manualLayout>
          <c:layoutTarget val="inner"/>
          <c:xMode val="edge"/>
          <c:yMode val="edge"/>
          <c:x val="2.058664692782956E-2"/>
          <c:y val="8.5978940132483861E-2"/>
          <c:w val="0.63438690423393351"/>
          <c:h val="0.91402105986751669"/>
        </c:manualLayout>
      </c:layout>
      <c:pie3DChart>
        <c:varyColors val="1"/>
        <c:ser>
          <c:idx val="0"/>
          <c:order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plosion val="6"/>
          <c:dPt>
            <c:idx val="0"/>
            <c:bubble3D val="0"/>
            <c:spPr>
              <a:gradFill>
                <a:gsLst>
                  <a:gs pos="0">
                    <a:srgbClr val="FFF200"/>
                  </a:gs>
                  <a:gs pos="45000">
                    <a:srgbClr val="FF7A00"/>
                  </a:gs>
                  <a:gs pos="70000">
                    <a:srgbClr val="FF0300"/>
                  </a:gs>
                  <a:gs pos="100000">
                    <a:srgbClr val="4D0808"/>
                  </a:gs>
                </a:gsLst>
                <a:lin ang="5400000" scaled="0"/>
              </a:gradFill>
            </c:spPr>
          </c:dPt>
          <c:dPt>
            <c:idx val="1"/>
            <c:bubble3D val="0"/>
            <c:spPr>
              <a:gradFill>
                <a:gsLst>
                  <a:gs pos="0">
                    <a:srgbClr val="03D4A8"/>
                  </a:gs>
                  <a:gs pos="25000">
                    <a:srgbClr val="21D6E0"/>
                  </a:gs>
                  <a:gs pos="75000">
                    <a:srgbClr val="0087E6"/>
                  </a:gs>
                  <a:gs pos="100000">
                    <a:srgbClr val="005CBF"/>
                  </a:gs>
                </a:gsLst>
                <a:lin ang="5400000" scaled="0"/>
              </a:gradFill>
            </c:spPr>
          </c:dPt>
          <c:dPt>
            <c:idx val="2"/>
            <c:bubble3D val="0"/>
            <c:spPr>
              <a:solidFill>
                <a:schemeClr val="tx1"/>
              </a:solidFill>
            </c:spPr>
          </c:dPt>
          <c:dLbls>
            <c:dLbl>
              <c:idx val="0"/>
              <c:layout>
                <c:manualLayout>
                  <c:x val="0.12367248667203792"/>
                  <c:y val="-0.38942004982051553"/>
                </c:manualLayout>
              </c:layout>
              <c:tx>
                <c:rich>
                  <a:bodyPr/>
                  <a:lstStyle/>
                  <a:p>
                    <a:r>
                      <a:rPr lang="en-US" sz="1100" baseline="0">
                        <a:latin typeface="Arial" pitchFamily="34" charset="0"/>
                      </a:rPr>
                      <a:t>Total by </a:t>
                    </a:r>
                    <a:r>
                      <a:rPr lang="bg-BG" sz="1100" baseline="0">
                        <a:latin typeface="Arial" pitchFamily="34" charset="0"/>
                      </a:rPr>
                      <a:t>2013  27351</a:t>
                    </a:r>
                  </a:p>
                  <a:p>
                    <a:r>
                      <a:rPr lang="bg-BG" sz="1100" baseline="0">
                        <a:latin typeface="Arial" pitchFamily="34" charset="0"/>
                      </a:rPr>
                      <a:t> 98%</a:t>
                    </a:r>
                  </a:p>
                </c:rich>
              </c:tx>
              <c:showLegendKey val="0"/>
              <c:showVal val="1"/>
              <c:showCatName val="1"/>
              <c:showSerName val="0"/>
              <c:showPercent val="1"/>
              <c:showBubbleSize val="0"/>
            </c:dLbl>
            <c:dLbl>
              <c:idx val="1"/>
              <c:layout>
                <c:manualLayout>
                  <c:x val="2.0373484032319474E-2"/>
                  <c:y val="3.5294110912572854E-2"/>
                </c:manualLayout>
              </c:layout>
              <c:tx>
                <c:rich>
                  <a:bodyPr/>
                  <a:lstStyle/>
                  <a:p>
                    <a:r>
                      <a:rPr lang="en-US" sz="1100" baseline="0">
                        <a:latin typeface="Arial" pitchFamily="34" charset="0"/>
                      </a:rPr>
                      <a:t>In  </a:t>
                    </a:r>
                    <a:r>
                      <a:rPr lang="bg-BG" sz="1100" baseline="0">
                        <a:latin typeface="Arial" pitchFamily="34" charset="0"/>
                      </a:rPr>
                      <a:t>2013 </a:t>
                    </a:r>
                  </a:p>
                  <a:p>
                    <a:r>
                      <a:rPr lang="bg-BG" sz="1100" baseline="0">
                        <a:latin typeface="Arial" pitchFamily="34" charset="0"/>
                      </a:rPr>
                      <a:t> 498; 2%</a:t>
                    </a:r>
                  </a:p>
                </c:rich>
              </c:tx>
              <c:showLegendKey val="0"/>
              <c:showVal val="1"/>
              <c:showCatName val="1"/>
              <c:showSerName val="0"/>
              <c:showPercent val="1"/>
              <c:showBubbleSize val="0"/>
            </c:dLbl>
            <c:dLbl>
              <c:idx val="2"/>
              <c:delete val="1"/>
            </c:dLbl>
            <c:txPr>
              <a:bodyPr/>
              <a:lstStyle/>
              <a:p>
                <a:pPr>
                  <a:defRPr sz="1400">
                    <a:latin typeface="Times New Roman" pitchFamily="18" charset="0"/>
                    <a:cs typeface="Times New Roman" pitchFamily="18" charset="0"/>
                  </a:defRPr>
                </a:pPr>
                <a:endParaRPr lang="bg-BG"/>
              </a:p>
            </c:txPr>
            <c:showLegendKey val="0"/>
            <c:showVal val="1"/>
            <c:showCatName val="1"/>
            <c:showSerName val="0"/>
            <c:showPercent val="1"/>
            <c:showBubbleSize val="0"/>
            <c:showLeaderLines val="0"/>
          </c:dLbls>
          <c:cat>
            <c:strRef>
              <c:f>Sheet1!$A$1:$A$3</c:f>
              <c:strCache>
                <c:ptCount val="2"/>
                <c:pt idx="0">
                  <c:v>Общо до 2013 г.</c:v>
                </c:pt>
                <c:pt idx="1">
                  <c:v>През 2013 г.</c:v>
                </c:pt>
              </c:strCache>
            </c:strRef>
          </c:cat>
          <c:val>
            <c:numRef>
              <c:f>Sheet1!$B$1:$B$3</c:f>
              <c:numCache>
                <c:formatCode>General</c:formatCode>
                <c:ptCount val="3"/>
                <c:pt idx="0">
                  <c:v>27351</c:v>
                </c:pt>
                <c:pt idx="1">
                  <c:v>498</c:v>
                </c:pt>
              </c:numCache>
            </c:numRef>
          </c:val>
        </c:ser>
        <c:dLbls>
          <c:showLegendKey val="0"/>
          <c:showVal val="0"/>
          <c:showCatName val="0"/>
          <c:showSerName val="0"/>
          <c:showPercent val="0"/>
          <c:showBubbleSize val="0"/>
          <c:showLeaderLines val="0"/>
        </c:dLbls>
      </c:pie3DChart>
    </c:plotArea>
    <c:plotVisOnly val="1"/>
    <c:dispBlanksAs val="zero"/>
    <c:showDLblsOverMax val="0"/>
  </c:chart>
  <c:spPr>
    <a:gradFill>
      <a:gsLst>
        <a:gs pos="0">
          <a:srgbClr val="FFEFD1"/>
        </a:gs>
        <a:gs pos="64999">
          <a:srgbClr val="F0EBD5"/>
        </a:gs>
        <a:gs pos="100000">
          <a:srgbClr val="D1C39F"/>
        </a:gs>
      </a:gsLst>
      <a:lin ang="5400000" scaled="0"/>
    </a:gradFill>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5"/>
      <c:rotY val="20"/>
      <c:depthPercent val="1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1.5151515151515166E-2"/>
          <c:y val="7.1661237785016332E-2"/>
          <c:w val="0.73737373737373813"/>
          <c:h val="0.83387622149837226"/>
        </c:manualLayout>
      </c:layout>
      <c:bar3DChart>
        <c:barDir val="bar"/>
        <c:grouping val="clustered"/>
        <c:varyColors val="0"/>
        <c:ser>
          <c:idx val="0"/>
          <c:order val="0"/>
          <c:tx>
            <c:strRef>
              <c:f>Sheet1!$A$2</c:f>
              <c:strCache>
                <c:ptCount val="1"/>
                <c:pt idx="0">
                  <c:v>Предадени за принудително събиране</c:v>
                </c:pt>
              </c:strCache>
            </c:strRef>
          </c:tx>
          <c:spPr>
            <a:solidFill>
              <a:srgbClr val="9999FF"/>
            </a:solidFill>
            <a:ln w="12700">
              <a:solidFill>
                <a:srgbClr val="000000"/>
              </a:solidFill>
              <a:prstDash val="solid"/>
            </a:ln>
          </c:spPr>
          <c:invertIfNegative val="0"/>
          <c:dLbls>
            <c:dLbl>
              <c:idx val="0"/>
              <c:layout>
                <c:manualLayout>
                  <c:x val="-0.23225705877674391"/>
                  <c:y val="-7.0357518671379784E-3"/>
                </c:manualLayout>
              </c:layout>
              <c:tx>
                <c:rich>
                  <a:bodyPr/>
                  <a:lstStyle/>
                  <a:p>
                    <a:r>
                      <a:rPr lang="en-US"/>
                      <a:t>BGN </a:t>
                    </a:r>
                    <a:r>
                      <a:rPr lang="bg-BG"/>
                      <a:t>86</a:t>
                    </a:r>
                    <a:r>
                      <a:rPr lang="en-US"/>
                      <a:t>,</a:t>
                    </a:r>
                    <a:r>
                      <a:rPr lang="bg-BG"/>
                      <a:t>100 </a:t>
                    </a:r>
                  </a:p>
                </c:rich>
              </c:tx>
              <c:showLegendKey val="0"/>
              <c:showVal val="1"/>
              <c:showCatName val="0"/>
              <c:showSerName val="0"/>
              <c:showPercent val="0"/>
              <c:showBubbleSize val="0"/>
            </c:dLbl>
            <c:dLbl>
              <c:idx val="1"/>
              <c:layout>
                <c:manualLayout>
                  <c:xMode val="edge"/>
                  <c:yMode val="edge"/>
                  <c:x val="0.82491582491582494"/>
                  <c:y val="0.38110749185667803"/>
                </c:manualLayout>
              </c:layout>
              <c:spPr>
                <a:noFill/>
                <a:ln w="25399">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Mode val="edge"/>
                  <c:yMode val="edge"/>
                  <c:x val="0.72727272727272729"/>
                  <c:y val="0.1693811074918567"/>
                </c:manualLayout>
              </c:layout>
              <c:spPr>
                <a:noFill/>
                <a:ln w="25399">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"лв."#,##0_);[Red]\("лв."#,##0\)</c:formatCode>
                <c:ptCount val="1"/>
                <c:pt idx="0">
                  <c:v>86100</c:v>
                </c:pt>
              </c:numCache>
            </c:numRef>
          </c:val>
        </c:ser>
        <c:ser>
          <c:idx val="1"/>
          <c:order val="1"/>
          <c:tx>
            <c:strRef>
              <c:f>Sheet1!$A$3</c:f>
              <c:strCache>
                <c:ptCount val="1"/>
                <c:pt idx="0">
                  <c:v>Доброволно платени</c:v>
                </c:pt>
              </c:strCache>
            </c:strRef>
          </c:tx>
          <c:spPr>
            <a:solidFill>
              <a:srgbClr val="993366"/>
            </a:solidFill>
            <a:ln w="12700">
              <a:solidFill>
                <a:srgbClr val="000000"/>
              </a:solidFill>
              <a:prstDash val="solid"/>
            </a:ln>
          </c:spPr>
          <c:invertIfNegative val="0"/>
          <c:dLbls>
            <c:dLbl>
              <c:idx val="0"/>
              <c:layout>
                <c:manualLayout>
                  <c:x val="-0.27476005581946888"/>
                  <c:y val="-1.4802486149737499E-2"/>
                </c:manualLayout>
              </c:layout>
              <c:tx>
                <c:rich>
                  <a:bodyPr/>
                  <a:lstStyle/>
                  <a:p>
                    <a:r>
                      <a:rPr lang="en-US"/>
                      <a:t>BGN </a:t>
                    </a:r>
                    <a:r>
                      <a:rPr lang="bg-BG"/>
                      <a:t>99</a:t>
                    </a:r>
                    <a:r>
                      <a:rPr lang="en-US"/>
                      <a:t>,</a:t>
                    </a:r>
                    <a:r>
                      <a:rPr lang="bg-BG"/>
                      <a:t>775</a:t>
                    </a:r>
                  </a:p>
                </c:rich>
              </c:tx>
              <c:showLegendKey val="0"/>
              <c:showVal val="1"/>
              <c:showCatName val="0"/>
              <c:showSerName val="0"/>
              <c:showPercent val="0"/>
              <c:showBubbleSize val="0"/>
            </c:dLbl>
            <c:dLbl>
              <c:idx val="1"/>
              <c:layout>
                <c:manualLayout>
                  <c:xMode val="edge"/>
                  <c:yMode val="edge"/>
                  <c:x val="9.0909090909091064E-2"/>
                  <c:y val="0.31596091205211763"/>
                </c:manualLayout>
              </c:layout>
              <c:spPr>
                <a:noFill/>
                <a:ln w="25399">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Mode val="edge"/>
                  <c:yMode val="edge"/>
                  <c:x val="0.12457912457912459"/>
                  <c:y val="0.10749185667752446"/>
                </c:manualLayout>
              </c:layout>
              <c:spPr>
                <a:noFill/>
                <a:ln w="25399">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"лв."#,##0_);[Red]\("лв."#,##0\)</c:formatCode>
                <c:ptCount val="1"/>
                <c:pt idx="0">
                  <c:v>99775</c:v>
                </c:pt>
              </c:numCache>
            </c:numRef>
          </c:val>
        </c:ser>
        <c:ser>
          <c:idx val="2"/>
          <c:order val="2"/>
          <c:tx>
            <c:strRef>
              <c:f>Sheet1!$A$4</c:f>
              <c:strCache>
                <c:ptCount val="1"/>
                <c:pt idx="0">
                  <c:v>Наложени</c:v>
                </c:pt>
              </c:strCache>
            </c:strRef>
          </c:tx>
          <c:spPr>
            <a:solidFill>
              <a:srgbClr val="FFFFCC"/>
            </a:solidFill>
            <a:ln w="12700">
              <a:solidFill>
                <a:srgbClr val="000000"/>
              </a:solidFill>
              <a:prstDash val="solid"/>
            </a:ln>
          </c:spPr>
          <c:invertIfNegative val="0"/>
          <c:dLbls>
            <c:dLbl>
              <c:idx val="0"/>
              <c:layout>
                <c:manualLayout>
                  <c:x val="-0.41086404970728541"/>
                  <c:y val="-2.2569220432336719E-2"/>
                </c:manualLayout>
              </c:layout>
              <c:tx>
                <c:rich>
                  <a:bodyPr/>
                  <a:lstStyle/>
                  <a:p>
                    <a:r>
                      <a:rPr lang="en-US"/>
                      <a:t>BGN </a:t>
                    </a:r>
                    <a:r>
                      <a:rPr lang="bg-BG"/>
                      <a:t>185</a:t>
                    </a:r>
                    <a:r>
                      <a:rPr lang="en-US"/>
                      <a:t>,</a:t>
                    </a:r>
                    <a:r>
                      <a:rPr lang="bg-BG"/>
                      <a:t>875 </a:t>
                    </a:r>
                  </a:p>
                </c:rich>
              </c:tx>
              <c:showLegendKey val="0"/>
              <c:showVal val="1"/>
              <c:showCatName val="0"/>
              <c:showSerName val="0"/>
              <c:showPercent val="0"/>
              <c:showBubbleSize val="0"/>
            </c:dLbl>
            <c:dLbl>
              <c:idx val="1"/>
              <c:layout>
                <c:manualLayout>
                  <c:xMode val="edge"/>
                  <c:yMode val="edge"/>
                  <c:x val="9.2592592592592823E-2"/>
                  <c:y val="0.24429967426710114"/>
                </c:manualLayout>
              </c:layout>
              <c:spPr>
                <a:noFill/>
                <a:ln w="25399">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Mode val="edge"/>
                  <c:yMode val="edge"/>
                  <c:x val="9.9326599326599554E-2"/>
                  <c:y val="4.8859934853420328E-2"/>
                </c:manualLayout>
              </c:layout>
              <c:spPr>
                <a:noFill/>
                <a:ln w="25399">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3"/>
              <c:layout>
                <c:manualLayout>
                  <c:xMode val="edge"/>
                  <c:yMode val="edge"/>
                  <c:x val="8.7542087542087532E-2"/>
                  <c:y val="9.7719869706840556E-3"/>
                </c:manualLayout>
              </c:layout>
              <c:spPr>
                <a:noFill/>
                <a:ln w="25399">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399">
                <a:noFill/>
              </a:ln>
            </c:spPr>
            <c:txPr>
              <a:bodyPr/>
              <a:lstStyle/>
              <a:p>
                <a:pPr>
                  <a:defRPr sz="12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"лв."#,##0_);[Red]\("лв."#,##0\)</c:formatCode>
                <c:ptCount val="1"/>
                <c:pt idx="0">
                  <c:v>185875</c:v>
                </c:pt>
              </c:numCache>
            </c:numRef>
          </c:val>
        </c:ser>
        <c:dLbls>
          <c:showLegendKey val="0"/>
          <c:showVal val="1"/>
          <c:showCatName val="0"/>
          <c:showSerName val="0"/>
          <c:showPercent val="0"/>
          <c:showBubbleSize val="0"/>
        </c:dLbls>
        <c:gapWidth val="150"/>
        <c:gapDepth val="0"/>
        <c:shape val="box"/>
        <c:axId val="159557120"/>
        <c:axId val="159558656"/>
        <c:axId val="0"/>
      </c:bar3DChart>
      <c:catAx>
        <c:axId val="15955712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bg-BG"/>
          </a:p>
        </c:txPr>
        <c:crossAx val="159558656"/>
        <c:crosses val="autoZero"/>
        <c:auto val="1"/>
        <c:lblAlgn val="ctr"/>
        <c:lblOffset val="100"/>
        <c:tickLblSkip val="1"/>
        <c:tickMarkSkip val="1"/>
        <c:noMultiLvlLbl val="0"/>
      </c:catAx>
      <c:valAx>
        <c:axId val="159558656"/>
        <c:scaling>
          <c:orientation val="minMax"/>
        </c:scaling>
        <c:delete val="1"/>
        <c:axPos val="b"/>
        <c:majorGridlines>
          <c:spPr>
            <a:ln w="3175">
              <a:solidFill>
                <a:srgbClr val="000000"/>
              </a:solidFill>
              <a:prstDash val="solid"/>
            </a:ln>
          </c:spPr>
        </c:majorGridlines>
        <c:numFmt formatCode="&quot;лв.&quot;#,##0_);[Red]\(&quot;лв.&quot;#,##0\)" sourceLinked="1"/>
        <c:majorTickMark val="out"/>
        <c:minorTickMark val="none"/>
        <c:tickLblPos val="none"/>
        <c:crossAx val="159557120"/>
        <c:crosses val="autoZero"/>
        <c:crossBetween val="between"/>
      </c:valAx>
      <c:spPr>
        <a:noFill/>
        <a:ln w="25399">
          <a:noFill/>
        </a:ln>
      </c:spPr>
    </c:plotArea>
    <c:legend>
      <c:legendPos val="r"/>
      <c:layout>
        <c:manualLayout>
          <c:xMode val="edge"/>
          <c:yMode val="edge"/>
          <c:x val="0.75084175084175153"/>
          <c:y val="0.17263843648208496"/>
          <c:w val="0.24410774410774427"/>
          <c:h val="0.71661237785016252"/>
        </c:manualLayout>
      </c:layout>
      <c:overlay val="0"/>
      <c:spPr>
        <a:noFill/>
        <a:ln w="25399">
          <a:noFill/>
        </a:ln>
      </c:spPr>
      <c:txPr>
        <a:bodyPr/>
        <a:lstStyle/>
        <a:p>
          <a:pPr>
            <a:defRPr sz="920" b="1"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FFFFFF">
            <a:gamma/>
            <a:shade val="46275"/>
            <a:invGamma/>
          </a:srgbClr>
        </a:gs>
      </a:gsLst>
      <a:lin ang="5400000" scaled="1"/>
    </a:gradFill>
    <a:ln>
      <a:noFill/>
    </a:ln>
  </c:spPr>
  <c:txPr>
    <a:bodyPr/>
    <a:lstStyle/>
    <a:p>
      <a:pPr>
        <a:defRPr sz="1200" b="1"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GB"/>
              <a:t>Total number of inspections</a:t>
            </a:r>
          </a:p>
        </c:rich>
      </c:tx>
      <c:layout>
        <c:manualLayout>
          <c:xMode val="edge"/>
          <c:yMode val="edge"/>
          <c:x val="0.21212121212121221"/>
          <c:y val="1.9867549668874204E-2"/>
        </c:manualLayout>
      </c:layout>
      <c:overlay val="0"/>
      <c:spPr>
        <a:noFill/>
        <a:ln w="25400">
          <a:noFill/>
        </a:ln>
      </c:spPr>
    </c:title>
    <c:autoTitleDeleted val="0"/>
    <c:view3D>
      <c:rotX val="15"/>
      <c:hPercent val="244"/>
      <c:rotY val="20"/>
      <c:depthPercent val="1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5.7239057239057263E-2"/>
          <c:y val="0.19205298013245053"/>
          <c:w val="0.93602693602693599"/>
          <c:h val="0.73509933774834513"/>
        </c:manualLayout>
      </c:layout>
      <c:bar3DChart>
        <c:barDir val="bar"/>
        <c:grouping val="clustered"/>
        <c:varyColors val="0"/>
        <c:ser>
          <c:idx val="0"/>
          <c:order val="0"/>
          <c:tx>
            <c:strRef>
              <c:f>Sheet1!$A$2</c:f>
              <c:strCache>
                <c:ptCount val="1"/>
                <c:pt idx="0">
                  <c:v>БРОЙ ПРОВЕРКИ</c:v>
                </c:pt>
              </c:strCache>
            </c:strRef>
          </c:tx>
          <c:spPr>
            <a:solidFill>
              <a:srgbClr val="FF9900"/>
            </a:solidFill>
            <a:ln w="12700">
              <a:solidFill>
                <a:srgbClr val="000000"/>
              </a:solidFill>
              <a:prstDash val="solid"/>
            </a:ln>
          </c:spPr>
          <c:invertIfNegative val="0"/>
          <c:dLbls>
            <c:dLbl>
              <c:idx val="0"/>
              <c:layout>
                <c:manualLayout>
                  <c:x val="-0.34719767068048857"/>
                  <c:y val="2.9814265129748201E-2"/>
                </c:manualLayout>
              </c:layout>
              <c:showLegendKey val="0"/>
              <c:showVal val="1"/>
              <c:showCatName val="0"/>
              <c:showSerName val="0"/>
              <c:showPercent val="0"/>
              <c:showBubbleSize val="0"/>
            </c:dLbl>
            <c:dLbl>
              <c:idx val="1"/>
              <c:layout>
                <c:manualLayout>
                  <c:x val="-0.43256289933455316"/>
                  <c:y val="2.4698802295663402E-2"/>
                </c:manualLayout>
              </c:layout>
              <c:showLegendKey val="0"/>
              <c:showVal val="1"/>
              <c:showCatName val="0"/>
              <c:showSerName val="0"/>
              <c:showPercent val="0"/>
              <c:showBubbleSize val="0"/>
            </c:dLbl>
            <c:dLbl>
              <c:idx val="2"/>
              <c:layout>
                <c:manualLayout>
                  <c:xMode val="edge"/>
                  <c:yMode val="edge"/>
                  <c:x val="0.45117845117845157"/>
                  <c:y val="0.30132450331125926"/>
                </c:manualLayout>
              </c:layout>
              <c:showLegendKey val="0"/>
              <c:showVal val="1"/>
              <c:showCatName val="0"/>
              <c:showSerName val="0"/>
              <c:showPercent val="0"/>
              <c:showBubbleSize val="0"/>
            </c:dLbl>
            <c:dLbl>
              <c:idx val="3"/>
              <c:layout>
                <c:manualLayout>
                  <c:xMode val="edge"/>
                  <c:yMode val="edge"/>
                  <c:x val="6.5656565656565663E-2"/>
                  <c:y val="0.49006622516556342"/>
                </c:manualLayout>
              </c:layout>
              <c:showLegendKey val="0"/>
              <c:showVal val="1"/>
              <c:showCatName val="0"/>
              <c:showSerName val="0"/>
              <c:showPercent val="0"/>
              <c:showBubbleSize val="0"/>
            </c:dLbl>
            <c:dLbl>
              <c:idx val="4"/>
              <c:layout>
                <c:manualLayout>
                  <c:xMode val="edge"/>
                  <c:yMode val="edge"/>
                  <c:x val="0.10606060606060619"/>
                  <c:y val="0.38410596026490146"/>
                </c:manualLayout>
              </c:layout>
              <c:showLegendKey val="0"/>
              <c:showVal val="1"/>
              <c:showCatName val="0"/>
              <c:showSerName val="0"/>
              <c:showPercent val="0"/>
              <c:showBubbleSize val="0"/>
            </c:dLbl>
            <c:dLbl>
              <c:idx val="5"/>
              <c:layout>
                <c:manualLayout>
                  <c:xMode val="edge"/>
                  <c:yMode val="edge"/>
                  <c:x val="0.18686868686868691"/>
                  <c:y val="0.27152317880794746"/>
                </c:manualLayout>
              </c:layout>
              <c:showLegendKey val="0"/>
              <c:showVal val="1"/>
              <c:showCatName val="0"/>
              <c:showSerName val="0"/>
              <c:showPercent val="0"/>
              <c:showBubbleSize val="0"/>
            </c:dLbl>
            <c:dLbl>
              <c:idx val="6"/>
              <c:layout>
                <c:manualLayout>
                  <c:xMode val="edge"/>
                  <c:yMode val="edge"/>
                  <c:x val="0.28282828282828337"/>
                  <c:y val="0.15231788079470227"/>
                </c:manualLayout>
              </c:layout>
              <c:showLegendKey val="0"/>
              <c:showVal val="1"/>
              <c:showCatName val="0"/>
              <c:showSerName val="0"/>
              <c:showPercent val="0"/>
              <c:showBubbleSize val="0"/>
            </c:dLbl>
            <c:dLbl>
              <c:idx val="7"/>
              <c:layout>
                <c:manualLayout>
                  <c:xMode val="edge"/>
                  <c:yMode val="edge"/>
                  <c:x val="0.48821548821548832"/>
                  <c:y val="3.9735099337748346E-2"/>
                </c:manualLayout>
              </c:layout>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Sheet1!$B$1:$C$1</c:f>
              <c:numCache>
                <c:formatCode>General</c:formatCode>
                <c:ptCount val="2"/>
                <c:pt idx="0">
                  <c:v>2012</c:v>
                </c:pt>
                <c:pt idx="1">
                  <c:v>2013</c:v>
                </c:pt>
              </c:numCache>
            </c:numRef>
          </c:cat>
          <c:val>
            <c:numRef>
              <c:f>Sheet1!$B$2:$C$2</c:f>
              <c:numCache>
                <c:formatCode>General</c:formatCode>
                <c:ptCount val="2"/>
                <c:pt idx="0">
                  <c:v>1718</c:v>
                </c:pt>
                <c:pt idx="1">
                  <c:v>2696</c:v>
                </c:pt>
              </c:numCache>
            </c:numRef>
          </c:val>
        </c:ser>
        <c:dLbls>
          <c:showLegendKey val="0"/>
          <c:showVal val="1"/>
          <c:showCatName val="0"/>
          <c:showSerName val="0"/>
          <c:showPercent val="0"/>
          <c:showBubbleSize val="0"/>
        </c:dLbls>
        <c:gapWidth val="150"/>
        <c:gapDepth val="0"/>
        <c:shape val="box"/>
        <c:axId val="164092160"/>
        <c:axId val="164099200"/>
        <c:axId val="0"/>
      </c:bar3DChart>
      <c:catAx>
        <c:axId val="16409216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bg-BG"/>
          </a:p>
        </c:txPr>
        <c:crossAx val="164099200"/>
        <c:crosses val="autoZero"/>
        <c:auto val="1"/>
        <c:lblAlgn val="ctr"/>
        <c:lblOffset val="100"/>
        <c:tickLblSkip val="1"/>
        <c:tickMarkSkip val="1"/>
        <c:noMultiLvlLbl val="0"/>
      </c:catAx>
      <c:valAx>
        <c:axId val="16409920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a:ea typeface="Arial"/>
                <a:cs typeface="Arial"/>
              </a:defRPr>
            </a:pPr>
            <a:endParaRPr lang="bg-BG"/>
          </a:p>
        </c:txPr>
        <c:crossAx val="164092160"/>
        <c:crosses val="autoZero"/>
        <c:crossBetween val="between"/>
      </c:valAx>
      <c:spPr>
        <a:gradFill rotWithShape="0">
          <a:gsLst>
            <a:gs pos="0">
              <a:srgbClr val="FFFFFF"/>
            </a:gs>
            <a:gs pos="100000">
              <a:srgbClr val="FFFFFF">
                <a:gamma/>
                <a:shade val="46275"/>
                <a:invGamma/>
              </a:srgbClr>
            </a:gs>
          </a:gsLst>
          <a:lin ang="5400000" scaled="1"/>
        </a:gradFill>
        <a:ln w="25400">
          <a:noFill/>
        </a:ln>
      </c:spPr>
    </c:plotArea>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1" i="0" u="none" strike="noStrike" baseline="0">
                <a:solidFill>
                  <a:srgbClr val="000000"/>
                </a:solidFill>
                <a:latin typeface="Arial"/>
                <a:ea typeface="Arial"/>
                <a:cs typeface="Arial"/>
              </a:defRPr>
            </a:pPr>
            <a:r>
              <a:rPr lang="en-GB"/>
              <a:t>Implemented inspections by type</a:t>
            </a:r>
          </a:p>
        </c:rich>
      </c:tx>
      <c:layout>
        <c:manualLayout>
          <c:xMode val="edge"/>
          <c:yMode val="edge"/>
          <c:x val="0.23792486583184275"/>
          <c:y val="2.0833333333333367E-2"/>
        </c:manualLayout>
      </c:layout>
      <c:overlay val="0"/>
      <c:spPr>
        <a:noFill/>
        <a:ln w="25401">
          <a:noFill/>
        </a:ln>
      </c:spPr>
    </c:title>
    <c:autoTitleDeleted val="0"/>
    <c:view3D>
      <c:rotX val="15"/>
      <c:hPercent val="278"/>
      <c:rotY val="20"/>
      <c:depthPercent val="1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6.2611806797853289E-2"/>
          <c:y val="0.19791666666666671"/>
          <c:w val="0.91413237924865764"/>
          <c:h val="0.62152777777777779"/>
        </c:manualLayout>
      </c:layout>
      <c:bar3DChart>
        <c:barDir val="bar"/>
        <c:grouping val="clustered"/>
        <c:varyColors val="0"/>
        <c:ser>
          <c:idx val="0"/>
          <c:order val="0"/>
          <c:tx>
            <c:strRef>
              <c:f>Sheet1!$A$2</c:f>
              <c:strCache>
                <c:ptCount val="1"/>
                <c:pt idx="0">
                  <c:v>ПРЕДВАРИТЕЛНИ</c:v>
                </c:pt>
              </c:strCache>
            </c:strRef>
          </c:tx>
          <c:spPr>
            <a:solidFill>
              <a:srgbClr val="FF6600"/>
            </a:solidFill>
            <a:ln w="12700">
              <a:solidFill>
                <a:srgbClr val="000000"/>
              </a:solidFill>
              <a:prstDash val="solid"/>
            </a:ln>
          </c:spPr>
          <c:invertIfNegative val="0"/>
          <c:dLbls>
            <c:dLbl>
              <c:idx val="0"/>
              <c:layout>
                <c:manualLayout>
                  <c:x val="2.8990952818591941E-2"/>
                  <c:y val="-1.5907398110471122E-2"/>
                </c:manualLayout>
              </c:layout>
              <c:showLegendKey val="0"/>
              <c:showVal val="1"/>
              <c:showCatName val="0"/>
              <c:showSerName val="0"/>
              <c:showPercent val="0"/>
              <c:showBubbleSize val="0"/>
            </c:dLbl>
            <c:dLbl>
              <c:idx val="1"/>
              <c:layout>
                <c:manualLayout>
                  <c:x val="6.4704644712938932E-3"/>
                  <c:y val="-2.6968261727350788E-2"/>
                </c:manualLayout>
              </c:layout>
              <c:showLegendKey val="0"/>
              <c:showVal val="1"/>
              <c:showCatName val="0"/>
              <c:showSerName val="0"/>
              <c:showPercent val="0"/>
              <c:showBubbleSize val="0"/>
            </c:dLbl>
            <c:dLbl>
              <c:idx val="2"/>
              <c:layout>
                <c:manualLayout>
                  <c:xMode val="edge"/>
                  <c:yMode val="edge"/>
                  <c:x val="0.77280858676207564"/>
                  <c:y val="0.18055555555555555"/>
                </c:manualLayout>
              </c:layout>
              <c:showLegendKey val="0"/>
              <c:showVal val="1"/>
              <c:showCatName val="0"/>
              <c:showSerName val="0"/>
              <c:showPercent val="0"/>
              <c:showBubbleSize val="0"/>
            </c:dLbl>
            <c:spPr>
              <a:noFill/>
              <a:ln w="25401">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Sheet1!$B$1:$C$1</c:f>
              <c:numCache>
                <c:formatCode>General</c:formatCode>
                <c:ptCount val="2"/>
                <c:pt idx="0">
                  <c:v>2012</c:v>
                </c:pt>
                <c:pt idx="1">
                  <c:v>2013</c:v>
                </c:pt>
              </c:numCache>
            </c:numRef>
          </c:cat>
          <c:val>
            <c:numRef>
              <c:f>Sheet1!$B$2:$C$2</c:f>
              <c:numCache>
                <c:formatCode>General</c:formatCode>
                <c:ptCount val="2"/>
                <c:pt idx="0">
                  <c:v>1616</c:v>
                </c:pt>
                <c:pt idx="1">
                  <c:v>2613</c:v>
                </c:pt>
              </c:numCache>
            </c:numRef>
          </c:val>
        </c:ser>
        <c:ser>
          <c:idx val="1"/>
          <c:order val="1"/>
          <c:tx>
            <c:strRef>
              <c:f>Sheet1!$A$3</c:f>
              <c:strCache>
                <c:ptCount val="1"/>
                <c:pt idx="0">
                  <c:v>ТЕКУЩИ</c:v>
                </c:pt>
              </c:strCache>
            </c:strRef>
          </c:tx>
          <c:spPr>
            <a:solidFill>
              <a:srgbClr val="FF9900"/>
            </a:solidFill>
            <a:ln w="12700">
              <a:solidFill>
                <a:srgbClr val="000000"/>
              </a:solidFill>
              <a:prstDash val="solid"/>
            </a:ln>
          </c:spPr>
          <c:invertIfNegative val="0"/>
          <c:dLbls>
            <c:dLbl>
              <c:idx val="0"/>
              <c:layout>
                <c:manualLayout>
                  <c:x val="1.1650756770929535E-2"/>
                  <c:y val="-1.1035160034525602E-2"/>
                </c:manualLayout>
              </c:layout>
              <c:showLegendKey val="0"/>
              <c:showVal val="1"/>
              <c:showCatName val="0"/>
              <c:showSerName val="0"/>
              <c:showPercent val="0"/>
              <c:showBubbleSize val="0"/>
            </c:dLbl>
            <c:dLbl>
              <c:idx val="1"/>
              <c:layout>
                <c:manualLayout>
                  <c:x val="1.544717455464477E-2"/>
                  <c:y val="-2.5568245873627802E-2"/>
                </c:manualLayout>
              </c:layout>
              <c:showLegendKey val="0"/>
              <c:showVal val="1"/>
              <c:showCatName val="0"/>
              <c:showSerName val="0"/>
              <c:showPercent val="0"/>
              <c:showBubbleSize val="0"/>
            </c:dLbl>
            <c:dLbl>
              <c:idx val="2"/>
              <c:layout>
                <c:manualLayout>
                  <c:xMode val="edge"/>
                  <c:yMode val="edge"/>
                  <c:x val="0.13237924865831838"/>
                  <c:y val="0.11458333333333333"/>
                </c:manualLayout>
              </c:layout>
              <c:showLegendKey val="0"/>
              <c:showVal val="1"/>
              <c:showCatName val="0"/>
              <c:showSerName val="0"/>
              <c:showPercent val="0"/>
              <c:showBubbleSize val="0"/>
            </c:dLbl>
            <c:spPr>
              <a:noFill/>
              <a:ln w="25401">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Sheet1!$B$1:$C$1</c:f>
              <c:numCache>
                <c:formatCode>General</c:formatCode>
                <c:ptCount val="2"/>
                <c:pt idx="0">
                  <c:v>2012</c:v>
                </c:pt>
                <c:pt idx="1">
                  <c:v>2013</c:v>
                </c:pt>
              </c:numCache>
            </c:numRef>
          </c:cat>
          <c:val>
            <c:numRef>
              <c:f>Sheet1!$B$3:$C$3</c:f>
              <c:numCache>
                <c:formatCode>General</c:formatCode>
                <c:ptCount val="2"/>
                <c:pt idx="0">
                  <c:v>71</c:v>
                </c:pt>
                <c:pt idx="1">
                  <c:v>39</c:v>
                </c:pt>
              </c:numCache>
            </c:numRef>
          </c:val>
        </c:ser>
        <c:ser>
          <c:idx val="2"/>
          <c:order val="2"/>
          <c:tx>
            <c:strRef>
              <c:f>Sheet1!$A$4</c:f>
              <c:strCache>
                <c:ptCount val="1"/>
                <c:pt idx="0">
                  <c:v>ПОСЛЕДВАЩИ</c:v>
                </c:pt>
              </c:strCache>
            </c:strRef>
          </c:tx>
          <c:spPr>
            <a:solidFill>
              <a:srgbClr val="FFCC00"/>
            </a:solidFill>
            <a:ln w="12700">
              <a:solidFill>
                <a:srgbClr val="000000"/>
              </a:solidFill>
              <a:prstDash val="solid"/>
            </a:ln>
          </c:spPr>
          <c:invertIfNegative val="0"/>
          <c:dLbls>
            <c:dLbl>
              <c:idx val="0"/>
              <c:layout>
                <c:manualLayout>
                  <c:x val="1.7451687148465289E-2"/>
                  <c:y val="-2.6996255291914111E-2"/>
                </c:manualLayout>
              </c:layout>
              <c:showLegendKey val="0"/>
              <c:showVal val="1"/>
              <c:showCatName val="0"/>
              <c:showSerName val="0"/>
              <c:showPercent val="0"/>
              <c:showBubbleSize val="0"/>
            </c:dLbl>
            <c:dLbl>
              <c:idx val="1"/>
              <c:layout>
                <c:manualLayout>
                  <c:x val="1.4015485094774622E-2"/>
                  <c:y val="-3.4584896686571907E-2"/>
                </c:manualLayout>
              </c:layout>
              <c:showLegendKey val="0"/>
              <c:showVal val="1"/>
              <c:showCatName val="0"/>
              <c:showSerName val="0"/>
              <c:showPercent val="0"/>
              <c:showBubbleSize val="0"/>
            </c:dLbl>
            <c:dLbl>
              <c:idx val="2"/>
              <c:layout>
                <c:manualLayout>
                  <c:xMode val="edge"/>
                  <c:yMode val="edge"/>
                  <c:x val="0.10554561717352416"/>
                  <c:y val="5.208333333333344E-2"/>
                </c:manualLayout>
              </c:layout>
              <c:showLegendKey val="0"/>
              <c:showVal val="1"/>
              <c:showCatName val="0"/>
              <c:showSerName val="0"/>
              <c:showPercent val="0"/>
              <c:showBubbleSize val="0"/>
            </c:dLbl>
            <c:dLbl>
              <c:idx val="3"/>
              <c:layout>
                <c:manualLayout>
                  <c:xMode val="edge"/>
                  <c:yMode val="edge"/>
                  <c:x val="9.3023255813953501E-2"/>
                  <c:y val="1.0416666666666666E-2"/>
                </c:manualLayout>
              </c:layout>
              <c:showLegendKey val="0"/>
              <c:showVal val="1"/>
              <c:showCatName val="0"/>
              <c:showSerName val="0"/>
              <c:showPercent val="0"/>
              <c:showBubbleSize val="0"/>
            </c:dLbl>
            <c:spPr>
              <a:noFill/>
              <a:ln w="25401">
                <a:noFill/>
              </a:ln>
            </c:spPr>
            <c:txPr>
              <a:bodyPr/>
              <a:lstStyle/>
              <a:p>
                <a:pPr>
                  <a:defRPr sz="800" b="1"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Sheet1!$B$1:$C$1</c:f>
              <c:numCache>
                <c:formatCode>General</c:formatCode>
                <c:ptCount val="2"/>
                <c:pt idx="0">
                  <c:v>2012</c:v>
                </c:pt>
                <c:pt idx="1">
                  <c:v>2013</c:v>
                </c:pt>
              </c:numCache>
            </c:numRef>
          </c:cat>
          <c:val>
            <c:numRef>
              <c:f>Sheet1!$B$4:$C$4</c:f>
              <c:numCache>
                <c:formatCode>General</c:formatCode>
                <c:ptCount val="2"/>
                <c:pt idx="0">
                  <c:v>32</c:v>
                </c:pt>
                <c:pt idx="1">
                  <c:v>44</c:v>
                </c:pt>
              </c:numCache>
            </c:numRef>
          </c:val>
        </c:ser>
        <c:dLbls>
          <c:showLegendKey val="0"/>
          <c:showVal val="1"/>
          <c:showCatName val="0"/>
          <c:showSerName val="0"/>
          <c:showPercent val="0"/>
          <c:showBubbleSize val="0"/>
        </c:dLbls>
        <c:gapWidth val="150"/>
        <c:gapDepth val="0"/>
        <c:shape val="box"/>
        <c:axId val="166736640"/>
        <c:axId val="166738176"/>
        <c:axId val="0"/>
      </c:bar3DChart>
      <c:catAx>
        <c:axId val="166736640"/>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bg-BG"/>
          </a:p>
        </c:txPr>
        <c:crossAx val="166738176"/>
        <c:crosses val="autoZero"/>
        <c:auto val="1"/>
        <c:lblAlgn val="ctr"/>
        <c:lblOffset val="100"/>
        <c:tickLblSkip val="1"/>
        <c:tickMarkSkip val="1"/>
        <c:noMultiLvlLbl val="0"/>
      </c:catAx>
      <c:valAx>
        <c:axId val="16673817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9525">
            <a:noFill/>
          </a:ln>
        </c:spPr>
        <c:txPr>
          <a:bodyPr rot="0" vert="horz"/>
          <a:lstStyle/>
          <a:p>
            <a:pPr>
              <a:defRPr sz="875" b="1" i="0" u="none" strike="noStrike" baseline="0">
                <a:solidFill>
                  <a:srgbClr val="000000"/>
                </a:solidFill>
                <a:latin typeface="Arial"/>
                <a:ea typeface="Arial"/>
                <a:cs typeface="Arial"/>
              </a:defRPr>
            </a:pPr>
            <a:endParaRPr lang="bg-BG"/>
          </a:p>
        </c:txPr>
        <c:crossAx val="166736640"/>
        <c:crosses val="autoZero"/>
        <c:crossBetween val="between"/>
      </c:valAx>
      <c:spPr>
        <a:noFill/>
        <a:ln w="25401">
          <a:noFill/>
        </a:ln>
      </c:spPr>
    </c:plotArea>
    <c:legend>
      <c:legendPos val="b"/>
      <c:overlay val="0"/>
      <c:spPr>
        <a:noFill/>
        <a:ln w="25401">
          <a:noFill/>
        </a:ln>
      </c:spPr>
      <c:txPr>
        <a:bodyPr/>
        <a:lstStyle/>
        <a:p>
          <a:pPr>
            <a:defRPr sz="920" b="1" i="0" u="none" strike="noStrike" baseline="0">
              <a:solidFill>
                <a:srgbClr val="000000"/>
              </a:solidFill>
              <a:latin typeface="Arial"/>
              <a:ea typeface="Arial"/>
              <a:cs typeface="Arial"/>
            </a:defRPr>
          </a:pPr>
          <a:endParaRPr lang="bg-BG"/>
        </a:p>
      </c:txPr>
    </c:legend>
    <c:plotVisOnly val="1"/>
    <c:dispBlanksAs val="gap"/>
    <c:showDLblsOverMax val="0"/>
  </c:chart>
  <c:spPr>
    <a:gradFill rotWithShape="0">
      <a:gsLst>
        <a:gs pos="0">
          <a:srgbClr val="FFFFFF"/>
        </a:gs>
        <a:gs pos="100000">
          <a:srgbClr val="FFFFFF">
            <a:gamma/>
            <a:shade val="46275"/>
            <a:invGamma/>
          </a:srgbClr>
        </a:gs>
      </a:gsLst>
      <a:lin ang="5400000" scaled="1"/>
    </a:gradFill>
    <a:ln>
      <a:noFill/>
    </a:ln>
  </c:spPr>
  <c:txPr>
    <a:bodyPr/>
    <a:lstStyle/>
    <a:p>
      <a:pPr>
        <a:defRPr sz="1200" b="1"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Arial"/>
                <a:ea typeface="Arial"/>
                <a:cs typeface="Arial"/>
              </a:defRPr>
            </a:pPr>
            <a:r>
              <a:rPr lang="en-GB"/>
              <a:t>Distribution of </a:t>
            </a:r>
            <a:r>
              <a:rPr lang="en-GB" sz="1425" b="1" i="0" u="none" strike="noStrike" baseline="0">
                <a:effectLst/>
              </a:rPr>
              <a:t>CI </a:t>
            </a:r>
            <a:r>
              <a:rPr lang="en-GB"/>
              <a:t>issued
by type of violation</a:t>
            </a:r>
          </a:p>
        </c:rich>
      </c:tx>
      <c:layout>
        <c:manualLayout>
          <c:xMode val="edge"/>
          <c:yMode val="edge"/>
          <c:x val="6.0014298585811102E-2"/>
          <c:y val="5.9443642209083727E-2"/>
        </c:manualLayout>
      </c:layout>
      <c:overlay val="0"/>
      <c:spPr>
        <a:noFill/>
        <a:ln w="25401">
          <a:noFill/>
        </a:ln>
      </c:spPr>
    </c:title>
    <c:autoTitleDeleted val="0"/>
    <c:view3D>
      <c:rotX val="40"/>
      <c:rotY val="200"/>
      <c:rAngAx val="0"/>
      <c:perspective val="0"/>
    </c:view3D>
    <c:floor>
      <c:thickness val="0"/>
    </c:floor>
    <c:sideWall>
      <c:thickness val="0"/>
    </c:sideWall>
    <c:backWall>
      <c:thickness val="0"/>
    </c:backWall>
    <c:plotArea>
      <c:layout>
        <c:manualLayout>
          <c:layoutTarget val="inner"/>
          <c:xMode val="edge"/>
          <c:yMode val="edge"/>
          <c:x val="0.14476190476190495"/>
          <c:y val="0.36917562724014374"/>
          <c:w val="0.31047619047619046"/>
          <c:h val="0.44086021505376377"/>
        </c:manualLayout>
      </c:layout>
      <c:pie3DChart>
        <c:varyColors val="1"/>
        <c:ser>
          <c:idx val="0"/>
          <c:order val="0"/>
          <c:tx>
            <c:strRef>
              <c:f>Sheet1!$A$2</c:f>
              <c:strCache>
                <c:ptCount val="1"/>
                <c:pt idx="0">
                  <c:v>Вид предписания</c:v>
                </c:pt>
              </c:strCache>
            </c:strRef>
          </c:tx>
          <c:spPr>
            <a:solidFill>
              <a:srgbClr val="FF6600"/>
            </a:solidFill>
            <a:ln w="12700">
              <a:solidFill>
                <a:srgbClr val="000000"/>
              </a:solidFill>
              <a:prstDash val="solid"/>
            </a:ln>
          </c:spPr>
          <c:explosion val="24"/>
          <c:dPt>
            <c:idx val="0"/>
            <c:bubble3D val="0"/>
            <c:explosion val="25"/>
            <c:spPr>
              <a:solidFill>
                <a:srgbClr val="FF9900"/>
              </a:solidFill>
              <a:ln w="12700">
                <a:solidFill>
                  <a:srgbClr val="000000"/>
                </a:solidFill>
                <a:prstDash val="solid"/>
              </a:ln>
            </c:spPr>
          </c:dPt>
          <c:dPt>
            <c:idx val="1"/>
            <c:bubble3D val="0"/>
            <c:explosion val="8"/>
          </c:dPt>
          <c:dPt>
            <c:idx val="2"/>
            <c:bubble3D val="0"/>
            <c:explosion val="18"/>
            <c:spPr>
              <a:solidFill>
                <a:srgbClr val="FFFF99"/>
              </a:solidFill>
              <a:ln w="12700">
                <a:solidFill>
                  <a:srgbClr val="000000"/>
                </a:solidFill>
                <a:prstDash val="solid"/>
              </a:ln>
            </c:spPr>
          </c:dPt>
          <c:dPt>
            <c:idx val="3"/>
            <c:bubble3D val="0"/>
            <c:explosion val="20"/>
            <c:spPr>
              <a:solidFill>
                <a:srgbClr val="FFCC99"/>
              </a:solidFill>
              <a:ln w="12700">
                <a:solidFill>
                  <a:srgbClr val="000000"/>
                </a:solidFill>
                <a:prstDash val="solid"/>
              </a:ln>
            </c:spPr>
          </c:dPt>
          <c:dLbls>
            <c:dLbl>
              <c:idx val="0"/>
              <c:layout>
                <c:manualLayout>
                  <c:x val="1.2752155980502432E-2"/>
                  <c:y val="2.5158589186843966E-2"/>
                </c:manualLayout>
              </c:layout>
              <c:dLblPos val="bestFit"/>
              <c:showLegendKey val="0"/>
              <c:showVal val="0"/>
              <c:showCatName val="0"/>
              <c:showSerName val="0"/>
              <c:showPercent val="1"/>
              <c:showBubbleSize val="0"/>
            </c:dLbl>
            <c:dLbl>
              <c:idx val="1"/>
              <c:layout>
                <c:manualLayout>
                  <c:x val="6.7209229443334507E-3"/>
                  <c:y val="1.5783632582259396E-2"/>
                </c:manualLayout>
              </c:layout>
              <c:showLegendKey val="0"/>
              <c:showVal val="0"/>
              <c:showCatName val="0"/>
              <c:showSerName val="0"/>
              <c:showPercent val="1"/>
              <c:showBubbleSize val="0"/>
            </c:dLbl>
            <c:dLbl>
              <c:idx val="2"/>
              <c:layout>
                <c:manualLayout>
                  <c:x val="-5.3365344257338826E-3"/>
                  <c:y val="1.3578111308471729E-2"/>
                </c:manualLayout>
              </c:layout>
              <c:dLblPos val="bestFit"/>
              <c:showLegendKey val="0"/>
              <c:showVal val="0"/>
              <c:showCatName val="0"/>
              <c:showSerName val="0"/>
              <c:showPercent val="1"/>
              <c:showBubbleSize val="0"/>
            </c:dLbl>
            <c:dLbl>
              <c:idx val="3"/>
              <c:layout>
                <c:manualLayout>
                  <c:x val="-8.8496493908410707E-3"/>
                  <c:y val="1.3437230380804476E-2"/>
                </c:manualLayout>
              </c:layout>
              <c:showLegendKey val="0"/>
              <c:showVal val="0"/>
              <c:showCatName val="0"/>
              <c:showSerName val="0"/>
              <c:showPercent val="1"/>
              <c:showBubbleSize val="0"/>
            </c:dLbl>
            <c:numFmt formatCode="0%" sourceLinked="0"/>
            <c:spPr>
              <a:noFill/>
              <a:ln w="25401">
                <a:noFill/>
              </a:ln>
            </c:spPr>
            <c:txPr>
              <a:bodyPr/>
              <a:lstStyle/>
              <a:p>
                <a:pPr>
                  <a:defRPr sz="800"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Taking protection measures</c:v>
                </c:pt>
                <c:pt idx="1">
                  <c:v>Registration or update of application</c:v>
                </c:pt>
                <c:pt idx="2">
                  <c:v>Unlawful processing of personal data</c:v>
                </c:pt>
                <c:pt idx="3">
                  <c:v>Consent for processing</c:v>
                </c:pt>
              </c:strCache>
            </c:strRef>
          </c:cat>
          <c:val>
            <c:numRef>
              <c:f>Sheet1!$B$2:$E$2</c:f>
              <c:numCache>
                <c:formatCode>General</c:formatCode>
                <c:ptCount val="4"/>
                <c:pt idx="0">
                  <c:v>24</c:v>
                </c:pt>
                <c:pt idx="1">
                  <c:v>10</c:v>
                </c:pt>
                <c:pt idx="2">
                  <c:v>14</c:v>
                </c:pt>
                <c:pt idx="3">
                  <c:v>7</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1">
                <a:noFill/>
              </a:ln>
            </c:spPr>
            <c:txPr>
              <a:bodyPr/>
              <a:lstStyle/>
              <a:p>
                <a:pPr>
                  <a:defRPr sz="1200"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Taking protection measures</c:v>
                </c:pt>
                <c:pt idx="1">
                  <c:v>Registration or update of application</c:v>
                </c:pt>
                <c:pt idx="2">
                  <c:v>Unlawful processing of personal data</c:v>
                </c:pt>
                <c:pt idx="3">
                  <c:v>Consent for processing</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Lbls>
            <c:numFmt formatCode="0%" sourceLinked="0"/>
            <c:spPr>
              <a:noFill/>
              <a:ln w="25401">
                <a:noFill/>
              </a:ln>
            </c:spPr>
            <c:txPr>
              <a:bodyPr/>
              <a:lstStyle/>
              <a:p>
                <a:pPr>
                  <a:defRPr sz="1200"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Taking protection measures</c:v>
                </c:pt>
                <c:pt idx="1">
                  <c:v>Registration or update of application</c:v>
                </c:pt>
                <c:pt idx="2">
                  <c:v>Unlawful processing of personal data</c:v>
                </c:pt>
                <c:pt idx="3">
                  <c:v>Consent for processing</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numFmt formatCode="0%" sourceLinked="0"/>
            <c:spPr>
              <a:noFill/>
              <a:ln w="25401">
                <a:noFill/>
              </a:ln>
            </c:spPr>
            <c:txPr>
              <a:bodyPr/>
              <a:lstStyle/>
              <a:p>
                <a:pPr>
                  <a:defRPr sz="1200"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Taking protection measures</c:v>
                </c:pt>
                <c:pt idx="1">
                  <c:v>Registration or update of application</c:v>
                </c:pt>
                <c:pt idx="2">
                  <c:v>Unlawful processing of personal data</c:v>
                </c:pt>
                <c:pt idx="3">
                  <c:v>Consent for processing</c:v>
                </c:pt>
              </c:strCache>
            </c:strRef>
          </c:cat>
          <c:val>
            <c:numRef>
              <c:f>Sheet1!$B$5:$E$5</c:f>
              <c:numCache>
                <c:formatCode>General</c:formatCode>
                <c:ptCount val="4"/>
              </c:numCache>
            </c:numRef>
          </c:val>
        </c:ser>
        <c:dLbls>
          <c:showLegendKey val="0"/>
          <c:showVal val="0"/>
          <c:showCatName val="0"/>
          <c:showSerName val="0"/>
          <c:showPercent val="1"/>
          <c:showBubbleSize val="0"/>
          <c:showLeaderLines val="0"/>
        </c:dLbls>
      </c:pie3DChart>
      <c:spPr>
        <a:noFill/>
        <a:ln w="25401">
          <a:noFill/>
        </a:ln>
      </c:spPr>
    </c:plotArea>
    <c:legend>
      <c:legendPos val="r"/>
      <c:layout>
        <c:manualLayout>
          <c:xMode val="edge"/>
          <c:yMode val="edge"/>
          <c:x val="0.61333333333333362"/>
          <c:y val="0.16388233477735697"/>
          <c:w val="0.38666666666666727"/>
          <c:h val="0.83611766522264297"/>
        </c:manualLayout>
      </c:layout>
      <c:overlay val="0"/>
      <c:spPr>
        <a:noFill/>
        <a:ln w="25401">
          <a:noFill/>
        </a:ln>
      </c:spPr>
      <c:txPr>
        <a:bodyPr/>
        <a:lstStyle/>
        <a:p>
          <a:pPr>
            <a:defRPr sz="920" b="1" i="0" u="none" strike="noStrike" baseline="0">
              <a:solidFill>
                <a:srgbClr val="000000"/>
              </a:solidFill>
              <a:latin typeface="Arial"/>
              <a:ea typeface="Arial"/>
              <a:cs typeface="Arial"/>
            </a:defRPr>
          </a:pPr>
          <a:endParaRPr lang="bg-BG"/>
        </a:p>
      </c:txPr>
    </c:legend>
    <c:plotVisOnly val="1"/>
    <c:dispBlanksAs val="zero"/>
    <c:showDLblsOverMax val="0"/>
  </c:chart>
  <c:spPr>
    <a:gradFill rotWithShape="0">
      <a:gsLst>
        <a:gs pos="0">
          <a:srgbClr val="FFFFFF"/>
        </a:gs>
        <a:gs pos="100000">
          <a:srgbClr val="FFFFFF">
            <a:gamma/>
            <a:shade val="46275"/>
            <a:invGamma/>
          </a:srgbClr>
        </a:gs>
      </a:gsLst>
      <a:lin ang="5400000" scaled="1"/>
    </a:gradFill>
    <a:ln>
      <a:noFill/>
    </a:ln>
  </c:spPr>
  <c:txPr>
    <a:bodyPr/>
    <a:lstStyle/>
    <a:p>
      <a:pPr>
        <a:defRPr sz="1200" b="1"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30"/>
      <c:rAngAx val="0"/>
      <c:perspective val="0"/>
    </c:view3D>
    <c:floor>
      <c:thickness val="0"/>
    </c:floor>
    <c:sideWall>
      <c:thickness val="0"/>
    </c:sideWall>
    <c:backWall>
      <c:thickness val="0"/>
    </c:backWall>
    <c:plotArea>
      <c:layout>
        <c:manualLayout>
          <c:layoutTarget val="inner"/>
          <c:xMode val="edge"/>
          <c:yMode val="edge"/>
          <c:x val="0.16161616161616171"/>
          <c:y val="0.12420382165605111"/>
          <c:w val="0.48821548821548832"/>
          <c:h val="0.6942675159235665"/>
        </c:manualLayout>
      </c:layout>
      <c:pie3DChart>
        <c:varyColors val="1"/>
        <c:ser>
          <c:idx val="0"/>
          <c:order val="0"/>
          <c:tx>
            <c:strRef>
              <c:f>Sheet1!$A$2</c:f>
              <c:strCache>
                <c:ptCount val="1"/>
                <c:pt idx="0">
                  <c:v>Iztok</c:v>
                </c:pt>
              </c:strCache>
            </c:strRef>
          </c:tx>
          <c:spPr>
            <a:solidFill>
              <a:srgbClr val="FF6600"/>
            </a:solidFill>
            <a:ln w="12721">
              <a:solidFill>
                <a:srgbClr val="000000"/>
              </a:solidFill>
              <a:prstDash val="solid"/>
            </a:ln>
          </c:spPr>
          <c:explosion val="24"/>
          <c:dPt>
            <c:idx val="0"/>
            <c:bubble3D val="0"/>
            <c:explosion val="25"/>
            <c:spPr>
              <a:solidFill>
                <a:srgbClr val="FF9900"/>
              </a:solidFill>
              <a:ln w="12721">
                <a:solidFill>
                  <a:srgbClr val="000000"/>
                </a:solidFill>
                <a:prstDash val="solid"/>
              </a:ln>
            </c:spPr>
          </c:dPt>
          <c:dPt>
            <c:idx val="1"/>
            <c:bubble3D val="0"/>
            <c:explosion val="8"/>
          </c:dPt>
          <c:dPt>
            <c:idx val="2"/>
            <c:bubble3D val="0"/>
            <c:explosion val="18"/>
            <c:spPr>
              <a:solidFill>
                <a:srgbClr val="FFFF99"/>
              </a:solidFill>
              <a:ln w="12721">
                <a:solidFill>
                  <a:srgbClr val="000000"/>
                </a:solidFill>
                <a:prstDash val="solid"/>
              </a:ln>
            </c:spPr>
          </c:dPt>
          <c:dPt>
            <c:idx val="3"/>
            <c:bubble3D val="0"/>
            <c:explosion val="20"/>
            <c:spPr>
              <a:solidFill>
                <a:srgbClr val="FFCC99"/>
              </a:solidFill>
              <a:ln w="12721">
                <a:solidFill>
                  <a:srgbClr val="000000"/>
                </a:solidFill>
                <a:prstDash val="solid"/>
              </a:ln>
            </c:spPr>
          </c:dPt>
          <c:dLbls>
            <c:dLbl>
              <c:idx val="0"/>
              <c:layout>
                <c:manualLayout>
                  <c:x val="-1.4493366015198078E-2"/>
                  <c:y val="5.2138671152143073E-2"/>
                </c:manualLayout>
              </c:layout>
              <c:dLblPos val="bestFit"/>
              <c:showLegendKey val="0"/>
              <c:showVal val="0"/>
              <c:showCatName val="0"/>
              <c:showSerName val="0"/>
              <c:showPercent val="1"/>
              <c:showBubbleSize val="0"/>
            </c:dLbl>
            <c:dLbl>
              <c:idx val="2"/>
              <c:layout>
                <c:manualLayout>
                  <c:x val="-2.6388070637175791E-2"/>
                  <c:y val="-4.0454975367177536E-2"/>
                </c:manualLayout>
              </c:layout>
              <c:dLblPos val="bestFit"/>
              <c:showLegendKey val="0"/>
              <c:showVal val="0"/>
              <c:showCatName val="0"/>
              <c:showSerName val="0"/>
              <c:showPercent val="1"/>
              <c:showBubbleSize val="0"/>
            </c:dLbl>
            <c:dLbl>
              <c:idx val="3"/>
              <c:layout>
                <c:manualLayout>
                  <c:x val="1.7311844283927683E-2"/>
                  <c:y val="6.4966311352188414E-3"/>
                </c:manualLayout>
              </c:layout>
              <c:dLblPos val="bestFit"/>
              <c:showLegendKey val="0"/>
              <c:showVal val="0"/>
              <c:showCatName val="0"/>
              <c:showSerName val="0"/>
              <c:showPercent val="1"/>
              <c:showBubbleSize val="0"/>
            </c:dLbl>
            <c:numFmt formatCode="0%" sourceLinked="0"/>
            <c:spPr>
              <a:noFill/>
              <a:ln w="25442">
                <a:noFill/>
              </a:ln>
            </c:spPr>
            <c:txPr>
              <a:bodyPr/>
              <a:lstStyle/>
              <a:p>
                <a:pPr>
                  <a:defRPr sz="1202"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Отлична </c:v>
                </c:pt>
                <c:pt idx="1">
                  <c:v>Много добра</c:v>
                </c:pt>
                <c:pt idx="2">
                  <c:v>Добра</c:v>
                </c:pt>
                <c:pt idx="3">
                  <c:v>Задоволителна</c:v>
                </c:pt>
              </c:strCache>
            </c:strRef>
          </c:cat>
          <c:val>
            <c:numRef>
              <c:f>Sheet1!$B$2:$E$2</c:f>
              <c:numCache>
                <c:formatCode>General</c:formatCode>
                <c:ptCount val="4"/>
                <c:pt idx="0" formatCode="0.00%">
                  <c:v>47</c:v>
                </c:pt>
                <c:pt idx="1">
                  <c:v>44</c:v>
                </c:pt>
                <c:pt idx="2">
                  <c:v>5</c:v>
                </c:pt>
                <c:pt idx="3">
                  <c:v>1</c:v>
                </c:pt>
              </c:numCache>
            </c:numRef>
          </c:val>
        </c:ser>
        <c:ser>
          <c:idx val="1"/>
          <c:order val="1"/>
          <c:tx>
            <c:strRef>
              <c:f>Sheet1!$A$3</c:f>
              <c:strCache>
                <c:ptCount val="1"/>
                <c:pt idx="0">
                  <c:v>Zapad</c:v>
                </c:pt>
              </c:strCache>
            </c:strRef>
          </c:tx>
          <c:spPr>
            <a:solidFill>
              <a:srgbClr val="993366"/>
            </a:solidFill>
            <a:ln w="12721">
              <a:solidFill>
                <a:srgbClr val="000000"/>
              </a:solidFill>
              <a:prstDash val="solid"/>
            </a:ln>
          </c:spPr>
          <c:explosion val="25"/>
          <c:dPt>
            <c:idx val="0"/>
            <c:bubble3D val="0"/>
            <c:spPr>
              <a:solidFill>
                <a:srgbClr val="9999FF"/>
              </a:solidFill>
              <a:ln w="12721">
                <a:solidFill>
                  <a:srgbClr val="000000"/>
                </a:solidFill>
                <a:prstDash val="solid"/>
              </a:ln>
            </c:spPr>
          </c:dPt>
          <c:dPt>
            <c:idx val="2"/>
            <c:bubble3D val="0"/>
            <c:spPr>
              <a:solidFill>
                <a:srgbClr val="FFFFCC"/>
              </a:solidFill>
              <a:ln w="12721">
                <a:solidFill>
                  <a:srgbClr val="000000"/>
                </a:solidFill>
                <a:prstDash val="solid"/>
              </a:ln>
            </c:spPr>
          </c:dPt>
          <c:dPt>
            <c:idx val="3"/>
            <c:bubble3D val="0"/>
            <c:spPr>
              <a:solidFill>
                <a:srgbClr val="CCFFFF"/>
              </a:solidFill>
              <a:ln w="12721">
                <a:solidFill>
                  <a:srgbClr val="000000"/>
                </a:solidFill>
                <a:prstDash val="solid"/>
              </a:ln>
            </c:spPr>
          </c:dPt>
          <c:dLbls>
            <c:numFmt formatCode="0%" sourceLinked="0"/>
            <c:spPr>
              <a:noFill/>
              <a:ln w="25442">
                <a:noFill/>
              </a:ln>
            </c:spPr>
            <c:txPr>
              <a:bodyPr/>
              <a:lstStyle/>
              <a:p>
                <a:pPr>
                  <a:defRPr sz="1202"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Отлична </c:v>
                </c:pt>
                <c:pt idx="1">
                  <c:v>Много добра</c:v>
                </c:pt>
                <c:pt idx="2">
                  <c:v>Добра</c:v>
                </c:pt>
                <c:pt idx="3">
                  <c:v>Задоволителна</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Sever</c:v>
                </c:pt>
              </c:strCache>
            </c:strRef>
          </c:tx>
          <c:spPr>
            <a:solidFill>
              <a:srgbClr val="FFFFCC"/>
            </a:solidFill>
            <a:ln w="12721">
              <a:solidFill>
                <a:srgbClr val="000000"/>
              </a:solidFill>
              <a:prstDash val="solid"/>
            </a:ln>
          </c:spPr>
          <c:explosion val="25"/>
          <c:dPt>
            <c:idx val="0"/>
            <c:bubble3D val="0"/>
            <c:spPr>
              <a:solidFill>
                <a:srgbClr val="9999FF"/>
              </a:solidFill>
              <a:ln w="12721">
                <a:solidFill>
                  <a:srgbClr val="000000"/>
                </a:solidFill>
                <a:prstDash val="solid"/>
              </a:ln>
            </c:spPr>
          </c:dPt>
          <c:dPt>
            <c:idx val="1"/>
            <c:bubble3D val="0"/>
            <c:spPr>
              <a:solidFill>
                <a:srgbClr val="993366"/>
              </a:solidFill>
              <a:ln w="12721">
                <a:solidFill>
                  <a:srgbClr val="000000"/>
                </a:solidFill>
                <a:prstDash val="solid"/>
              </a:ln>
            </c:spPr>
          </c:dPt>
          <c:dPt>
            <c:idx val="3"/>
            <c:bubble3D val="0"/>
            <c:spPr>
              <a:solidFill>
                <a:srgbClr val="CCFFFF"/>
              </a:solidFill>
              <a:ln w="12721">
                <a:solidFill>
                  <a:srgbClr val="000000"/>
                </a:solidFill>
                <a:prstDash val="solid"/>
              </a:ln>
            </c:spPr>
          </c:dPt>
          <c:dLbls>
            <c:numFmt formatCode="0%" sourceLinked="0"/>
            <c:spPr>
              <a:noFill/>
              <a:ln w="25442">
                <a:noFill/>
              </a:ln>
            </c:spPr>
            <c:txPr>
              <a:bodyPr/>
              <a:lstStyle/>
              <a:p>
                <a:pPr>
                  <a:defRPr sz="1202"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Отлична </c:v>
                </c:pt>
                <c:pt idx="1">
                  <c:v>Много добра</c:v>
                </c:pt>
                <c:pt idx="2">
                  <c:v>Добра</c:v>
                </c:pt>
                <c:pt idx="3">
                  <c:v>Задоволителна</c:v>
                </c:pt>
              </c:strCache>
            </c:strRef>
          </c:cat>
          <c:val>
            <c:numRef>
              <c:f>Sheet1!$B$4:$E$4</c:f>
              <c:numCache>
                <c:formatCode>General</c:formatCode>
                <c:ptCount val="4"/>
                <c:pt idx="0">
                  <c:v>45.9</c:v>
                </c:pt>
                <c:pt idx="1">
                  <c:v>46.9</c:v>
                </c:pt>
                <c:pt idx="2">
                  <c:v>45</c:v>
                </c:pt>
                <c:pt idx="3">
                  <c:v>43.9</c:v>
                </c:pt>
              </c:numCache>
            </c:numRef>
          </c:val>
        </c:ser>
        <c:ser>
          <c:idx val="3"/>
          <c:order val="3"/>
          <c:tx>
            <c:strRef>
              <c:f>Sheet1!$A$5</c:f>
              <c:strCache>
                <c:ptCount val="1"/>
              </c:strCache>
            </c:strRef>
          </c:tx>
          <c:spPr>
            <a:solidFill>
              <a:srgbClr val="CCFFFF"/>
            </a:solidFill>
            <a:ln w="12721">
              <a:solidFill>
                <a:srgbClr val="000000"/>
              </a:solidFill>
              <a:prstDash val="solid"/>
            </a:ln>
          </c:spPr>
          <c:explosion val="25"/>
          <c:dPt>
            <c:idx val="0"/>
            <c:bubble3D val="0"/>
            <c:spPr>
              <a:solidFill>
                <a:srgbClr val="9999FF"/>
              </a:solidFill>
              <a:ln w="12721">
                <a:solidFill>
                  <a:srgbClr val="000000"/>
                </a:solidFill>
                <a:prstDash val="solid"/>
              </a:ln>
            </c:spPr>
          </c:dPt>
          <c:dPt>
            <c:idx val="1"/>
            <c:bubble3D val="0"/>
            <c:spPr>
              <a:solidFill>
                <a:srgbClr val="993366"/>
              </a:solidFill>
              <a:ln w="12721">
                <a:solidFill>
                  <a:srgbClr val="000000"/>
                </a:solidFill>
                <a:prstDash val="solid"/>
              </a:ln>
            </c:spPr>
          </c:dPt>
          <c:dPt>
            <c:idx val="2"/>
            <c:bubble3D val="0"/>
            <c:spPr>
              <a:solidFill>
                <a:srgbClr val="FFFFCC"/>
              </a:solidFill>
              <a:ln w="12721">
                <a:solidFill>
                  <a:srgbClr val="000000"/>
                </a:solidFill>
                <a:prstDash val="solid"/>
              </a:ln>
            </c:spPr>
          </c:dPt>
          <c:dLbls>
            <c:numFmt formatCode="0%" sourceLinked="0"/>
            <c:spPr>
              <a:noFill/>
              <a:ln w="25442">
                <a:noFill/>
              </a:ln>
            </c:spPr>
            <c:txPr>
              <a:bodyPr/>
              <a:lstStyle/>
              <a:p>
                <a:pPr>
                  <a:defRPr sz="1202"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dLbls>
          <c:cat>
            <c:strRef>
              <c:f>Sheet1!$B$1:$E$1</c:f>
              <c:strCache>
                <c:ptCount val="4"/>
                <c:pt idx="0">
                  <c:v>Отлична </c:v>
                </c:pt>
                <c:pt idx="1">
                  <c:v>Много добра</c:v>
                </c:pt>
                <c:pt idx="2">
                  <c:v>Добра</c:v>
                </c:pt>
                <c:pt idx="3">
                  <c:v>Задоволителна</c:v>
                </c:pt>
              </c:strCache>
            </c:strRef>
          </c:cat>
          <c:val>
            <c:numRef>
              <c:f>Sheet1!$B$5:$E$5</c:f>
              <c:numCache>
                <c:formatCode>General</c:formatCode>
                <c:ptCount val="4"/>
              </c:numCache>
            </c:numRef>
          </c:val>
        </c:ser>
        <c:dLbls>
          <c:showLegendKey val="0"/>
          <c:showVal val="0"/>
          <c:showCatName val="0"/>
          <c:showSerName val="0"/>
          <c:showPercent val="1"/>
          <c:showBubbleSize val="0"/>
          <c:showLeaderLines val="0"/>
        </c:dLbls>
      </c:pie3DChart>
      <c:spPr>
        <a:noFill/>
        <a:ln w="25442">
          <a:noFill/>
        </a:ln>
      </c:spPr>
    </c:plotArea>
    <c:legend>
      <c:legendPos val="r"/>
      <c:layout>
        <c:manualLayout>
          <c:xMode val="edge"/>
          <c:yMode val="edge"/>
          <c:x val="0.65824915824915931"/>
          <c:y val="0.16242038216560528"/>
          <c:w val="0.34175084175084225"/>
          <c:h val="0.66560509554140279"/>
        </c:manualLayout>
      </c:layout>
      <c:overlay val="0"/>
      <c:spPr>
        <a:noFill/>
        <a:ln w="25442">
          <a:noFill/>
        </a:ln>
      </c:spPr>
      <c:txPr>
        <a:bodyPr/>
        <a:lstStyle/>
        <a:p>
          <a:pPr>
            <a:defRPr sz="922" b="1" i="0" u="none" strike="noStrike" baseline="0">
              <a:solidFill>
                <a:srgbClr val="000000"/>
              </a:solidFill>
              <a:latin typeface="Arial"/>
              <a:ea typeface="Arial"/>
              <a:cs typeface="Arial"/>
            </a:defRPr>
          </a:pPr>
          <a:endParaRPr lang="bg-BG"/>
        </a:p>
      </c:txPr>
    </c:legend>
    <c:plotVisOnly val="1"/>
    <c:dispBlanksAs val="zero"/>
    <c:showDLblsOverMax val="0"/>
  </c:chart>
  <c:spPr>
    <a:gradFill rotWithShape="0">
      <a:gsLst>
        <a:gs pos="0">
          <a:srgbClr val="FFFFFF"/>
        </a:gs>
        <a:gs pos="100000">
          <a:srgbClr val="FFFFFF">
            <a:gamma/>
            <a:shade val="46275"/>
            <a:invGamma/>
          </a:srgbClr>
        </a:gs>
      </a:gsLst>
      <a:lin ang="5400000" scaled="1"/>
    </a:gradFill>
    <a:ln>
      <a:noFill/>
    </a:ln>
  </c:spPr>
  <c:txPr>
    <a:bodyPr/>
    <a:lstStyle/>
    <a:p>
      <a:pPr>
        <a:defRPr sz="1202" b="1" i="0" u="none" strike="noStrike" baseline="0">
          <a:solidFill>
            <a:srgbClr val="000000"/>
          </a:solidFill>
          <a:latin typeface="Arial"/>
          <a:ea typeface="Arial"/>
          <a:cs typeface="Arial"/>
        </a:defRPr>
      </a:pPr>
      <a:endParaRPr lang="bg-BG"/>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0.04895</cdr:x>
      <cdr:y>0.03911</cdr:y>
    </cdr:from>
    <cdr:to>
      <cdr:x>0.99524</cdr:x>
      <cdr:y>0.14494</cdr:y>
    </cdr:to>
    <cdr:sp macro="" textlink="">
      <cdr:nvSpPr>
        <cdr:cNvPr id="2" name="TextBox 1"/>
        <cdr:cNvSpPr txBox="1"/>
      </cdr:nvSpPr>
      <cdr:spPr>
        <a:xfrm xmlns:a="http://schemas.openxmlformats.org/drawingml/2006/main">
          <a:off x="291884" y="133350"/>
          <a:ext cx="5642398" cy="360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GB" sz="1600" b="1" baseline="0">
              <a:latin typeface="Arial" pitchFamily="34" charset="0"/>
            </a:rPr>
            <a:t>Users who have submitted applications for registrations</a:t>
          </a:r>
        </a:p>
      </cdr:txBody>
    </cdr:sp>
  </cdr:relSizeAnchor>
</c:userShapes>
</file>

<file path=word/drawings/drawing2.xml><?xml version="1.0" encoding="utf-8"?>
<c:userShapes xmlns:c="http://schemas.openxmlformats.org/drawingml/2006/chart">
  <cdr:relSizeAnchor xmlns:cdr="http://schemas.openxmlformats.org/drawingml/2006/chartDrawing">
    <cdr:from>
      <cdr:x>0.03777</cdr:x>
      <cdr:y>0.04961</cdr:y>
    </cdr:from>
    <cdr:to>
      <cdr:x>0.98406</cdr:x>
      <cdr:y>0.15544</cdr:y>
    </cdr:to>
    <cdr:sp macro="" textlink="">
      <cdr:nvSpPr>
        <cdr:cNvPr id="2" name="TextBox 1"/>
        <cdr:cNvSpPr txBox="1"/>
      </cdr:nvSpPr>
      <cdr:spPr>
        <a:xfrm xmlns:a="http://schemas.openxmlformats.org/drawingml/2006/main">
          <a:off x="171449" y="142876"/>
          <a:ext cx="42957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GB" sz="1600" b="1" baseline="0">
              <a:latin typeface="Arial" pitchFamily="34" charset="0"/>
            </a:rPr>
            <a:t>DCs registered with the Register</a:t>
          </a:r>
        </a:p>
      </cdr:txBody>
    </cdr:sp>
  </cdr:relSizeAnchor>
</c:userShapes>
</file>

<file path=word/drawings/drawing3.xml><?xml version="1.0" encoding="utf-8"?>
<c:userShapes xmlns:c="http://schemas.openxmlformats.org/drawingml/2006/chart">
  <cdr:relSizeAnchor xmlns:cdr="http://schemas.openxmlformats.org/drawingml/2006/chartDrawing">
    <cdr:from>
      <cdr:x>0.03777</cdr:x>
      <cdr:y>0.04961</cdr:y>
    </cdr:from>
    <cdr:to>
      <cdr:x>0.98406</cdr:x>
      <cdr:y>0.15544</cdr:y>
    </cdr:to>
    <cdr:sp macro="" textlink="">
      <cdr:nvSpPr>
        <cdr:cNvPr id="2" name="TextBox 1"/>
        <cdr:cNvSpPr txBox="1"/>
      </cdr:nvSpPr>
      <cdr:spPr>
        <a:xfrm xmlns:a="http://schemas.openxmlformats.org/drawingml/2006/main">
          <a:off x="171449" y="142876"/>
          <a:ext cx="42957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GB" sz="1600" b="1" baseline="0">
              <a:latin typeface="Arial" pitchFamily="34" charset="0"/>
            </a:rPr>
            <a:t>DCs exempted from registration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2941-7F0F-4D44-962C-95A0CB5C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25401</Words>
  <Characters>144791</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169853</CharactersWithSpaces>
  <SharedDoc>false</SharedDoc>
  <HLinks>
    <vt:vector size="6" baseType="variant">
      <vt:variant>
        <vt:i4>852031</vt:i4>
      </vt:variant>
      <vt:variant>
        <vt:i4>15</vt:i4>
      </vt:variant>
      <vt:variant>
        <vt:i4>0</vt:i4>
      </vt:variant>
      <vt:variant>
        <vt:i4>5</vt:i4>
      </vt:variant>
      <vt:variant>
        <vt:lpwstr>https://www.cpdp.bg/userfiles/file/Rezume_Annual Report_2012_CPDP.doc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Sofroniev</dc:creator>
  <cp:lastModifiedBy>Nadezhda Borisova</cp:lastModifiedBy>
  <cp:revision>46</cp:revision>
  <cp:lastPrinted>2014-06-10T14:08:00Z</cp:lastPrinted>
  <dcterms:created xsi:type="dcterms:W3CDTF">2014-02-19T13:45:00Z</dcterms:created>
  <dcterms:modified xsi:type="dcterms:W3CDTF">2014-06-10T14:09:00Z</dcterms:modified>
</cp:coreProperties>
</file>